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szCs w:val="32"/>
        </w:rPr>
      </w:pPr>
      <w:r>
        <w:rPr>
          <w:rFonts w:hint="eastAsia"/>
          <w:sz w:val="32"/>
          <w:szCs w:val="32"/>
        </w:rPr>
        <w:t>已完成项目网上公布表</w:t>
      </w:r>
    </w:p>
    <w:tbl>
      <w:tblPr>
        <w:tblStyle w:val="10"/>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376"/>
        <w:gridCol w:w="1985"/>
        <w:gridCol w:w="566"/>
        <w:gridCol w:w="492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06" w:type="pct"/>
          </w:tcPr>
          <w:p>
            <w:pPr>
              <w:rPr>
                <w:rFonts w:hint="eastAsia"/>
                <w:sz w:val="24"/>
                <w:szCs w:val="24"/>
              </w:rPr>
            </w:pPr>
            <w:r>
              <w:rPr>
                <w:sz w:val="24"/>
                <w:szCs w:val="24"/>
              </w:rPr>
              <w:br w:type="page"/>
            </w:r>
            <w:r>
              <w:rPr>
                <w:rFonts w:hint="eastAsia"/>
                <w:sz w:val="24"/>
                <w:szCs w:val="24"/>
              </w:rPr>
              <w:t>安全评价项目名称：</w:t>
            </w:r>
          </w:p>
        </w:tc>
        <w:tc>
          <w:tcPr>
            <w:tcW w:w="3794" w:type="pct"/>
            <w:gridSpan w:val="3"/>
          </w:tcPr>
          <w:p>
            <w:pPr>
              <w:rPr>
                <w:rFonts w:hint="default" w:eastAsiaTheme="minorEastAsia"/>
                <w:lang w:val="en-US" w:eastAsia="zh-CN"/>
              </w:rPr>
            </w:pPr>
            <w:r>
              <w:rPr>
                <w:rFonts w:hint="eastAsia"/>
                <w:sz w:val="24"/>
                <w:szCs w:val="24"/>
                <w:highlight w:val="none"/>
                <w:lang w:val="en-US" w:eastAsia="zh-CN"/>
              </w:rPr>
              <w:t>大广高速南康北服务区东LNG加气站安全验收</w:t>
            </w:r>
            <w:r>
              <w:rPr>
                <w:rFonts w:hint="eastAsia"/>
                <w:sz w:val="24"/>
                <w:szCs w:val="24"/>
                <w:highlight w:val="none"/>
              </w:rPr>
              <w:t>评价报告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06" w:type="pct"/>
          </w:tcPr>
          <w:p>
            <w:pPr>
              <w:rPr>
                <w:rFonts w:hint="eastAsia"/>
                <w:sz w:val="24"/>
                <w:szCs w:val="24"/>
              </w:rPr>
            </w:pPr>
            <w:r>
              <w:rPr>
                <w:rFonts w:hint="eastAsia"/>
                <w:sz w:val="24"/>
                <w:szCs w:val="24"/>
                <w:lang w:val="en-US" w:eastAsia="zh-CN"/>
              </w:rPr>
              <w:t>公司</w:t>
            </w:r>
            <w:r>
              <w:rPr>
                <w:rFonts w:hint="eastAsia"/>
                <w:sz w:val="24"/>
                <w:szCs w:val="24"/>
              </w:rPr>
              <w:t>名称：</w:t>
            </w:r>
          </w:p>
        </w:tc>
        <w:tc>
          <w:tcPr>
            <w:tcW w:w="3794" w:type="pct"/>
            <w:gridSpan w:val="3"/>
          </w:tcPr>
          <w:p>
            <w:pPr>
              <w:rPr>
                <w:rFonts w:hint="default" w:eastAsiaTheme="minorEastAsia"/>
                <w:lang w:val="en-US" w:eastAsia="zh-CN"/>
              </w:rPr>
            </w:pPr>
            <w:r>
              <w:rPr>
                <w:rFonts w:hint="eastAsia"/>
                <w:sz w:val="24"/>
                <w:szCs w:val="24"/>
                <w:highlight w:val="none"/>
                <w:lang w:val="en-US" w:eastAsia="zh-CN"/>
              </w:rPr>
              <w:t>江西省高速实化新能源有限责任公司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06" w:type="pct"/>
          </w:tcPr>
          <w:p>
            <w:pPr>
              <w:rPr>
                <w:rFonts w:hint="eastAsia"/>
                <w:sz w:val="24"/>
                <w:szCs w:val="24"/>
              </w:rPr>
            </w:pPr>
            <w:r>
              <w:rPr>
                <w:rFonts w:hint="eastAsia"/>
                <w:sz w:val="24"/>
                <w:szCs w:val="24"/>
              </w:rPr>
              <w:t>简介：</w:t>
            </w:r>
          </w:p>
        </w:tc>
        <w:tc>
          <w:tcPr>
            <w:tcW w:w="3794" w:type="pct"/>
            <w:gridSpan w:val="3"/>
          </w:tcPr>
          <w:p>
            <w:pPr>
              <w:rPr>
                <w:rFonts w:hint="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00" w:type="pct"/>
            <w:gridSpan w:val="4"/>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eastAsia="宋体"/>
                <w:lang w:eastAsia="zh-CN"/>
              </w:rPr>
            </w:pPr>
            <w:r>
              <w:rPr>
                <w:rFonts w:hint="eastAsia" w:eastAsia="宋体"/>
                <w:lang w:eastAsia="zh-CN"/>
              </w:rPr>
              <w:t>本报告为</w:t>
            </w:r>
            <w:r>
              <w:rPr>
                <w:rFonts w:hint="eastAsia" w:eastAsia="宋体"/>
                <w:lang w:val="zh-CN" w:eastAsia="zh-CN"/>
              </w:rPr>
              <w:t>江西省高速实化新能源有限责任公司大广高速南康北服务区</w:t>
            </w:r>
            <w:r>
              <w:rPr>
                <w:rFonts w:hint="eastAsia" w:eastAsia="宋体"/>
                <w:lang w:val="en-US" w:eastAsia="zh-CN"/>
              </w:rPr>
              <w:t>东（</w:t>
            </w:r>
            <w:r>
              <w:rPr>
                <w:rFonts w:hint="eastAsia" w:eastAsia="宋体"/>
                <w:lang w:eastAsia="zh-CN"/>
              </w:rPr>
              <w:t>LNG</w:t>
            </w:r>
            <w:r>
              <w:rPr>
                <w:rFonts w:hint="eastAsia" w:eastAsia="宋体"/>
                <w:lang w:val="en-US" w:eastAsia="zh-CN"/>
              </w:rPr>
              <w:t>）</w:t>
            </w:r>
            <w:r>
              <w:rPr>
                <w:rFonts w:hint="eastAsia" w:eastAsia="宋体"/>
                <w:lang w:val="zh-CN" w:eastAsia="zh-CN"/>
              </w:rPr>
              <w:t>加气站</w:t>
            </w:r>
            <w:r>
              <w:rPr>
                <w:rFonts w:hint="eastAsia" w:eastAsia="宋体"/>
                <w:lang w:eastAsia="zh-CN"/>
              </w:rPr>
              <w:t>的安全验收评价报告。</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eastAsia="宋体"/>
                <w:lang w:eastAsia="zh-CN"/>
              </w:rPr>
            </w:pPr>
            <w:r>
              <w:rPr>
                <w:rFonts w:hint="eastAsia" w:eastAsia="宋体"/>
                <w:lang w:val="zh-CN" w:eastAsia="zh-CN"/>
              </w:rPr>
              <w:t>江西高速实化新能源有限责任公司成立于</w:t>
            </w:r>
            <w:r>
              <w:rPr>
                <w:rFonts w:hint="eastAsia" w:eastAsia="宋体"/>
                <w:lang w:val="en-US" w:eastAsia="zh-CN"/>
              </w:rPr>
              <w:t>2018年5月，法人代表人刘东文；</w:t>
            </w:r>
            <w:r>
              <w:rPr>
                <w:rFonts w:hint="eastAsia" w:eastAsia="宋体"/>
                <w:lang w:val="zh-CN" w:eastAsia="zh-CN"/>
              </w:rPr>
              <w:t>江西省高速实化新能源有限责任公司大广高速南康北服务区</w:t>
            </w:r>
            <w:r>
              <w:rPr>
                <w:rFonts w:hint="eastAsia" w:eastAsia="宋体"/>
                <w:lang w:val="en-US" w:eastAsia="zh-CN"/>
              </w:rPr>
              <w:t>东（</w:t>
            </w:r>
            <w:r>
              <w:rPr>
                <w:rFonts w:hint="eastAsia" w:eastAsia="宋体"/>
                <w:lang w:eastAsia="zh-CN"/>
              </w:rPr>
              <w:t>LNG</w:t>
            </w:r>
            <w:r>
              <w:rPr>
                <w:rFonts w:hint="eastAsia" w:eastAsia="宋体"/>
                <w:lang w:val="en-US" w:eastAsia="zh-CN"/>
              </w:rPr>
              <w:t>）</w:t>
            </w:r>
            <w:r>
              <w:rPr>
                <w:rFonts w:hint="eastAsia" w:eastAsia="宋体"/>
                <w:lang w:val="zh-CN" w:eastAsia="zh-CN"/>
              </w:rPr>
              <w:t>加气站属于江西高速实化新能源有限责任公司分公司，于20</w:t>
            </w:r>
            <w:r>
              <w:rPr>
                <w:rFonts w:hint="eastAsia" w:eastAsia="宋体"/>
                <w:lang w:val="en-US" w:eastAsia="zh-CN"/>
              </w:rPr>
              <w:t>21</w:t>
            </w:r>
            <w:r>
              <w:rPr>
                <w:rFonts w:hint="eastAsia" w:eastAsia="宋体"/>
                <w:lang w:val="zh-CN" w:eastAsia="zh-CN"/>
              </w:rPr>
              <w:t>年</w:t>
            </w:r>
            <w:r>
              <w:rPr>
                <w:rFonts w:hint="eastAsia" w:eastAsia="宋体"/>
                <w:lang w:val="en-US" w:eastAsia="zh-CN"/>
              </w:rPr>
              <w:t>7月</w:t>
            </w:r>
            <w:r>
              <w:rPr>
                <w:rFonts w:hint="eastAsia" w:eastAsia="宋体"/>
                <w:lang w:val="zh-CN" w:eastAsia="zh-CN"/>
              </w:rPr>
              <w:t>注册成立，营业场所为江西省</w:t>
            </w:r>
            <w:r>
              <w:rPr>
                <w:rFonts w:hint="eastAsia" w:eastAsia="宋体"/>
                <w:lang w:eastAsia="zh-CN"/>
              </w:rPr>
              <w:t>大广高速南康北服务区</w:t>
            </w:r>
            <w:r>
              <w:rPr>
                <w:rFonts w:hint="eastAsia" w:eastAsia="宋体"/>
                <w:lang w:val="en-US" w:eastAsia="zh-CN"/>
              </w:rPr>
              <w:t>东</w:t>
            </w:r>
            <w:r>
              <w:rPr>
                <w:rFonts w:hint="eastAsia" w:eastAsia="宋体"/>
                <w:lang w:val="zh-CN" w:eastAsia="zh-CN"/>
              </w:rPr>
              <w:t>侧，</w:t>
            </w:r>
            <w:r>
              <w:rPr>
                <w:rFonts w:hint="eastAsia" w:eastAsia="宋体"/>
                <w:lang w:val="en-US" w:eastAsia="zh-CN"/>
              </w:rPr>
              <w:t>主要负责人</w:t>
            </w:r>
            <w:r>
              <w:rPr>
                <w:rFonts w:hint="eastAsia" w:eastAsia="宋体"/>
                <w:lang w:val="zh-CN" w:eastAsia="zh-CN"/>
              </w:rPr>
              <w:t>为</w:t>
            </w:r>
            <w:r>
              <w:rPr>
                <w:rFonts w:hint="eastAsia" w:eastAsia="宋体"/>
                <w:lang w:val="en-US" w:eastAsia="zh-CN"/>
              </w:rPr>
              <w:t>刘葳</w:t>
            </w:r>
            <w:r>
              <w:rPr>
                <w:rFonts w:hint="eastAsia" w:eastAsia="宋体"/>
                <w:lang w:val="zh-CN" w:eastAsia="zh-CN"/>
              </w:rPr>
              <w:t>。江西省高速实化新能源有限责任公司大广高速南康北服务区</w:t>
            </w:r>
            <w:r>
              <w:rPr>
                <w:rFonts w:hint="eastAsia" w:eastAsia="宋体"/>
                <w:lang w:val="en-US" w:eastAsia="zh-CN"/>
              </w:rPr>
              <w:t>东（</w:t>
            </w:r>
            <w:r>
              <w:rPr>
                <w:rFonts w:hint="eastAsia" w:eastAsia="宋体"/>
                <w:lang w:eastAsia="zh-CN"/>
              </w:rPr>
              <w:t>LNG</w:t>
            </w:r>
            <w:r>
              <w:rPr>
                <w:rFonts w:hint="eastAsia" w:eastAsia="宋体"/>
                <w:lang w:val="en-US" w:eastAsia="zh-CN"/>
              </w:rPr>
              <w:t>）</w:t>
            </w:r>
            <w:r>
              <w:rPr>
                <w:rFonts w:hint="eastAsia" w:eastAsia="宋体"/>
                <w:lang w:val="zh-CN" w:eastAsia="zh-CN"/>
              </w:rPr>
              <w:t>加气站建在赣州市大广高速南康北服务区东侧。该加气站未与服务区</w:t>
            </w:r>
            <w:r>
              <w:rPr>
                <w:rFonts w:hint="eastAsia" w:eastAsia="宋体"/>
                <w:lang w:val="en-US" w:eastAsia="zh-CN"/>
              </w:rPr>
              <w:t>中国石油</w:t>
            </w:r>
            <w:r>
              <w:rPr>
                <w:rFonts w:hint="eastAsia" w:eastAsia="宋体"/>
                <w:lang w:val="zh-CN" w:eastAsia="zh-CN"/>
              </w:rPr>
              <w:t>加油站合建，为单独建站。</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eastAsia="宋体"/>
                <w:lang w:eastAsia="zh-CN"/>
              </w:rPr>
            </w:pPr>
            <w:r>
              <w:rPr>
                <w:rFonts w:hint="eastAsia" w:eastAsia="宋体"/>
                <w:lang w:val="zh-CN" w:eastAsia="zh-CN"/>
              </w:rPr>
              <w:t>江西省高速实化新能源有限责任公司大广高速南康北服务区</w:t>
            </w:r>
            <w:r>
              <w:rPr>
                <w:rFonts w:hint="eastAsia" w:eastAsia="宋体"/>
                <w:lang w:val="en-US" w:eastAsia="zh-CN"/>
              </w:rPr>
              <w:t>东（</w:t>
            </w:r>
            <w:r>
              <w:rPr>
                <w:rFonts w:hint="eastAsia" w:eastAsia="宋体"/>
                <w:lang w:eastAsia="zh-CN"/>
              </w:rPr>
              <w:t>LNG</w:t>
            </w:r>
            <w:r>
              <w:rPr>
                <w:rFonts w:hint="eastAsia" w:eastAsia="宋体"/>
                <w:lang w:val="en-US" w:eastAsia="zh-CN"/>
              </w:rPr>
              <w:t>）</w:t>
            </w:r>
            <w:r>
              <w:rPr>
                <w:rFonts w:hint="eastAsia" w:eastAsia="宋体"/>
                <w:lang w:val="zh-CN" w:eastAsia="zh-CN"/>
              </w:rPr>
              <w:t>加气站</w:t>
            </w:r>
            <w:r>
              <w:rPr>
                <w:rFonts w:hint="eastAsia" w:eastAsia="宋体"/>
                <w:lang w:eastAsia="zh-CN"/>
              </w:rPr>
              <w:t>（以下简称“该加气站”）总投资</w:t>
            </w:r>
            <w:r>
              <w:rPr>
                <w:rFonts w:hint="eastAsia" w:eastAsia="宋体"/>
                <w:lang w:val="en-US" w:eastAsia="zh-CN"/>
              </w:rPr>
              <w:t>约792</w:t>
            </w:r>
            <w:r>
              <w:rPr>
                <w:rFonts w:hint="eastAsia" w:eastAsia="宋体"/>
                <w:lang w:eastAsia="zh-CN"/>
              </w:rPr>
              <w:t>万元，站内分为1套</w:t>
            </w:r>
            <w:r>
              <w:rPr>
                <w:rFonts w:hint="eastAsia" w:eastAsia="宋体"/>
                <w:lang w:val="en-US" w:eastAsia="zh-CN"/>
              </w:rPr>
              <w:t>LNG</w:t>
            </w:r>
            <w:r>
              <w:rPr>
                <w:rFonts w:hint="eastAsia" w:eastAsia="宋体"/>
                <w:lang w:eastAsia="zh-CN"/>
              </w:rPr>
              <w:t>全撬装设备和1栋</w:t>
            </w:r>
            <w:r>
              <w:rPr>
                <w:rFonts w:hint="eastAsia" w:eastAsia="宋体"/>
                <w:lang w:val="en-US" w:eastAsia="zh-CN"/>
              </w:rPr>
              <w:t>站</w:t>
            </w:r>
            <w:r>
              <w:rPr>
                <w:rFonts w:hint="eastAsia" w:eastAsia="宋体"/>
                <w:lang w:eastAsia="zh-CN"/>
              </w:rPr>
              <w:t>房。</w:t>
            </w:r>
            <w:r>
              <w:rPr>
                <w:rFonts w:hint="eastAsia" w:eastAsia="宋体"/>
                <w:lang w:val="en-US" w:eastAsia="zh-CN"/>
              </w:rPr>
              <w:t>该加气站</w:t>
            </w:r>
            <w:r>
              <w:rPr>
                <w:rFonts w:hint="eastAsia" w:eastAsia="宋体"/>
                <w:lang w:eastAsia="zh-CN"/>
              </w:rPr>
              <w:t>设置LNG全橇装设备1套，LNG全橇装设备包含：60m3 地上LNG储罐1台，2台潜液泵（一用一备），300Nm3/h卸车增压气化器1台，150Nm3/h低压EAG加热器1台，单枪LNG加气机2台。根据《汽车加油加气加氢站技术标准》GB50156-20</w:t>
            </w:r>
            <w:r>
              <w:rPr>
                <w:rFonts w:hint="eastAsia" w:eastAsia="宋体"/>
                <w:lang w:val="en-US" w:eastAsia="zh-CN"/>
              </w:rPr>
              <w:t>21</w:t>
            </w:r>
            <w:r>
              <w:rPr>
                <w:rFonts w:hint="eastAsia" w:eastAsia="宋体"/>
                <w:lang w:eastAsia="zh-CN"/>
              </w:rPr>
              <w:t>第3.0.12条规定，为三级LNG加气站。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13" w:type="pct"/>
            <w:gridSpan w:val="2"/>
          </w:tcPr>
          <w:p>
            <w:pPr>
              <w:rPr>
                <w:rFonts w:hint="eastAsia"/>
                <w:sz w:val="24"/>
                <w:szCs w:val="24"/>
              </w:rPr>
            </w:pPr>
            <w:r>
              <w:rPr>
                <w:rFonts w:hint="eastAsia"/>
                <w:sz w:val="24"/>
                <w:szCs w:val="24"/>
              </w:rPr>
              <w:t>安全评价项目组长：</w:t>
            </w:r>
          </w:p>
        </w:tc>
        <w:tc>
          <w:tcPr>
            <w:tcW w:w="2787" w:type="pct"/>
            <w:gridSpan w:val="2"/>
          </w:tcPr>
          <w:p>
            <w:pPr>
              <w:rPr>
                <w:rFonts w:hint="default" w:eastAsiaTheme="minorEastAsia"/>
                <w:sz w:val="24"/>
                <w:szCs w:val="24"/>
                <w:lang w:val="en-US" w:eastAsia="zh-CN"/>
              </w:rPr>
            </w:pPr>
            <w:r>
              <w:rPr>
                <w:rFonts w:hint="eastAsia"/>
                <w:sz w:val="24"/>
                <w:szCs w:val="24"/>
                <w:lang w:val="en-US" w:eastAsia="zh-CN"/>
              </w:rPr>
              <w:t>谢寒梅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13" w:type="pct"/>
            <w:gridSpan w:val="2"/>
          </w:tcPr>
          <w:p>
            <w:pPr>
              <w:rPr>
                <w:rFonts w:hint="eastAsia"/>
                <w:sz w:val="24"/>
                <w:szCs w:val="24"/>
              </w:rPr>
            </w:pPr>
            <w:r>
              <w:rPr>
                <w:rFonts w:hint="eastAsia"/>
                <w:sz w:val="24"/>
                <w:szCs w:val="24"/>
              </w:rPr>
              <w:t>技术负责人：</w:t>
            </w:r>
          </w:p>
        </w:tc>
        <w:tc>
          <w:tcPr>
            <w:tcW w:w="2787" w:type="pct"/>
            <w:gridSpan w:val="2"/>
          </w:tcPr>
          <w:p>
            <w:pPr>
              <w:rPr>
                <w:rFonts w:hint="default" w:eastAsiaTheme="minorEastAsia"/>
                <w:sz w:val="24"/>
                <w:szCs w:val="24"/>
                <w:lang w:val="en-US" w:eastAsia="zh-CN"/>
              </w:rPr>
            </w:pPr>
            <w:r>
              <w:rPr>
                <w:rFonts w:hint="eastAsia"/>
                <w:sz w:val="24"/>
                <w:szCs w:val="24"/>
                <w:lang w:val="en-US" w:eastAsia="zh-CN"/>
              </w:rPr>
              <w:t>周红波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13" w:type="pct"/>
            <w:gridSpan w:val="2"/>
          </w:tcPr>
          <w:p>
            <w:pPr>
              <w:rPr>
                <w:rFonts w:hint="eastAsia"/>
                <w:sz w:val="24"/>
                <w:szCs w:val="24"/>
              </w:rPr>
            </w:pPr>
            <w:r>
              <w:rPr>
                <w:rFonts w:hint="eastAsia"/>
                <w:sz w:val="24"/>
                <w:szCs w:val="24"/>
              </w:rPr>
              <w:t>过程控制负责人：</w:t>
            </w:r>
          </w:p>
        </w:tc>
        <w:tc>
          <w:tcPr>
            <w:tcW w:w="2787" w:type="pct"/>
            <w:gridSpan w:val="2"/>
          </w:tcPr>
          <w:p>
            <w:pPr>
              <w:rPr>
                <w:rFonts w:hint="default" w:eastAsiaTheme="minorEastAsia"/>
                <w:sz w:val="24"/>
                <w:szCs w:val="24"/>
                <w:lang w:val="en-US" w:eastAsia="zh-CN"/>
              </w:rPr>
            </w:pPr>
            <w:r>
              <w:rPr>
                <w:rFonts w:hint="eastAsia"/>
                <w:sz w:val="24"/>
                <w:szCs w:val="24"/>
                <w:lang w:val="en-US" w:eastAsia="zh-CN"/>
              </w:rPr>
              <w:t>檀廷斌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13" w:type="pct"/>
            <w:gridSpan w:val="2"/>
          </w:tcPr>
          <w:p>
            <w:pPr>
              <w:rPr>
                <w:rFonts w:hint="eastAsia"/>
                <w:sz w:val="24"/>
                <w:szCs w:val="24"/>
              </w:rPr>
            </w:pPr>
            <w:r>
              <w:rPr>
                <w:rFonts w:hint="eastAsia"/>
                <w:sz w:val="24"/>
                <w:szCs w:val="24"/>
              </w:rPr>
              <w:t>评价报告编制人：</w:t>
            </w:r>
          </w:p>
        </w:tc>
        <w:tc>
          <w:tcPr>
            <w:tcW w:w="2787" w:type="pct"/>
            <w:gridSpan w:val="2"/>
          </w:tcPr>
          <w:p>
            <w:pPr>
              <w:rPr>
                <w:rFonts w:hint="default" w:eastAsiaTheme="minorEastAsia"/>
                <w:sz w:val="24"/>
                <w:szCs w:val="24"/>
                <w:lang w:val="en-US" w:eastAsia="zh-CN"/>
              </w:rPr>
            </w:pPr>
            <w:r>
              <w:rPr>
                <w:rFonts w:hint="eastAsia"/>
                <w:sz w:val="24"/>
                <w:szCs w:val="24"/>
                <w:lang w:val="en-US" w:eastAsia="zh-CN"/>
              </w:rPr>
              <w:t>郑强、谢寒梅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13" w:type="pct"/>
            <w:gridSpan w:val="2"/>
          </w:tcPr>
          <w:p>
            <w:pPr>
              <w:rPr>
                <w:rFonts w:hint="eastAsia"/>
                <w:sz w:val="24"/>
                <w:szCs w:val="24"/>
              </w:rPr>
            </w:pPr>
            <w:r>
              <w:rPr>
                <w:rFonts w:hint="eastAsia"/>
                <w:sz w:val="24"/>
                <w:szCs w:val="24"/>
              </w:rPr>
              <w:t>报告审核人：</w:t>
            </w:r>
          </w:p>
        </w:tc>
        <w:tc>
          <w:tcPr>
            <w:tcW w:w="2787" w:type="pct"/>
            <w:gridSpan w:val="2"/>
          </w:tcPr>
          <w:p>
            <w:pPr>
              <w:rPr>
                <w:rFonts w:hint="default" w:eastAsiaTheme="minorEastAsia"/>
                <w:sz w:val="24"/>
                <w:szCs w:val="24"/>
                <w:lang w:val="en-US" w:eastAsia="zh-CN"/>
              </w:rPr>
            </w:pPr>
            <w:r>
              <w:rPr>
                <w:rFonts w:hint="eastAsia"/>
                <w:sz w:val="24"/>
                <w:szCs w:val="24"/>
                <w:lang w:val="en-US" w:eastAsia="zh-CN"/>
              </w:rPr>
              <w:t>戴磷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13" w:type="pct"/>
            <w:gridSpan w:val="2"/>
          </w:tcPr>
          <w:p>
            <w:pPr>
              <w:rPr>
                <w:rFonts w:hint="eastAsia"/>
                <w:sz w:val="24"/>
                <w:szCs w:val="24"/>
              </w:rPr>
            </w:pPr>
            <w:r>
              <w:rPr>
                <w:rFonts w:hint="eastAsia"/>
                <w:sz w:val="24"/>
                <w:szCs w:val="24"/>
              </w:rPr>
              <w:t>参与评价工作的安全评价师：</w:t>
            </w:r>
          </w:p>
        </w:tc>
        <w:tc>
          <w:tcPr>
            <w:tcW w:w="2787" w:type="pct"/>
            <w:gridSpan w:val="2"/>
          </w:tcPr>
          <w:p>
            <w:pPr>
              <w:rPr>
                <w:rFonts w:hint="default" w:eastAsiaTheme="minorEastAsia"/>
                <w:sz w:val="24"/>
                <w:szCs w:val="24"/>
                <w:lang w:val="en-US" w:eastAsia="zh-CN"/>
              </w:rPr>
            </w:pPr>
            <w:r>
              <w:rPr>
                <w:rFonts w:hint="eastAsia"/>
                <w:sz w:val="24"/>
                <w:szCs w:val="24"/>
                <w:lang w:val="en-US" w:eastAsia="zh-CN"/>
              </w:rPr>
              <w:t>谢寒梅、罗沙浪、郑强、王波、王冠、檀廷斌、戴磷、周红波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13" w:type="pct"/>
            <w:gridSpan w:val="2"/>
          </w:tcPr>
          <w:p>
            <w:pPr>
              <w:rPr>
                <w:rFonts w:hint="eastAsia"/>
                <w:sz w:val="24"/>
                <w:szCs w:val="24"/>
              </w:rPr>
            </w:pPr>
            <w:r>
              <w:rPr>
                <w:rFonts w:hint="eastAsia"/>
                <w:sz w:val="24"/>
                <w:szCs w:val="24"/>
              </w:rPr>
              <w:t>注册安全工程师：</w:t>
            </w:r>
          </w:p>
        </w:tc>
        <w:tc>
          <w:tcPr>
            <w:tcW w:w="2787" w:type="pct"/>
            <w:gridSpan w:val="2"/>
          </w:tcPr>
          <w:p>
            <w:pPr>
              <w:rPr>
                <w:rFonts w:hint="default" w:eastAsiaTheme="minorEastAsia"/>
                <w:sz w:val="24"/>
                <w:szCs w:val="24"/>
                <w:lang w:val="en-US" w:eastAsia="zh-CN"/>
              </w:rPr>
            </w:pPr>
            <w:r>
              <w:rPr>
                <w:rFonts w:hint="eastAsia"/>
                <w:sz w:val="24"/>
                <w:szCs w:val="24"/>
                <w:lang w:val="en-US" w:eastAsia="zh-CN"/>
              </w:rPr>
              <w:t>谢寒梅、罗沙浪、郑强、王波、王冠、檀廷斌、戴磷、周红波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13" w:type="pct"/>
            <w:gridSpan w:val="2"/>
          </w:tcPr>
          <w:p>
            <w:pPr>
              <w:rPr>
                <w:rFonts w:hint="eastAsia"/>
                <w:sz w:val="24"/>
                <w:szCs w:val="24"/>
              </w:rPr>
            </w:pPr>
            <w:r>
              <w:rPr>
                <w:rFonts w:hint="eastAsia"/>
                <w:sz w:val="24"/>
                <w:szCs w:val="24"/>
              </w:rPr>
              <w:t>技术专家：</w:t>
            </w:r>
          </w:p>
        </w:tc>
        <w:tc>
          <w:tcPr>
            <w:tcW w:w="2787" w:type="pct"/>
            <w:gridSpan w:val="2"/>
          </w:tcPr>
          <w:p>
            <w:pPr>
              <w:rPr>
                <w:rFonts w:hint="eastAsia" w:eastAsiaTheme="minorEastAsia"/>
                <w:sz w:val="24"/>
                <w:szCs w:val="24"/>
                <w:lang w:val="en-US" w:eastAsia="zh-CN"/>
              </w:rPr>
            </w:pPr>
            <w:r>
              <w:rPr>
                <w:rFonts w:hint="eastAsia"/>
                <w:sz w:val="24"/>
                <w:szCs w:val="24"/>
                <w:lang w:val="en-US" w:eastAsia="zh-CN"/>
              </w:rPr>
              <w:t>秦赋江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13" w:type="pct"/>
            <w:gridSpan w:val="2"/>
          </w:tcPr>
          <w:p>
            <w:pPr>
              <w:rPr>
                <w:rFonts w:hint="eastAsia"/>
                <w:sz w:val="24"/>
                <w:szCs w:val="24"/>
              </w:rPr>
            </w:pPr>
            <w:r>
              <w:rPr>
                <w:rFonts w:hint="eastAsia"/>
                <w:sz w:val="24"/>
                <w:szCs w:val="24"/>
              </w:rPr>
              <w:t>到现场开展安全评价工作的人员名单：</w:t>
            </w:r>
          </w:p>
        </w:tc>
        <w:tc>
          <w:tcPr>
            <w:tcW w:w="2787" w:type="pct"/>
            <w:gridSpan w:val="2"/>
          </w:tcPr>
          <w:p>
            <w:pPr>
              <w:rPr>
                <w:rFonts w:hint="default" w:eastAsiaTheme="minorEastAsia"/>
                <w:sz w:val="24"/>
                <w:szCs w:val="24"/>
                <w:lang w:val="en-US" w:eastAsia="zh-CN"/>
              </w:rPr>
            </w:pPr>
            <w:r>
              <w:rPr>
                <w:rFonts w:hint="eastAsia"/>
                <w:sz w:val="24"/>
                <w:szCs w:val="24"/>
                <w:lang w:val="en-US" w:eastAsia="zh-CN"/>
              </w:rPr>
              <w:t>谢寒梅、郑强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13" w:type="pct"/>
            <w:gridSpan w:val="2"/>
          </w:tcPr>
          <w:p>
            <w:pPr>
              <w:rPr>
                <w:rFonts w:hint="eastAsia"/>
                <w:sz w:val="24"/>
                <w:szCs w:val="24"/>
              </w:rPr>
            </w:pPr>
            <w:r>
              <w:rPr>
                <w:rFonts w:hint="eastAsia"/>
                <w:sz w:val="24"/>
                <w:szCs w:val="24"/>
              </w:rPr>
              <w:t>时间和主要任务：</w:t>
            </w:r>
          </w:p>
        </w:tc>
        <w:tc>
          <w:tcPr>
            <w:tcW w:w="2787" w:type="pct"/>
            <w:gridSpan w:val="2"/>
          </w:tcPr>
          <w:p>
            <w:pPr>
              <w:rPr>
                <w:rFonts w:hint="eastAsia"/>
                <w:sz w:val="24"/>
                <w:szCs w:val="24"/>
              </w:rPr>
            </w:pPr>
            <w:r>
              <w:rPr>
                <w:rFonts w:hint="default" w:ascii="Times New Roman" w:hAnsi="Times New Roman" w:cs="Times New Roman"/>
                <w:sz w:val="24"/>
                <w:szCs w:val="24"/>
              </w:rPr>
              <w:t>20</w:t>
            </w:r>
            <w:r>
              <w:rPr>
                <w:rFonts w:hint="eastAsia" w:ascii="Times New Roman" w:hAnsi="Times New Roman" w:cs="Times New Roman"/>
                <w:sz w:val="24"/>
                <w:szCs w:val="24"/>
                <w:lang w:val="en-US" w:eastAsia="zh-CN"/>
              </w:rPr>
              <w:t>23.10</w:t>
            </w:r>
            <w:r>
              <w:rPr>
                <w:rFonts w:hint="default" w:ascii="Times New Roman" w:hAnsi="Times New Roman" w:cs="Times New Roman"/>
                <w:sz w:val="24"/>
                <w:szCs w:val="24"/>
              </w:rPr>
              <w:t>；勘查现场及周边环境，查阅相关技术资料、现场调研，收集</w:t>
            </w:r>
            <w:r>
              <w:rPr>
                <w:rFonts w:hint="eastAsia" w:ascii="Times New Roman" w:hAnsi="Times New Roman" w:cs="Times New Roman"/>
                <w:sz w:val="24"/>
                <w:szCs w:val="24"/>
                <w:lang w:val="en-US" w:eastAsia="zh-CN"/>
              </w:rPr>
              <w:t>安全现状评价报告</w:t>
            </w:r>
            <w:r>
              <w:rPr>
                <w:rFonts w:hint="default" w:ascii="Times New Roman" w:hAnsi="Times New Roman" w:cs="Times New Roman"/>
                <w:sz w:val="24"/>
                <w:szCs w:val="24"/>
              </w:rPr>
              <w:t>的有关资料。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13" w:type="pct"/>
            <w:gridSpan w:val="2"/>
          </w:tcPr>
          <w:p>
            <w:pPr>
              <w:rPr>
                <w:rFonts w:hint="eastAsia"/>
                <w:sz w:val="24"/>
                <w:szCs w:val="24"/>
              </w:rPr>
            </w:pPr>
            <w:r>
              <w:rPr>
                <w:rFonts w:hint="eastAsia"/>
                <w:sz w:val="24"/>
                <w:szCs w:val="24"/>
              </w:rPr>
              <w:t>评价报告：</w:t>
            </w:r>
          </w:p>
        </w:tc>
        <w:tc>
          <w:tcPr>
            <w:tcW w:w="2787" w:type="pct"/>
            <w:gridSpan w:val="2"/>
          </w:tcPr>
          <w:p>
            <w:pPr>
              <w:rPr>
                <w:rFonts w:hint="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00" w:type="pct"/>
            <w:gridSpan w:val="4"/>
          </w:tcPr>
          <w:p>
            <w:pPr>
              <w:pStyle w:val="16"/>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480" w:firstLineChars="200"/>
              <w:textAlignment w:val="auto"/>
              <w:rPr>
                <w:rFonts w:hint="eastAsia" w:ascii="Times New Roman" w:hAnsi="Times New Roman" w:cs="Times New Roman"/>
                <w:b w:val="0"/>
                <w:bCs w:val="0"/>
                <w:kern w:val="2"/>
                <w:sz w:val="24"/>
                <w:szCs w:val="24"/>
                <w:lang w:val="en-US" w:eastAsia="zh-CN" w:bidi="ar-SA"/>
              </w:rPr>
            </w:pPr>
            <w:r>
              <w:rPr>
                <w:rFonts w:hint="eastAsia" w:ascii="Times New Roman" w:hAnsi="Times New Roman" w:cs="Times New Roman"/>
                <w:b w:val="0"/>
                <w:bCs w:val="0"/>
                <w:kern w:val="2"/>
                <w:sz w:val="24"/>
                <w:szCs w:val="24"/>
                <w:lang w:val="en-US" w:eastAsia="zh-CN" w:bidi="ar-SA"/>
              </w:rPr>
              <w:t>通过对江西省高速实化新能源有限责任公司大广高速南康北服务区东（LNG）加气站的危险、有害分析及定性、定量分析，结果为：</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480" w:firstLineChars="200"/>
              <w:textAlignment w:val="auto"/>
              <w:rPr>
                <w:rFonts w:hint="eastAsia" w:ascii="Times New Roman" w:hAnsi="Times New Roman" w:cs="Times New Roman"/>
                <w:b w:val="0"/>
                <w:bCs w:val="0"/>
                <w:kern w:val="2"/>
                <w:sz w:val="24"/>
                <w:szCs w:val="24"/>
                <w:lang w:val="en-US" w:eastAsia="zh-CN" w:bidi="ar-SA"/>
              </w:rPr>
            </w:pPr>
            <w:bookmarkStart w:id="0" w:name="_Toc24032"/>
            <w:r>
              <w:rPr>
                <w:rFonts w:hint="eastAsia" w:ascii="Times New Roman" w:hAnsi="Times New Roman" w:cs="Times New Roman"/>
                <w:b w:val="0"/>
                <w:bCs w:val="0"/>
                <w:kern w:val="2"/>
                <w:sz w:val="24"/>
                <w:szCs w:val="24"/>
                <w:lang w:val="en-US" w:eastAsia="zh-CN" w:bidi="ar-SA"/>
              </w:rPr>
              <w:t>1、该项目 存在的主要危险因素有火灾和爆炸、中毒窒息、电气伤害、车辆伤害、物体打击、机械伤害、低温冻伤等；主要有害因素有有害物质、噪声等。需重点防范的危险有害因素为火灾、爆炸。</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480" w:firstLineChars="200"/>
              <w:textAlignment w:val="auto"/>
              <w:rPr>
                <w:rFonts w:hint="eastAsia" w:ascii="Times New Roman" w:hAnsi="Times New Roman" w:cs="Times New Roman"/>
                <w:b w:val="0"/>
                <w:bCs w:val="0"/>
                <w:kern w:val="2"/>
                <w:sz w:val="24"/>
                <w:szCs w:val="24"/>
                <w:lang w:val="en-US" w:eastAsia="zh-CN" w:bidi="ar-SA"/>
              </w:rPr>
            </w:pPr>
            <w:r>
              <w:rPr>
                <w:rFonts w:hint="eastAsia" w:ascii="Times New Roman" w:hAnsi="Times New Roman" w:cs="Times New Roman"/>
                <w:b w:val="0"/>
                <w:bCs w:val="0"/>
                <w:kern w:val="2"/>
                <w:sz w:val="24"/>
                <w:szCs w:val="24"/>
                <w:lang w:val="en-US" w:eastAsia="zh-CN" w:bidi="ar-SA"/>
              </w:rPr>
              <w:t>2、根据《重点监管的危险化学品名录》（2013年版）及《重点监管的危险化学品安全措施和应急处置原则》（2013年版）的要求，LNG属于重点监管的危险化学品。</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480" w:firstLineChars="200"/>
              <w:textAlignment w:val="auto"/>
              <w:rPr>
                <w:rFonts w:hint="eastAsia" w:ascii="Times New Roman" w:hAnsi="Times New Roman" w:cs="Times New Roman"/>
                <w:b w:val="0"/>
                <w:bCs w:val="0"/>
                <w:kern w:val="2"/>
                <w:sz w:val="24"/>
                <w:szCs w:val="24"/>
                <w:lang w:val="en-US" w:eastAsia="zh-CN" w:bidi="ar-SA"/>
              </w:rPr>
            </w:pPr>
            <w:r>
              <w:rPr>
                <w:rFonts w:hint="eastAsia" w:ascii="Times New Roman" w:hAnsi="Times New Roman" w:cs="Times New Roman"/>
                <w:b w:val="0"/>
                <w:bCs w:val="0"/>
                <w:kern w:val="2"/>
                <w:sz w:val="24"/>
                <w:szCs w:val="24"/>
                <w:lang w:val="en-US" w:eastAsia="zh-CN" w:bidi="ar-SA"/>
              </w:rPr>
              <w:t>3、 根据《特别管控危险化学品目录》（2020年版）的规定，该项目 LNG属于特别管控危险化学品。</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480" w:firstLineChars="200"/>
              <w:textAlignment w:val="auto"/>
              <w:rPr>
                <w:rFonts w:hint="eastAsia" w:ascii="Times New Roman" w:hAnsi="Times New Roman" w:cs="Times New Roman"/>
                <w:b w:val="0"/>
                <w:bCs w:val="0"/>
                <w:kern w:val="2"/>
                <w:sz w:val="24"/>
                <w:szCs w:val="24"/>
                <w:lang w:val="en-US" w:eastAsia="zh-CN" w:bidi="ar-SA"/>
              </w:rPr>
            </w:pPr>
            <w:r>
              <w:rPr>
                <w:rFonts w:hint="eastAsia" w:ascii="Times New Roman" w:hAnsi="Times New Roman" w:cs="Times New Roman"/>
                <w:b w:val="0"/>
                <w:bCs w:val="0"/>
                <w:kern w:val="2"/>
                <w:sz w:val="24"/>
                <w:szCs w:val="24"/>
                <w:lang w:val="en-US" w:eastAsia="zh-CN" w:bidi="ar-SA"/>
              </w:rPr>
              <w:t>4、依据《易制毒化学品管理条例》（国务院令第445号）规定，该项目 不涉及易制毒化学品。</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480" w:firstLineChars="200"/>
              <w:textAlignment w:val="auto"/>
              <w:rPr>
                <w:rFonts w:hint="eastAsia" w:ascii="Times New Roman" w:hAnsi="Times New Roman" w:cs="Times New Roman"/>
                <w:b w:val="0"/>
                <w:bCs w:val="0"/>
                <w:kern w:val="2"/>
                <w:sz w:val="24"/>
                <w:szCs w:val="24"/>
                <w:lang w:val="en-US" w:eastAsia="zh-CN" w:bidi="ar-SA"/>
              </w:rPr>
            </w:pPr>
            <w:r>
              <w:rPr>
                <w:rFonts w:hint="eastAsia" w:ascii="Times New Roman" w:hAnsi="Times New Roman" w:cs="Times New Roman"/>
                <w:b w:val="0"/>
                <w:bCs w:val="0"/>
                <w:kern w:val="2"/>
                <w:sz w:val="24"/>
                <w:szCs w:val="24"/>
                <w:lang w:val="en-US" w:eastAsia="zh-CN" w:bidi="ar-SA"/>
              </w:rPr>
              <w:t>5、依据公安部颁发的《易制爆危险化学品名录》（2017年版）辨识，该项目 不涉及易制爆化学品。</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480" w:firstLineChars="200"/>
              <w:textAlignment w:val="auto"/>
              <w:rPr>
                <w:rFonts w:hint="eastAsia" w:ascii="Times New Roman" w:hAnsi="Times New Roman" w:cs="Times New Roman"/>
                <w:b w:val="0"/>
                <w:bCs w:val="0"/>
                <w:kern w:val="2"/>
                <w:sz w:val="24"/>
                <w:szCs w:val="24"/>
                <w:lang w:val="en-US" w:eastAsia="zh-CN" w:bidi="ar-SA"/>
              </w:rPr>
            </w:pPr>
            <w:r>
              <w:rPr>
                <w:rFonts w:hint="eastAsia" w:ascii="Times New Roman" w:hAnsi="Times New Roman" w:cs="Times New Roman"/>
                <w:b w:val="0"/>
                <w:bCs w:val="0"/>
                <w:kern w:val="2"/>
                <w:sz w:val="24"/>
                <w:szCs w:val="24"/>
                <w:lang w:val="en-US" w:eastAsia="zh-CN" w:bidi="ar-SA"/>
              </w:rPr>
              <w:t>6、依据《监控化学品管理条例》（国务院令第190号）规定，该项目 不涉及监控化学品。</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480" w:firstLineChars="200"/>
              <w:textAlignment w:val="auto"/>
              <w:rPr>
                <w:rFonts w:hint="eastAsia" w:ascii="Times New Roman" w:hAnsi="Times New Roman" w:cs="Times New Roman"/>
                <w:b w:val="0"/>
                <w:bCs w:val="0"/>
                <w:kern w:val="2"/>
                <w:sz w:val="24"/>
                <w:szCs w:val="24"/>
                <w:lang w:val="en-US" w:eastAsia="zh-CN" w:bidi="ar-SA"/>
              </w:rPr>
            </w:pPr>
            <w:r>
              <w:rPr>
                <w:rFonts w:hint="eastAsia" w:ascii="Times New Roman" w:hAnsi="Times New Roman" w:cs="Times New Roman"/>
                <w:b w:val="0"/>
                <w:bCs w:val="0"/>
                <w:kern w:val="2"/>
                <w:sz w:val="24"/>
                <w:szCs w:val="24"/>
                <w:lang w:val="en-US" w:eastAsia="zh-CN" w:bidi="ar-SA"/>
              </w:rPr>
              <w:t>7、依据《危险化学品目录（2022年修订版）》，该项目 不涉及剧毒化学品。</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480" w:firstLineChars="200"/>
              <w:textAlignment w:val="auto"/>
              <w:rPr>
                <w:rFonts w:hint="eastAsia" w:ascii="Times New Roman" w:hAnsi="Times New Roman" w:cs="Times New Roman"/>
                <w:b w:val="0"/>
                <w:bCs w:val="0"/>
                <w:kern w:val="2"/>
                <w:sz w:val="24"/>
                <w:szCs w:val="24"/>
                <w:lang w:val="en-US" w:eastAsia="zh-CN" w:bidi="ar-SA"/>
              </w:rPr>
            </w:pPr>
            <w:r>
              <w:rPr>
                <w:rFonts w:hint="eastAsia" w:ascii="Times New Roman" w:hAnsi="Times New Roman" w:cs="Times New Roman"/>
                <w:b w:val="0"/>
                <w:bCs w:val="0"/>
                <w:kern w:val="2"/>
                <w:sz w:val="24"/>
                <w:szCs w:val="24"/>
                <w:lang w:val="en-US" w:eastAsia="zh-CN" w:bidi="ar-SA"/>
              </w:rPr>
              <w:t>8、依据《高毒物品目录》（2003版）中的规定，该项目 不涉及高毒物品。</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480" w:firstLineChars="200"/>
              <w:textAlignment w:val="auto"/>
              <w:rPr>
                <w:rFonts w:hint="eastAsia" w:ascii="Times New Roman" w:hAnsi="Times New Roman" w:cs="Times New Roman"/>
                <w:b w:val="0"/>
                <w:bCs w:val="0"/>
                <w:kern w:val="2"/>
                <w:sz w:val="24"/>
                <w:szCs w:val="24"/>
                <w:lang w:val="en-US" w:eastAsia="zh-CN" w:bidi="ar-SA"/>
              </w:rPr>
            </w:pPr>
            <w:r>
              <w:rPr>
                <w:rFonts w:hint="eastAsia" w:ascii="Times New Roman" w:hAnsi="Times New Roman" w:cs="Times New Roman"/>
                <w:b w:val="0"/>
                <w:bCs w:val="0"/>
                <w:kern w:val="2"/>
                <w:sz w:val="24"/>
                <w:szCs w:val="24"/>
                <w:lang w:val="en-US" w:eastAsia="zh-CN" w:bidi="ar-SA"/>
              </w:rPr>
              <w:t>9、根据《危险化学品重大危险源辨识》（GB18218-2018）的规定，该项目涉及的危险化学品天然气，不构成危险化学品重大危险源。</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480" w:firstLineChars="200"/>
              <w:textAlignment w:val="auto"/>
              <w:rPr>
                <w:rFonts w:hint="eastAsia" w:ascii="Times New Roman" w:hAnsi="Times New Roman" w:cs="Times New Roman"/>
                <w:b w:val="0"/>
                <w:bCs w:val="0"/>
                <w:kern w:val="2"/>
                <w:sz w:val="24"/>
                <w:szCs w:val="24"/>
                <w:lang w:val="en-US" w:eastAsia="zh-CN" w:bidi="ar-SA"/>
              </w:rPr>
            </w:pPr>
            <w:r>
              <w:rPr>
                <w:rFonts w:hint="eastAsia" w:ascii="Times New Roman" w:hAnsi="Times New Roman" w:cs="Times New Roman"/>
                <w:b w:val="0"/>
                <w:bCs w:val="0"/>
                <w:kern w:val="2"/>
                <w:sz w:val="24"/>
                <w:szCs w:val="24"/>
                <w:lang w:val="en-US" w:eastAsia="zh-CN" w:bidi="ar-SA"/>
              </w:rPr>
              <w:t>10、采用危险度评价法进行评价，储气罐属高度危险程度。</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480" w:firstLineChars="200"/>
              <w:textAlignment w:val="auto"/>
              <w:rPr>
                <w:rFonts w:hint="eastAsia" w:ascii="Times New Roman" w:hAnsi="Times New Roman" w:cs="Times New Roman"/>
                <w:b w:val="0"/>
                <w:bCs w:val="0"/>
                <w:kern w:val="2"/>
                <w:sz w:val="24"/>
                <w:szCs w:val="24"/>
                <w:lang w:val="en-US" w:eastAsia="zh-CN" w:bidi="ar-SA"/>
              </w:rPr>
            </w:pPr>
            <w:r>
              <w:rPr>
                <w:rFonts w:hint="eastAsia" w:ascii="Times New Roman" w:hAnsi="Times New Roman" w:cs="Times New Roman"/>
                <w:b w:val="0"/>
                <w:bCs w:val="0"/>
                <w:kern w:val="2"/>
                <w:sz w:val="24"/>
                <w:szCs w:val="24"/>
                <w:lang w:val="en-US" w:eastAsia="zh-CN" w:bidi="ar-SA"/>
              </w:rPr>
              <w:t>11、加气站总体布局合理，厂内通道运输物流、人流顺畅。站区内平面布置中各建（构）筑物、设备间的防火距离符合要求，人员安全通道、安全出口符合安全要求。</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480" w:firstLineChars="200"/>
              <w:textAlignment w:val="auto"/>
              <w:rPr>
                <w:rFonts w:hint="eastAsia" w:ascii="Times New Roman" w:hAnsi="Times New Roman" w:cs="Times New Roman"/>
                <w:b w:val="0"/>
                <w:bCs w:val="0"/>
                <w:kern w:val="2"/>
                <w:sz w:val="24"/>
                <w:szCs w:val="24"/>
                <w:lang w:val="en-US" w:eastAsia="zh-CN" w:bidi="ar-SA"/>
              </w:rPr>
            </w:pPr>
            <w:r>
              <w:rPr>
                <w:rFonts w:hint="eastAsia" w:ascii="Times New Roman" w:hAnsi="Times New Roman" w:cs="Times New Roman"/>
                <w:b w:val="0"/>
                <w:bCs w:val="0"/>
                <w:kern w:val="2"/>
                <w:sz w:val="24"/>
                <w:szCs w:val="24"/>
                <w:lang w:val="en-US" w:eastAsia="zh-CN" w:bidi="ar-SA"/>
              </w:rPr>
              <w:t>12、在消防器材的配置上，加气站按照消防标准配置了灭火器材，能够满足消防的需要。</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480" w:firstLineChars="200"/>
              <w:textAlignment w:val="auto"/>
              <w:rPr>
                <w:rFonts w:hint="eastAsia" w:ascii="Times New Roman" w:hAnsi="Times New Roman" w:cs="Times New Roman"/>
                <w:b w:val="0"/>
                <w:bCs w:val="0"/>
                <w:kern w:val="2"/>
                <w:sz w:val="24"/>
                <w:szCs w:val="24"/>
                <w:lang w:val="en-US" w:eastAsia="zh-CN" w:bidi="ar-SA"/>
              </w:rPr>
            </w:pPr>
            <w:r>
              <w:rPr>
                <w:rFonts w:hint="eastAsia" w:ascii="Times New Roman" w:hAnsi="Times New Roman" w:cs="Times New Roman"/>
                <w:b w:val="0"/>
                <w:bCs w:val="0"/>
                <w:kern w:val="2"/>
                <w:sz w:val="24"/>
                <w:szCs w:val="24"/>
                <w:lang w:val="en-US" w:eastAsia="zh-CN" w:bidi="ar-SA"/>
              </w:rPr>
              <w:t>13、电气设备设有多种保护和接地，建筑物、设备、管道的防雷接地和静电接地按规范进行了设置，接地的设置和接地电阻符合规范的要求。</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480" w:firstLineChars="200"/>
              <w:textAlignment w:val="auto"/>
              <w:rPr>
                <w:rFonts w:hint="eastAsia" w:ascii="Times New Roman" w:hAnsi="Times New Roman" w:cs="Times New Roman"/>
                <w:b w:val="0"/>
                <w:bCs w:val="0"/>
                <w:kern w:val="2"/>
                <w:sz w:val="24"/>
                <w:szCs w:val="24"/>
                <w:lang w:val="en-US" w:eastAsia="zh-CN" w:bidi="ar-SA"/>
              </w:rPr>
            </w:pPr>
            <w:r>
              <w:rPr>
                <w:rFonts w:hint="eastAsia" w:ascii="Times New Roman" w:hAnsi="Times New Roman" w:cs="Times New Roman"/>
                <w:b w:val="0"/>
                <w:bCs w:val="0"/>
                <w:kern w:val="2"/>
                <w:sz w:val="24"/>
                <w:szCs w:val="24"/>
                <w:lang w:val="en-US" w:eastAsia="zh-CN" w:bidi="ar-SA"/>
              </w:rPr>
              <w:t>14、针对危险物质储存和运行过程中的危险因素，加气站采取了相应安全措施，压力容器、压力管道、压力表、安全阀等进行了校验，设备设施在运行正常和安全监控掌握当中，加气站总体危险有害因素和程度控制在可接受范围，项目公用工程、安全设施能够满足安全生产的需要。</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480" w:firstLineChars="200"/>
              <w:textAlignment w:val="auto"/>
              <w:rPr>
                <w:rFonts w:hint="eastAsia" w:ascii="Times New Roman" w:hAnsi="Times New Roman" w:cs="Times New Roman"/>
                <w:b w:val="0"/>
                <w:bCs w:val="0"/>
                <w:kern w:val="2"/>
                <w:sz w:val="24"/>
                <w:szCs w:val="24"/>
                <w:lang w:val="en-US" w:eastAsia="zh-CN" w:bidi="ar-SA"/>
              </w:rPr>
            </w:pPr>
            <w:r>
              <w:rPr>
                <w:rFonts w:hint="eastAsia" w:ascii="Times New Roman" w:hAnsi="Times New Roman" w:cs="Times New Roman"/>
                <w:b w:val="0"/>
                <w:bCs w:val="0"/>
                <w:kern w:val="2"/>
                <w:sz w:val="24"/>
                <w:szCs w:val="24"/>
                <w:lang w:val="en-US" w:eastAsia="zh-CN" w:bidi="ar-SA"/>
              </w:rPr>
              <w:t xml:space="preserve">15、加气站设置有安全生产管理机构，配备了专职安全生产管理人员，制定了安全生产责任制和安全生产管理制度，编制了岗位操作规程和岗位安全技术规程，编制了事故应急救援预案并定期进行了演练，配备了事故应急设施、器材，人员经过相应的培训。安全管理方面符合安全生产要求。 </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480" w:firstLineChars="200"/>
              <w:textAlignment w:val="auto"/>
              <w:rPr>
                <w:rFonts w:hint="eastAsia" w:ascii="Times New Roman" w:hAnsi="Times New Roman" w:cs="Times New Roman"/>
                <w:b w:val="0"/>
                <w:bCs w:val="0"/>
                <w:kern w:val="2"/>
                <w:sz w:val="24"/>
                <w:szCs w:val="24"/>
                <w:lang w:val="en-US" w:eastAsia="zh-CN" w:bidi="ar-SA"/>
              </w:rPr>
            </w:pPr>
            <w:r>
              <w:rPr>
                <w:rFonts w:hint="eastAsia" w:ascii="Times New Roman" w:hAnsi="Times New Roman" w:cs="Times New Roman"/>
                <w:b w:val="0"/>
                <w:bCs w:val="0"/>
                <w:kern w:val="2"/>
                <w:sz w:val="24"/>
                <w:szCs w:val="24"/>
                <w:lang w:val="en-US" w:eastAsia="zh-CN" w:bidi="ar-SA"/>
              </w:rPr>
              <w:t>16、加气站能按照《中华人民共和国安全生产法》的要求进行“三同时”报批，企业能够按照安全设施与主体工程同时设计、同时施工、同时投入生产和使用的“三同时”的要求进行。</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482" w:firstLineChars="200"/>
              <w:textAlignment w:val="auto"/>
              <w:rPr>
                <w:rFonts w:hint="eastAsia" w:ascii="Times New Roman" w:hAnsi="Times New Roman" w:cs="Times New Roman"/>
                <w:b/>
                <w:bCs/>
                <w:kern w:val="2"/>
                <w:sz w:val="24"/>
                <w:szCs w:val="24"/>
                <w:lang w:val="en-US" w:eastAsia="zh-CN" w:bidi="ar-SA"/>
              </w:rPr>
            </w:pPr>
            <w:r>
              <w:rPr>
                <w:rFonts w:hint="eastAsia" w:ascii="Times New Roman" w:hAnsi="Times New Roman" w:cs="Times New Roman"/>
                <w:b/>
                <w:bCs/>
                <w:kern w:val="2"/>
                <w:sz w:val="24"/>
                <w:szCs w:val="24"/>
                <w:lang w:val="en-US" w:eastAsia="zh-CN" w:bidi="ar-SA"/>
              </w:rPr>
              <w:t>项目安全验收评价结论</w:t>
            </w:r>
            <w:bookmarkEnd w:id="0"/>
          </w:p>
          <w:p>
            <w:pPr>
              <w:pStyle w:val="16"/>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482" w:firstLineChars="200"/>
              <w:textAlignment w:val="auto"/>
              <w:rPr>
                <w:rFonts w:hint="eastAsia" w:ascii="Times New Roman" w:hAnsi="Times New Roman" w:cs="Times New Roman"/>
                <w:b/>
                <w:bCs/>
                <w:kern w:val="2"/>
                <w:sz w:val="24"/>
                <w:szCs w:val="24"/>
                <w:lang w:val="en-US" w:eastAsia="zh-CN" w:bidi="ar-SA"/>
              </w:rPr>
            </w:pPr>
            <w:r>
              <w:rPr>
                <w:rFonts w:hint="eastAsia" w:ascii="Times New Roman" w:hAnsi="Times New Roman" w:cs="Times New Roman"/>
                <w:b/>
                <w:bCs/>
                <w:kern w:val="2"/>
                <w:sz w:val="24"/>
                <w:szCs w:val="24"/>
                <w:lang w:val="en-US" w:eastAsia="zh-CN" w:bidi="ar-SA"/>
              </w:rPr>
              <w:t>江西省高速实化新能源有限责任公司大广高速南康北服务区东（LNG）加气站所涉及的安全条件符合国家法律法规、相关标准规范的要求，安全装置和安全措施以及公用工程能够满足该项目 正常生产过程中安全生产的需要，加气站的安全管理能够满足安全生产的需要。</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482" w:firstLineChars="200"/>
              <w:textAlignment w:val="auto"/>
              <w:rPr>
                <w:rFonts w:hint="eastAsia" w:ascii="Times New Roman" w:hAnsi="Times New Roman" w:cs="Times New Roman"/>
                <w:b/>
                <w:bCs/>
                <w:kern w:val="2"/>
                <w:sz w:val="24"/>
                <w:szCs w:val="24"/>
                <w:lang w:val="en-US" w:eastAsia="zh-CN" w:bidi="ar-SA"/>
              </w:rPr>
            </w:pPr>
            <w:r>
              <w:rPr>
                <w:rFonts w:hint="eastAsia" w:ascii="Times New Roman" w:hAnsi="Times New Roman" w:cs="Times New Roman"/>
                <w:b/>
                <w:bCs/>
                <w:kern w:val="2"/>
                <w:sz w:val="24"/>
                <w:szCs w:val="24"/>
                <w:lang w:val="en-US" w:eastAsia="zh-CN" w:bidi="ar-SA"/>
              </w:rPr>
              <w:t>建议企业进一步加强安全管理，落实本报告提出的安全管理方面的建议和安全设施方面的对策措施，提高安全生产管理人员和职工的技术、技能水平和安全意识，维护好安全检测、控制和报警联锁设施，进一步提高项目本质安全度，达到安全生产的目的。</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482" w:firstLineChars="200"/>
              <w:textAlignment w:val="auto"/>
              <w:rPr>
                <w:rFonts w:hint="eastAsia" w:ascii="Times New Roman" w:hAnsi="Times New Roman" w:cs="Times New Roman"/>
                <w:b/>
                <w:bCs/>
                <w:kern w:val="2"/>
                <w:sz w:val="24"/>
                <w:szCs w:val="24"/>
                <w:lang w:val="en-US" w:eastAsia="zh-CN" w:bidi="ar-SA"/>
              </w:rPr>
            </w:pPr>
            <w:r>
              <w:rPr>
                <w:rFonts w:hint="eastAsia" w:ascii="Times New Roman" w:hAnsi="Times New Roman" w:cs="Times New Roman"/>
                <w:b/>
                <w:bCs/>
                <w:kern w:val="2"/>
                <w:sz w:val="24"/>
                <w:szCs w:val="24"/>
                <w:lang w:val="en-US" w:eastAsia="zh-CN" w:bidi="ar-SA"/>
              </w:rPr>
              <w:t>综上所述，江西省高速实化新能源有限责任公司大广高速南康北服务区东（LNG）加气站安全设施设计专篇设计的安全设施落实，符合国家安全生产方面的法律、法规、标准、规范的要求，具备安全验收条件。</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482" w:firstLineChars="200"/>
              <w:textAlignment w:val="auto"/>
              <w:rPr>
                <w:rFonts w:hint="eastAsia" w:ascii="Times New Roman" w:hAnsi="Times New Roman" w:cs="Times New Roman"/>
                <w:b/>
                <w:bCs/>
                <w:kern w:val="2"/>
                <w:sz w:val="24"/>
                <w:szCs w:val="24"/>
                <w:lang w:val="en-US" w:eastAsia="zh-CN" w:bidi="ar-SA"/>
              </w:rPr>
            </w:pPr>
            <w:r>
              <w:rPr>
                <w:rFonts w:hint="eastAsia" w:ascii="Times New Roman" w:hAnsi="Times New Roman" w:cs="Times New Roman"/>
                <w:b/>
                <w:bCs/>
                <w:kern w:val="2"/>
                <w:sz w:val="24"/>
                <w:szCs w:val="24"/>
                <w:lang w:val="en-US" w:eastAsia="zh-CN" w:bidi="ar-SA"/>
              </w:rPr>
              <w:t>现场照片</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Times New Roman" w:hAnsi="Times New Roman" w:eastAsia="宋体"/>
                <w:color w:val="auto"/>
                <w:sz w:val="28"/>
                <w:lang w:eastAsia="zh-CN"/>
              </w:rPr>
            </w:pPr>
            <w:r>
              <w:rPr>
                <w:rFonts w:hint="eastAsia" w:ascii="Times New Roman" w:hAnsi="Times New Roman" w:eastAsia="宋体"/>
                <w:color w:val="auto"/>
                <w:sz w:val="28"/>
                <w:lang w:eastAsia="zh-CN"/>
              </w:rPr>
              <w:drawing>
                <wp:inline distT="0" distB="0" distL="114300" distR="114300">
                  <wp:extent cx="5752465" cy="4316095"/>
                  <wp:effectExtent l="0" t="0" r="635" b="8255"/>
                  <wp:docPr id="1" name="图片 1" descr="微信图片_20230912155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30912155721"/>
                          <pic:cNvPicPr>
                            <a:picLocks noChangeAspect="1"/>
                          </pic:cNvPicPr>
                        </pic:nvPicPr>
                        <pic:blipFill>
                          <a:blip r:embed="rId4"/>
                          <a:stretch>
                            <a:fillRect/>
                          </a:stretch>
                        </pic:blipFill>
                        <pic:spPr>
                          <a:xfrm>
                            <a:off x="0" y="0"/>
                            <a:ext cx="5752465" cy="4316095"/>
                          </a:xfrm>
                          <a:prstGeom prst="rect">
                            <a:avLst/>
                          </a:prstGeom>
                          <a:noFill/>
                          <a:ln>
                            <a:noFill/>
                          </a:ln>
                        </pic:spPr>
                      </pic:pic>
                    </a:graphicData>
                  </a:graphic>
                </wp:inline>
              </w:drawing>
            </w:r>
          </w:p>
          <w:p>
            <w:pPr>
              <w:pStyle w:val="16"/>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eastAsia="宋体"/>
                <w:b/>
                <w:bCs/>
                <w:color w:val="000000"/>
                <w:sz w:val="24"/>
                <w:szCs w:val="24"/>
                <w:lang w:val="en-US" w:eastAsia="zh-CN"/>
              </w:rPr>
            </w:pPr>
            <w:r>
              <w:rPr>
                <w:rFonts w:hint="eastAsia" w:eastAsia="宋体"/>
                <w:b/>
                <w:bCs/>
                <w:color w:val="000000"/>
                <w:sz w:val="24"/>
                <w:szCs w:val="24"/>
                <w:lang w:val="en-US" w:eastAsia="zh-CN"/>
              </w:rPr>
              <w:t>右一：谢寒梅</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eastAsia="宋体"/>
                <w:b/>
                <w:bCs/>
                <w:color w:val="000000"/>
                <w:sz w:val="24"/>
                <w:szCs w:val="24"/>
                <w:lang w:val="en-US" w:eastAsia="zh-CN"/>
              </w:rPr>
            </w:pPr>
            <w:r>
              <w:rPr>
                <w:rFonts w:hint="eastAsia" w:ascii="Times New Roman" w:hAnsi="Times New Roman" w:eastAsia="宋体"/>
                <w:color w:val="auto"/>
                <w:sz w:val="28"/>
                <w:lang w:eastAsia="zh-CN"/>
              </w:rPr>
              <w:drawing>
                <wp:inline distT="0" distB="0" distL="114300" distR="114300">
                  <wp:extent cx="4578350" cy="3723005"/>
                  <wp:effectExtent l="0" t="0" r="12700" b="10795"/>
                  <wp:docPr id="2" name="图片 2" descr="微信图片_20231026091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31026091340"/>
                          <pic:cNvPicPr>
                            <a:picLocks noChangeAspect="1"/>
                          </pic:cNvPicPr>
                        </pic:nvPicPr>
                        <pic:blipFill>
                          <a:blip r:embed="rId5"/>
                          <a:srcRect t="5750" b="15128"/>
                          <a:stretch>
                            <a:fillRect/>
                          </a:stretch>
                        </pic:blipFill>
                        <pic:spPr>
                          <a:xfrm>
                            <a:off x="0" y="0"/>
                            <a:ext cx="4578350" cy="3723005"/>
                          </a:xfrm>
                          <a:prstGeom prst="rect">
                            <a:avLst/>
                          </a:prstGeom>
                          <a:noFill/>
                          <a:ln>
                            <a:noFill/>
                          </a:ln>
                        </pic:spPr>
                      </pic:pic>
                    </a:graphicData>
                  </a:graphic>
                </wp:inline>
              </w:drawing>
            </w:r>
          </w:p>
          <w:p>
            <w:pPr>
              <w:pStyle w:val="16"/>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eastAsia="宋体"/>
                <w:b/>
                <w:bCs/>
                <w:color w:val="000000"/>
                <w:sz w:val="28"/>
                <w:szCs w:val="28"/>
                <w:lang w:val="en-US" w:eastAsia="zh-CN"/>
              </w:rPr>
            </w:pPr>
            <w:r>
              <w:rPr>
                <w:rFonts w:hint="eastAsia" w:eastAsia="宋体"/>
                <w:b/>
                <w:bCs/>
                <w:color w:val="000000"/>
                <w:sz w:val="24"/>
                <w:szCs w:val="24"/>
                <w:lang w:val="en-US" w:eastAsia="zh-CN"/>
              </w:rPr>
              <w:t>左一：郑强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00" w:type="pct"/>
            <w:gridSpan w:val="3"/>
          </w:tcPr>
          <w:p>
            <w:pPr>
              <w:rPr>
                <w:rFonts w:hint="default" w:ascii="Times New Roman" w:hAnsi="Times New Roman" w:cs="Times New Roman"/>
                <w:sz w:val="24"/>
                <w:szCs w:val="24"/>
              </w:rPr>
            </w:pPr>
            <w:r>
              <w:rPr>
                <w:rFonts w:hint="default" w:ascii="Times New Roman" w:hAnsi="Times New Roman" w:cs="Times New Roman"/>
                <w:sz w:val="24"/>
                <w:szCs w:val="24"/>
              </w:rPr>
              <w:t>提交时间：</w:t>
            </w:r>
          </w:p>
        </w:tc>
        <w:tc>
          <w:tcPr>
            <w:tcW w:w="2500" w:type="pct"/>
          </w:tcPr>
          <w:p>
            <w:pP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2024.1.8</w:t>
            </w:r>
          </w:p>
        </w:tc>
      </w:tr>
    </w:tbl>
    <w:p>
      <w:pPr>
        <w:jc w:val="both"/>
        <w:rPr>
          <w:rFonts w:hint="eastAsia" w:eastAsiaTheme="minorEastAsia"/>
          <w:lang w:eastAsia="zh-CN"/>
        </w:rPr>
      </w:pPr>
      <w:bookmarkStart w:id="1" w:name="_GoBack"/>
      <w:bookmarkEnd w:id="1"/>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iNTMzM2Q3NmIzMGJhNzRiNDY5YzFkNjM0MjhlNTQifQ=="/>
  </w:docVars>
  <w:rsids>
    <w:rsidRoot w:val="00DC121B"/>
    <w:rsid w:val="00431C16"/>
    <w:rsid w:val="00C773A1"/>
    <w:rsid w:val="00CA5370"/>
    <w:rsid w:val="00DC121B"/>
    <w:rsid w:val="041D633B"/>
    <w:rsid w:val="05F81008"/>
    <w:rsid w:val="0A9D24A5"/>
    <w:rsid w:val="1BED26C4"/>
    <w:rsid w:val="1D1D6358"/>
    <w:rsid w:val="1DAE7DCC"/>
    <w:rsid w:val="266D4805"/>
    <w:rsid w:val="28487016"/>
    <w:rsid w:val="2E375718"/>
    <w:rsid w:val="30310181"/>
    <w:rsid w:val="39933A44"/>
    <w:rsid w:val="3BC10ADD"/>
    <w:rsid w:val="408112E3"/>
    <w:rsid w:val="42235E22"/>
    <w:rsid w:val="47123FFB"/>
    <w:rsid w:val="56332E5B"/>
    <w:rsid w:val="5C8E4EE7"/>
    <w:rsid w:val="5F8A5D4B"/>
    <w:rsid w:val="602D7F21"/>
    <w:rsid w:val="610A2B60"/>
    <w:rsid w:val="71891097"/>
    <w:rsid w:val="755B1633"/>
    <w:rsid w:val="78CE482F"/>
    <w:rsid w:val="7A8B75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qFormat/>
    <w:uiPriority w:val="0"/>
    <w:pPr>
      <w:keepNext/>
      <w:keepLines/>
      <w:spacing w:beforeLines="0" w:afterLines="0" w:line="600" w:lineRule="exact"/>
      <w:outlineLvl w:val="1"/>
    </w:pPr>
    <w:rPr>
      <w:rFonts w:ascii="Times New Roman" w:hAnsi="Times New Roman"/>
      <w:b/>
      <w:bCs/>
      <w:sz w:val="28"/>
      <w:szCs w:val="28"/>
    </w:rPr>
  </w:style>
  <w:style w:type="paragraph" w:styleId="2">
    <w:name w:val="heading 4"/>
    <w:basedOn w:val="1"/>
    <w:next w:val="1"/>
    <w:qFormat/>
    <w:uiPriority w:val="0"/>
    <w:pPr>
      <w:keepNext/>
      <w:keepLines/>
      <w:adjustRightInd w:val="0"/>
      <w:spacing w:before="280" w:after="290" w:line="376" w:lineRule="atLeast"/>
      <w:ind w:firstLine="567"/>
      <w:jc w:val="left"/>
      <w:outlineLvl w:val="3"/>
    </w:pPr>
    <w:rPr>
      <w:rFonts w:ascii="Arial" w:hAnsi="Arial" w:eastAsia="宋体"/>
      <w:kern w:val="0"/>
      <w:szCs w:val="20"/>
    </w:rPr>
  </w:style>
  <w:style w:type="character" w:default="1" w:styleId="11">
    <w:name w:val="Default Paragraph Font"/>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autoRedefine/>
    <w:qFormat/>
    <w:uiPriority w:val="0"/>
    <w:rPr>
      <w:rFonts w:eastAsia="黑体"/>
      <w:sz w:val="28"/>
    </w:rPr>
  </w:style>
  <w:style w:type="paragraph" w:styleId="5">
    <w:name w:val="Block Text"/>
    <w:basedOn w:val="1"/>
    <w:qFormat/>
    <w:uiPriority w:val="0"/>
    <w:pPr>
      <w:ind w:left="-71" w:leftChars="-34" w:right="-109" w:rightChars="-52"/>
    </w:pPr>
    <w:rPr>
      <w:b/>
      <w:bCs/>
      <w:sz w:val="28"/>
    </w:rPr>
  </w:style>
  <w:style w:type="paragraph" w:styleId="6">
    <w:name w:val="footer"/>
    <w:basedOn w:val="1"/>
    <w:next w:val="7"/>
    <w:autoRedefine/>
    <w:qFormat/>
    <w:uiPriority w:val="0"/>
    <w:pPr>
      <w:tabs>
        <w:tab w:val="center" w:pos="4153"/>
        <w:tab w:val="right" w:pos="8306"/>
      </w:tabs>
      <w:snapToGrid w:val="0"/>
      <w:jc w:val="left"/>
    </w:pPr>
    <w:rPr>
      <w:sz w:val="18"/>
      <w:szCs w:val="18"/>
    </w:rPr>
  </w:style>
  <w:style w:type="paragraph" w:styleId="7">
    <w:name w:val="Normal (Web)"/>
    <w:basedOn w:val="1"/>
    <w:next w:val="8"/>
    <w:autoRedefine/>
    <w:qFormat/>
    <w:uiPriority w:val="0"/>
    <w:pPr>
      <w:widowControl/>
      <w:spacing w:before="100" w:beforeLines="0" w:beforeAutospacing="1" w:after="100" w:afterLines="0" w:afterAutospacing="1"/>
      <w:jc w:val="left"/>
    </w:pPr>
    <w:rPr>
      <w:rFonts w:ascii="宋体" w:hAnsi="宋体"/>
      <w:kern w:val="0"/>
      <w:sz w:val="24"/>
    </w:rPr>
  </w:style>
  <w:style w:type="paragraph" w:customStyle="1" w:styleId="8">
    <w:name w:val="toc 84"/>
    <w:next w:val="1"/>
    <w:autoRedefine/>
    <w:qFormat/>
    <w:uiPriority w:val="99"/>
    <w:pPr>
      <w:wordWrap w:val="0"/>
      <w:ind w:left="2975"/>
      <w:jc w:val="both"/>
    </w:pPr>
    <w:rPr>
      <w:rFonts w:ascii="Times New Roman" w:hAnsi="Times New Roman" w:eastAsia="宋体" w:cs="Times New Roman"/>
      <w:sz w:val="21"/>
      <w:szCs w:val="22"/>
      <w:lang w:val="en-US" w:eastAsia="zh-CN" w:bidi="ar-SA"/>
    </w:rPr>
  </w:style>
  <w:style w:type="table" w:styleId="10">
    <w:name w:val="Table Grid"/>
    <w:basedOn w:val="9"/>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12">
    <w:name w:val="0正文"/>
    <w:autoRedefine/>
    <w:unhideWhenUsed/>
    <w:qFormat/>
    <w:uiPriority w:val="0"/>
    <w:pPr>
      <w:widowControl w:val="0"/>
      <w:spacing w:line="360" w:lineRule="auto"/>
      <w:ind w:firstLine="720" w:firstLineChars="200"/>
    </w:pPr>
    <w:rPr>
      <w:rFonts w:ascii="Calibri" w:hAnsi="Calibri" w:eastAsia="宋体" w:cstheme="minorBidi"/>
      <w:sz w:val="28"/>
      <w:szCs w:val="22"/>
      <w:lang w:val="en-US" w:eastAsia="zh-CN" w:bidi="ar-SA"/>
    </w:rPr>
  </w:style>
  <w:style w:type="paragraph" w:customStyle="1" w:styleId="13">
    <w:name w:val="样式 10 磅"/>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
    <w:name w:val="样式 标题 2"/>
    <w:basedOn w:val="3"/>
    <w:autoRedefine/>
    <w:qFormat/>
    <w:uiPriority w:val="0"/>
    <w:pPr>
      <w:snapToGrid w:val="0"/>
      <w:spacing w:before="120" w:beforeLines="0" w:after="120" w:afterLines="0" w:line="240" w:lineRule="auto"/>
    </w:pPr>
    <w:rPr>
      <w:rFonts w:eastAsia="宋体" w:cs="宋体"/>
      <w:bCs w:val="0"/>
    </w:rPr>
  </w:style>
  <w:style w:type="paragraph" w:customStyle="1" w:styleId="15">
    <w:name w:val="Default1"/>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6">
    <w:name w:val="zl正文"/>
    <w:basedOn w:val="1"/>
    <w:autoRedefine/>
    <w:qFormat/>
    <w:uiPriority w:val="0"/>
    <w:pPr>
      <w:spacing w:line="360" w:lineRule="auto"/>
      <w:ind w:firstLine="480" w:firstLineChars="200"/>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1702</Words>
  <Characters>1775</Characters>
  <Lines>1</Lines>
  <Paragraphs>1</Paragraphs>
  <TotalTime>0</TotalTime>
  <ScaleCrop>false</ScaleCrop>
  <LinksUpToDate>false</LinksUpToDate>
  <CharactersWithSpaces>1775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2016-03-22T07:50:00Z</dcterms:created>
  <dc:creator>微软用户</dc:creator>
  <cp:lastModifiedBy>安若秦天</cp:lastModifiedBy>
  <dcterms:modified xsi:type="dcterms:W3CDTF">2024-01-08T01:58:23Z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3BA7494C09C8475788773BAE5FCC1BDF_13</vt:lpwstr>
  </property>
</Properties>
</file>