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0410B">
      <w:pPr>
        <w:jc w:val="center"/>
        <w:rPr>
          <w:sz w:val="28"/>
          <w:szCs w:val="28"/>
        </w:rPr>
      </w:pPr>
      <w:r>
        <w:rPr>
          <w:rFonts w:hint="eastAsia"/>
          <w:sz w:val="28"/>
          <w:szCs w:val="28"/>
        </w:rPr>
        <w:t>存档报告电子版网上公示表</w:t>
      </w:r>
    </w:p>
    <w:tbl>
      <w:tblPr>
        <w:tblStyle w:val="8"/>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719"/>
        <w:gridCol w:w="5859"/>
      </w:tblGrid>
      <w:tr w14:paraId="2303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2719" w:type="dxa"/>
            <w:shd w:val="clear" w:color="auto" w:fill="auto"/>
            <w:vAlign w:val="center"/>
          </w:tcPr>
          <w:p w14:paraId="3EFA0084">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安全评价单位名称</w:t>
            </w:r>
          </w:p>
        </w:tc>
        <w:tc>
          <w:tcPr>
            <w:tcW w:w="5859" w:type="dxa"/>
            <w:shd w:val="clear" w:color="auto" w:fill="auto"/>
            <w:vAlign w:val="center"/>
          </w:tcPr>
          <w:p w14:paraId="218EE5F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lang w:val="en-US" w:eastAsia="zh-CN"/>
              </w:rPr>
              <w:t>兖州中材建设有限公司万年分公司</w:t>
            </w:r>
          </w:p>
        </w:tc>
      </w:tr>
      <w:tr w14:paraId="1F85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2719" w:type="dxa"/>
            <w:shd w:val="clear" w:color="auto" w:fill="auto"/>
            <w:vAlign w:val="center"/>
          </w:tcPr>
          <w:p w14:paraId="61776C2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项目名称:</w:t>
            </w:r>
          </w:p>
        </w:tc>
        <w:tc>
          <w:tcPr>
            <w:tcW w:w="5859" w:type="dxa"/>
            <w:shd w:val="clear" w:color="auto" w:fill="auto"/>
            <w:vAlign w:val="center"/>
          </w:tcPr>
          <w:p w14:paraId="444ED74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val="en-US" w:eastAsia="zh-CN"/>
              </w:rPr>
              <w:t>兖州中材建设有限公司万年分公司自用撬装式加油装置项目安全验收评价</w:t>
            </w:r>
          </w:p>
        </w:tc>
      </w:tr>
      <w:tr w14:paraId="3E2E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78" w:type="dxa"/>
            <w:gridSpan w:val="2"/>
            <w:shd w:val="clear" w:color="auto" w:fill="auto"/>
            <w:vAlign w:val="center"/>
          </w:tcPr>
          <w:p w14:paraId="623D0EE9">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Times New Roman" w:hAnsi="Times New Roman" w:eastAsia="宋体" w:cs="宋体"/>
                <w:sz w:val="21"/>
                <w:szCs w:val="21"/>
              </w:rPr>
            </w:pPr>
            <w:r>
              <w:rPr>
                <w:rFonts w:hint="eastAsia" w:ascii="Times New Roman" w:hAnsi="Times New Roman" w:eastAsia="宋体" w:cs="宋体"/>
                <w:sz w:val="21"/>
                <w:szCs w:val="21"/>
              </w:rPr>
              <w:t>简 介:</w:t>
            </w:r>
          </w:p>
        </w:tc>
      </w:tr>
      <w:tr w14:paraId="1688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8578" w:type="dxa"/>
            <w:gridSpan w:val="2"/>
            <w:shd w:val="clear" w:color="auto" w:fill="auto"/>
            <w:vAlign w:val="center"/>
          </w:tcPr>
          <w:p w14:paraId="53E72B32">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eastAsia"/>
                <w:lang w:val="en-US" w:eastAsia="zh-CN"/>
              </w:rPr>
            </w:pPr>
            <w:r>
              <w:rPr>
                <w:rFonts w:hint="eastAsia" w:ascii="Times New Roman" w:hAnsi="Times New Roman" w:eastAsia="宋体" w:cs="Times New Roman"/>
                <w:sz w:val="21"/>
                <w:szCs w:val="21"/>
                <w:lang w:eastAsia="zh-CN"/>
              </w:rPr>
              <w:t>兖州中材建设有限公司万年分公司为江西万年青水泥股份有限公司鹅岭石灰石矿的总承包单位，负责矿山的开采，运输车辆较多且用油量大，为解决内部车辆加油需求，兖州中材建设有限公司万年分公司经过总公司的批准后决定建设自用撬装式加油装置。本项目仅作为内部工程车辆加油自用，不对外经营营的企业，</w:t>
            </w:r>
            <w:r>
              <w:rPr>
                <w:rFonts w:hint="eastAsia" w:ascii="Times New Roman" w:hAnsi="Times New Roman" w:eastAsia="宋体" w:cs="Times New Roman"/>
                <w:sz w:val="21"/>
                <w:szCs w:val="21"/>
                <w:lang w:val="en-US" w:eastAsia="zh-CN"/>
              </w:rPr>
              <w:t>项目规模：1组撬装加油装置（30m³），站房1间（24m2）</w:t>
            </w:r>
            <w:r>
              <w:rPr>
                <w:rFonts w:hint="eastAsia" w:ascii="Times New Roman" w:hAnsi="Times New Roman" w:eastAsia="宋体" w:cs="Times New Roman"/>
                <w:sz w:val="21"/>
                <w:szCs w:val="21"/>
                <w:lang w:eastAsia="zh-CN"/>
              </w:rPr>
              <w:t>。位于</w:t>
            </w:r>
            <w:r>
              <w:rPr>
                <w:rFonts w:hint="eastAsia" w:ascii="Times New Roman" w:hAnsi="Times New Roman" w:eastAsia="宋体" w:cs="Times New Roman"/>
                <w:sz w:val="21"/>
                <w:szCs w:val="21"/>
                <w:lang w:val="en-US" w:eastAsia="zh-CN"/>
              </w:rPr>
              <w:t>江西省上饶市万年县鹅岭石灰石矿东北部</w:t>
            </w:r>
            <w:r>
              <w:rPr>
                <w:rFonts w:hint="eastAsia" w:ascii="Times New Roman" w:hAnsi="Times New Roman" w:eastAsia="宋体" w:cs="Times New Roman"/>
                <w:sz w:val="21"/>
                <w:szCs w:val="21"/>
                <w:lang w:eastAsia="zh-CN"/>
              </w:rPr>
              <w:t>。储罐总容量为</w:t>
            </w:r>
            <w:r>
              <w:rPr>
                <w:rFonts w:hint="eastAsia"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lang w:eastAsia="zh-CN"/>
              </w:rPr>
              <w:t>m3，按柴油储罐折半计算，折算总容量为</w:t>
            </w:r>
            <w:r>
              <w:rPr>
                <w:rFonts w:hint="eastAsia" w:ascii="Times New Roman" w:hAnsi="Times New Roman" w:eastAsia="宋体" w:cs="Times New Roman"/>
                <w:sz w:val="21"/>
                <w:szCs w:val="21"/>
                <w:lang w:val="en-US" w:eastAsia="zh-CN"/>
              </w:rPr>
              <w:t>15</w:t>
            </w:r>
            <w:r>
              <w:rPr>
                <w:rFonts w:hint="eastAsia" w:ascii="Times New Roman" w:hAnsi="Times New Roman" w:eastAsia="宋体" w:cs="Times New Roman"/>
                <w:sz w:val="21"/>
                <w:szCs w:val="21"/>
                <w:lang w:eastAsia="zh-CN"/>
              </w:rPr>
              <w:t>m3，为三级加油站。</w:t>
            </w:r>
          </w:p>
        </w:tc>
      </w:tr>
      <w:tr w14:paraId="3B76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323EE8B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安全评价项目组长:</w:t>
            </w:r>
          </w:p>
        </w:tc>
        <w:tc>
          <w:tcPr>
            <w:tcW w:w="5859" w:type="dxa"/>
            <w:shd w:val="clear" w:color="auto" w:fill="auto"/>
            <w:vAlign w:val="center"/>
          </w:tcPr>
          <w:p w14:paraId="255F12F9">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lang w:eastAsia="zh-CN"/>
              </w:rPr>
            </w:pPr>
            <w:r>
              <w:rPr>
                <w:rFonts w:hint="eastAsia" w:ascii="Times New Roman" w:hAnsi="Times New Roman" w:eastAsia="宋体" w:cs="宋体"/>
                <w:color w:val="auto"/>
                <w:sz w:val="21"/>
                <w:szCs w:val="21"/>
                <w:lang w:val="en-US" w:eastAsia="zh-CN"/>
              </w:rPr>
              <w:t>檀廷斌</w:t>
            </w:r>
          </w:p>
        </w:tc>
      </w:tr>
      <w:tr w14:paraId="76B4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719C840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技术负责人:</w:t>
            </w:r>
          </w:p>
        </w:tc>
        <w:tc>
          <w:tcPr>
            <w:tcW w:w="5859" w:type="dxa"/>
            <w:shd w:val="clear" w:color="auto" w:fill="auto"/>
            <w:vAlign w:val="center"/>
          </w:tcPr>
          <w:p w14:paraId="04946F81">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lang w:eastAsia="zh-CN"/>
              </w:rPr>
            </w:pPr>
            <w:r>
              <w:rPr>
                <w:rFonts w:hint="eastAsia" w:ascii="Times New Roman" w:hAnsi="Times New Roman" w:eastAsia="宋体" w:cs="宋体"/>
                <w:color w:val="auto"/>
                <w:kern w:val="0"/>
                <w:sz w:val="21"/>
                <w:szCs w:val="21"/>
                <w:lang w:val="en-US" w:eastAsia="zh-CN"/>
              </w:rPr>
              <w:t>周红波</w:t>
            </w:r>
          </w:p>
        </w:tc>
      </w:tr>
      <w:tr w14:paraId="6F0B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0A07DE6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过程控制负责人:</w:t>
            </w:r>
          </w:p>
        </w:tc>
        <w:tc>
          <w:tcPr>
            <w:tcW w:w="5859" w:type="dxa"/>
            <w:shd w:val="clear" w:color="auto" w:fill="auto"/>
            <w:vAlign w:val="center"/>
          </w:tcPr>
          <w:p w14:paraId="67CFB0BE">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kern w:val="0"/>
                <w:sz w:val="21"/>
                <w:szCs w:val="21"/>
                <w:lang w:val="en-US" w:eastAsia="zh-CN"/>
              </w:rPr>
              <w:t>黄香港</w:t>
            </w:r>
          </w:p>
        </w:tc>
      </w:tr>
      <w:tr w14:paraId="086E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7BC2D89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评价报告编制人:</w:t>
            </w:r>
          </w:p>
        </w:tc>
        <w:tc>
          <w:tcPr>
            <w:tcW w:w="5859" w:type="dxa"/>
            <w:shd w:val="clear" w:color="auto" w:fill="auto"/>
            <w:vAlign w:val="center"/>
          </w:tcPr>
          <w:p w14:paraId="01F7BAFF">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kern w:val="0"/>
                <w:sz w:val="21"/>
                <w:szCs w:val="21"/>
                <w:lang w:val="en-US" w:eastAsia="zh-CN"/>
              </w:rPr>
              <w:t>万宇浩</w:t>
            </w:r>
          </w:p>
        </w:tc>
      </w:tr>
      <w:tr w14:paraId="62BB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5707A736">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报告审核人:</w:t>
            </w:r>
          </w:p>
        </w:tc>
        <w:tc>
          <w:tcPr>
            <w:tcW w:w="5859" w:type="dxa"/>
            <w:shd w:val="clear" w:color="auto" w:fill="auto"/>
            <w:vAlign w:val="center"/>
          </w:tcPr>
          <w:p w14:paraId="2D6C46BF">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sz w:val="21"/>
                <w:szCs w:val="21"/>
                <w:lang w:val="en-US" w:eastAsia="zh-CN"/>
              </w:rPr>
              <w:t>王冠</w:t>
            </w:r>
          </w:p>
        </w:tc>
      </w:tr>
      <w:tr w14:paraId="007D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1248363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参与评价工作的安全评价师:</w:t>
            </w:r>
          </w:p>
        </w:tc>
        <w:tc>
          <w:tcPr>
            <w:tcW w:w="5859" w:type="dxa"/>
            <w:shd w:val="clear" w:color="auto" w:fill="auto"/>
            <w:vAlign w:val="center"/>
          </w:tcPr>
          <w:p w14:paraId="092D209A">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kern w:val="0"/>
                <w:sz w:val="21"/>
                <w:szCs w:val="21"/>
                <w:lang w:val="en-US" w:eastAsia="zh-CN"/>
              </w:rPr>
              <w:t>谢寒梅、李景龙、黄伯扬、</w:t>
            </w:r>
            <w:r>
              <w:rPr>
                <w:rFonts w:hint="eastAsia" w:ascii="Times New Roman" w:hAnsi="Times New Roman" w:eastAsia="宋体" w:cs="宋体"/>
                <w:color w:val="auto"/>
                <w:kern w:val="0"/>
                <w:sz w:val="21"/>
                <w:szCs w:val="21"/>
                <w:lang w:val="en-US" w:eastAsia="zh-CN"/>
              </w:rPr>
              <w:t>郑强</w:t>
            </w:r>
          </w:p>
        </w:tc>
      </w:tr>
      <w:tr w14:paraId="0356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570B8A4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注册安全工程师:</w:t>
            </w:r>
          </w:p>
        </w:tc>
        <w:tc>
          <w:tcPr>
            <w:tcW w:w="5859" w:type="dxa"/>
            <w:shd w:val="clear" w:color="auto" w:fill="auto"/>
            <w:vAlign w:val="center"/>
          </w:tcPr>
          <w:p w14:paraId="610D00B1">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万宇浩</w:t>
            </w:r>
          </w:p>
        </w:tc>
      </w:tr>
      <w:tr w14:paraId="7950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2719" w:type="dxa"/>
            <w:shd w:val="clear" w:color="auto" w:fill="auto"/>
            <w:vAlign w:val="center"/>
          </w:tcPr>
          <w:p w14:paraId="0EDD2FD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技术专家:</w:t>
            </w:r>
          </w:p>
        </w:tc>
        <w:tc>
          <w:tcPr>
            <w:tcW w:w="5859" w:type="dxa"/>
            <w:shd w:val="clear" w:color="auto" w:fill="auto"/>
            <w:vAlign w:val="center"/>
          </w:tcPr>
          <w:p w14:paraId="64D4C586">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lang w:eastAsia="zh-CN"/>
              </w:rPr>
            </w:pPr>
          </w:p>
        </w:tc>
      </w:tr>
      <w:tr w14:paraId="2B83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7FD8789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到现场开展安全评价工作的人员名单:</w:t>
            </w:r>
          </w:p>
        </w:tc>
        <w:tc>
          <w:tcPr>
            <w:tcW w:w="5859" w:type="dxa"/>
            <w:shd w:val="clear" w:color="auto" w:fill="auto"/>
            <w:vAlign w:val="center"/>
          </w:tcPr>
          <w:p w14:paraId="5A18EEFA">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宋体"/>
                <w:sz w:val="21"/>
                <w:szCs w:val="21"/>
                <w:lang w:val="en-US" w:eastAsia="zh-CN"/>
              </w:rPr>
            </w:pPr>
            <w:r>
              <w:rPr>
                <w:rFonts w:hint="eastAsia" w:ascii="Times New Roman" w:hAnsi="Times New Roman" w:eastAsia="宋体" w:cs="宋体"/>
                <w:color w:val="auto"/>
                <w:kern w:val="0"/>
                <w:sz w:val="21"/>
                <w:szCs w:val="21"/>
                <w:lang w:val="en-US" w:eastAsia="zh-CN"/>
              </w:rPr>
              <w:t>万宇浩、檀廷斌</w:t>
            </w:r>
          </w:p>
        </w:tc>
      </w:tr>
      <w:tr w14:paraId="21A6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719" w:type="dxa"/>
            <w:shd w:val="clear" w:color="auto" w:fill="auto"/>
            <w:vAlign w:val="center"/>
          </w:tcPr>
          <w:p w14:paraId="532D171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宋体"/>
                <w:sz w:val="21"/>
                <w:szCs w:val="21"/>
              </w:rPr>
            </w:pPr>
            <w:r>
              <w:rPr>
                <w:rFonts w:ascii="Times New Roman" w:hAnsi="Times New Roman" w:eastAsia="宋体"/>
                <w:sz w:val="21"/>
                <w:szCs w:val="21"/>
              </w:rPr>
              <w:t>时间和主要任务:</w:t>
            </w:r>
          </w:p>
        </w:tc>
        <w:tc>
          <w:tcPr>
            <w:tcW w:w="5859" w:type="dxa"/>
            <w:shd w:val="clear" w:color="auto" w:fill="auto"/>
            <w:vAlign w:val="center"/>
          </w:tcPr>
          <w:p w14:paraId="249477B5">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rPr>
                <w:rFonts w:hint="eastAsia" w:ascii="Times New Roman" w:hAnsi="Times New Roman" w:eastAsia="宋体" w:cs="宋体"/>
                <w:sz w:val="21"/>
                <w:szCs w:val="21"/>
              </w:rPr>
            </w:pPr>
            <w:r>
              <w:rPr>
                <w:rFonts w:hint="eastAsia" w:ascii="Times New Roman" w:hAnsi="Times New Roman" w:eastAsia="宋体" w:cs="宋体"/>
                <w:color w:val="auto"/>
                <w:kern w:val="0"/>
                <w:sz w:val="21"/>
                <w:szCs w:val="21"/>
              </w:rPr>
              <w:t>时间</w:t>
            </w:r>
            <w:r>
              <w:rPr>
                <w:rFonts w:hint="eastAsia" w:ascii="Times New Roman" w:hAnsi="Times New Roman" w:eastAsia="宋体" w:cs="宋体"/>
                <w:color w:val="auto"/>
                <w:kern w:val="0"/>
                <w:sz w:val="21"/>
                <w:szCs w:val="21"/>
                <w:highlight w:val="none"/>
              </w:rPr>
              <w:t>：</w:t>
            </w:r>
            <w:r>
              <w:rPr>
                <w:rFonts w:hint="eastAsia" w:ascii="Times New Roman" w:hAnsi="Times New Roman" w:eastAsia="宋体" w:cs="宋体"/>
                <w:color w:val="auto"/>
                <w:kern w:val="0"/>
                <w:sz w:val="21"/>
                <w:szCs w:val="21"/>
                <w:highlight w:val="none"/>
                <w:lang w:val="en-US" w:eastAsia="zh-CN"/>
              </w:rPr>
              <w:t>2025.4.3-2025.5.15</w:t>
            </w:r>
            <w:r>
              <w:rPr>
                <w:rFonts w:hint="eastAsia" w:ascii="Times New Roman" w:hAnsi="Times New Roman" w:eastAsia="宋体" w:cs="宋体"/>
                <w:color w:val="auto"/>
                <w:kern w:val="0"/>
                <w:sz w:val="21"/>
                <w:szCs w:val="21"/>
                <w:highlight w:val="none"/>
              </w:rPr>
              <w:t>；</w:t>
            </w:r>
            <w:r>
              <w:rPr>
                <w:rFonts w:hint="eastAsia" w:ascii="Times New Roman" w:hAnsi="Times New Roman" w:eastAsia="宋体" w:cs="宋体"/>
                <w:color w:val="auto"/>
                <w:kern w:val="0"/>
                <w:sz w:val="21"/>
                <w:szCs w:val="21"/>
              </w:rPr>
              <w:t>主要任务：</w:t>
            </w:r>
            <w:r>
              <w:rPr>
                <w:rFonts w:hint="eastAsia" w:ascii="Times New Roman" w:hAnsi="Times New Roman" w:eastAsia="宋体" w:cs="宋体"/>
                <w:color w:val="auto"/>
                <w:kern w:val="0"/>
                <w:sz w:val="21"/>
                <w:szCs w:val="21"/>
                <w:lang w:val="en-US" w:eastAsia="zh-CN"/>
              </w:rPr>
              <w:t>安全验收评价报告编制</w:t>
            </w:r>
          </w:p>
        </w:tc>
      </w:tr>
      <w:tr w14:paraId="4572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78" w:type="dxa"/>
            <w:gridSpan w:val="2"/>
            <w:shd w:val="clear" w:color="auto" w:fill="auto"/>
            <w:vAlign w:val="center"/>
          </w:tcPr>
          <w:p w14:paraId="216127A1">
            <w:pPr>
              <w:adjustRightInd/>
              <w:snapToGrid/>
              <w:spacing w:after="0" w:line="300" w:lineRule="exact"/>
              <w:rPr>
                <w:rFonts w:ascii="Times New Roman" w:hAnsi="Times New Roman" w:eastAsia="宋体"/>
                <w:sz w:val="21"/>
                <w:szCs w:val="21"/>
              </w:rPr>
            </w:pPr>
            <w:r>
              <w:rPr>
                <w:rFonts w:ascii="Times New Roman" w:hAnsi="Times New Roman" w:eastAsia="宋体"/>
                <w:sz w:val="21"/>
                <w:szCs w:val="21"/>
              </w:rPr>
              <w:t>评价报告:</w:t>
            </w:r>
          </w:p>
        </w:tc>
      </w:tr>
      <w:tr w14:paraId="2F5B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8578" w:type="dxa"/>
            <w:gridSpan w:val="2"/>
            <w:shd w:val="clear" w:color="auto" w:fill="auto"/>
            <w:vAlign w:val="center"/>
          </w:tcPr>
          <w:p w14:paraId="719FE754">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Times New Roman" w:hAnsi="Times New Roman" w:eastAsia="宋体" w:cs="宋体"/>
                <w:sz w:val="21"/>
                <w:szCs w:val="21"/>
                <w:lang w:eastAsia="zh-CN"/>
              </w:rPr>
            </w:pPr>
            <w:r>
              <w:rPr>
                <w:rFonts w:hint="eastAsia" w:ascii="Times New Roman" w:hAnsi="Times New Roman" w:eastAsia="宋体" w:cs="宋体"/>
                <w:sz w:val="21"/>
                <w:szCs w:val="21"/>
              </w:rPr>
              <w:t>评价结论</w:t>
            </w:r>
            <w:r>
              <w:rPr>
                <w:rFonts w:hint="eastAsia" w:ascii="Times New Roman" w:hAnsi="Times New Roman" w:eastAsia="宋体" w:cs="宋体"/>
                <w:sz w:val="21"/>
                <w:szCs w:val="21"/>
                <w:lang w:eastAsia="zh-CN"/>
              </w:rPr>
              <w:t>：</w:t>
            </w:r>
          </w:p>
          <w:p w14:paraId="46850B97">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兖州中材建设有限公司万年分公司自用撬装式加油装置项目所涉及的安全条件符合国家法律法规</w:t>
            </w:r>
            <w:bookmarkStart w:id="0" w:name="_GoBack"/>
            <w:bookmarkEnd w:id="0"/>
            <w:r>
              <w:rPr>
                <w:rFonts w:hint="eastAsia" w:ascii="Times New Roman" w:hAnsi="Times New Roman" w:eastAsia="宋体" w:cs="Times New Roman"/>
                <w:sz w:val="21"/>
                <w:szCs w:val="21"/>
                <w:lang w:val="en-US" w:eastAsia="zh-CN"/>
              </w:rPr>
              <w:t>、相关标准规范的要求，安全装置和安全措施以及公用工程能够满足该项目正常生产过程中安全生产的需要，该项目的安全管理能够满足安全生产的需要。</w:t>
            </w:r>
          </w:p>
          <w:p w14:paraId="35EBF26A">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建议企业进一步加强安全管理，落实本报告提出的安全管理方面的建议和安全设施方面的对策措施，提高安全生产管理人员和职工的技术、技能水平和安全意识，维护好安全监测、控制和报警设施，进一步提高项目本质安全度，达到安全生产的目的。</w:t>
            </w:r>
          </w:p>
          <w:p w14:paraId="68528EA2">
            <w:pPr>
              <w:keepNext w:val="0"/>
              <w:keepLines w:val="0"/>
              <w:pageBreakBefore w:val="0"/>
              <w:widowControl/>
              <w:kinsoku/>
              <w:wordWrap/>
              <w:overflowPunct/>
              <w:topLinePunct w:val="0"/>
              <w:autoSpaceDE/>
              <w:autoSpaceDN/>
              <w:bidi w:val="0"/>
              <w:adjustRightInd w:val="0"/>
              <w:snapToGrid w:val="0"/>
              <w:spacing w:after="0" w:line="240" w:lineRule="auto"/>
              <w:ind w:firstLine="422" w:firstLineChars="200"/>
              <w:textAlignment w:val="auto"/>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val="en-US" w:eastAsia="zh-CN"/>
              </w:rPr>
              <w:t>综上所述</w:t>
            </w:r>
            <w:r>
              <w:rPr>
                <w:rFonts w:hint="eastAsia" w:ascii="Times New Roman" w:hAnsi="Times New Roman" w:eastAsia="宋体" w:cs="Times New Roman"/>
                <w:b/>
                <w:bCs/>
                <w:sz w:val="21"/>
                <w:szCs w:val="21"/>
                <w:lang w:eastAsia="zh-CN"/>
              </w:rPr>
              <w:t>，兖州中材建设有限公司万年分公司自用撬装式加油装置项目</w:t>
            </w:r>
            <w:r>
              <w:rPr>
                <w:rFonts w:hint="eastAsia" w:ascii="Times New Roman" w:hAnsi="Times New Roman" w:eastAsia="宋体" w:cs="Times New Roman"/>
                <w:b/>
                <w:bCs/>
                <w:sz w:val="21"/>
                <w:szCs w:val="21"/>
                <w:lang w:val="en-US" w:eastAsia="zh-CN"/>
              </w:rPr>
              <w:t>安全设施设计中的安全设施落实，符合国家安全生产方面的法律、法规、标准、规范的要求，</w:t>
            </w:r>
            <w:r>
              <w:rPr>
                <w:rFonts w:hint="eastAsia" w:ascii="Times New Roman" w:hAnsi="Times New Roman" w:eastAsia="宋体" w:cs="Times New Roman"/>
                <w:b/>
                <w:bCs/>
                <w:sz w:val="21"/>
                <w:szCs w:val="21"/>
                <w:lang w:eastAsia="zh-CN"/>
              </w:rPr>
              <w:t>具备安全生产验收条件。</w:t>
            </w:r>
          </w:p>
          <w:p w14:paraId="7C4E0E9E">
            <w:pPr>
              <w:keepNext w:val="0"/>
              <w:keepLines w:val="0"/>
              <w:pageBreakBefore w:val="0"/>
              <w:widowControl/>
              <w:kinsoku/>
              <w:wordWrap/>
              <w:overflowPunct/>
              <w:topLinePunct w:val="0"/>
              <w:autoSpaceDE/>
              <w:autoSpaceDN/>
              <w:bidi w:val="0"/>
              <w:adjustRightInd w:val="0"/>
              <w:snapToGrid w:val="0"/>
              <w:spacing w:after="0" w:line="320" w:lineRule="exact"/>
              <w:ind w:firstLine="420" w:firstLineChars="200"/>
              <w:textAlignment w:val="auto"/>
              <w:rPr>
                <w:rFonts w:hint="eastAsia" w:ascii="Times New Roman" w:hAnsi="Times New Roman" w:eastAsia="宋体"/>
                <w:sz w:val="21"/>
                <w:szCs w:val="21"/>
              </w:rPr>
            </w:pPr>
          </w:p>
        </w:tc>
      </w:tr>
      <w:tr w14:paraId="1511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2719" w:type="dxa"/>
            <w:shd w:val="clear" w:color="auto" w:fill="auto"/>
            <w:vAlign w:val="center"/>
          </w:tcPr>
          <w:p w14:paraId="583281C0">
            <w:pPr>
              <w:adjustRightInd/>
              <w:snapToGrid/>
              <w:spacing w:after="0" w:line="300" w:lineRule="exact"/>
              <w:rPr>
                <w:rFonts w:hint="eastAsia" w:ascii="Times New Roman" w:hAnsi="Times New Roman" w:eastAsia="宋体"/>
                <w:color w:val="auto"/>
                <w:sz w:val="21"/>
                <w:szCs w:val="21"/>
                <w:highlight w:val="none"/>
              </w:rPr>
            </w:pPr>
            <w:r>
              <w:rPr>
                <w:rFonts w:hint="eastAsia" w:ascii="Times New Roman" w:hAnsi="Times New Roman" w:eastAsia="宋体"/>
                <w:color w:val="auto"/>
                <w:sz w:val="21"/>
                <w:szCs w:val="21"/>
                <w:highlight w:val="none"/>
              </w:rPr>
              <w:t xml:space="preserve">提交时间: </w:t>
            </w:r>
          </w:p>
        </w:tc>
        <w:tc>
          <w:tcPr>
            <w:tcW w:w="5859" w:type="dxa"/>
            <w:shd w:val="clear" w:color="auto" w:fill="auto"/>
            <w:vAlign w:val="center"/>
          </w:tcPr>
          <w:p w14:paraId="1D6A27DB">
            <w:pPr>
              <w:adjustRightInd/>
              <w:snapToGrid/>
              <w:spacing w:after="0" w:line="300" w:lineRule="exact"/>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2025.08.04</w:t>
            </w:r>
          </w:p>
        </w:tc>
      </w:tr>
      <w:tr w14:paraId="6967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8578" w:type="dxa"/>
            <w:gridSpan w:val="2"/>
            <w:shd w:val="clear" w:color="auto" w:fill="auto"/>
            <w:vAlign w:val="center"/>
          </w:tcPr>
          <w:p w14:paraId="6B11E65C">
            <w:pPr>
              <w:keepNext w:val="0"/>
              <w:keepLines w:val="0"/>
              <w:pageBreakBefore w:val="0"/>
              <w:widowControl/>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drawing>
                <wp:inline distT="0" distB="0" distL="114300" distR="114300">
                  <wp:extent cx="5439410" cy="4044315"/>
                  <wp:effectExtent l="0" t="0" r="8890" b="13335"/>
                  <wp:docPr id="1" name="图片 1" descr="3949daaf247211d58bf088a2811f2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949daaf247211d58bf088a2811f2f6"/>
                          <pic:cNvPicPr>
                            <a:picLocks noChangeAspect="1"/>
                          </pic:cNvPicPr>
                        </pic:nvPicPr>
                        <pic:blipFill>
                          <a:blip r:embed="rId5"/>
                          <a:stretch>
                            <a:fillRect/>
                          </a:stretch>
                        </pic:blipFill>
                        <pic:spPr>
                          <a:xfrm>
                            <a:off x="0" y="0"/>
                            <a:ext cx="5439410" cy="4044315"/>
                          </a:xfrm>
                          <a:prstGeom prst="rect">
                            <a:avLst/>
                          </a:prstGeom>
                        </pic:spPr>
                      </pic:pic>
                    </a:graphicData>
                  </a:graphic>
                </wp:inline>
              </w:drawing>
            </w:r>
          </w:p>
        </w:tc>
      </w:tr>
    </w:tbl>
    <w:p w14:paraId="423B77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0287" w:usb1="00000000" w:usb2="00000000" w:usb3="00000000" w:csb0="4000009F" w:csb1="DFD70000"/>
  </w:font>
  <w:font w:name="宋体">
    <w:panose1 w:val="02010600030101010101"/>
    <w:charset w:val="52"/>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ODk5OTBiNDgyNjQ5YTFjZGM4YjA5MDQ1YWVhNGUifQ=="/>
  </w:docVars>
  <w:rsids>
    <w:rsidRoot w:val="368F575F"/>
    <w:rsid w:val="04B33ABD"/>
    <w:rsid w:val="07171DAE"/>
    <w:rsid w:val="091C129C"/>
    <w:rsid w:val="0B0B6D12"/>
    <w:rsid w:val="0C9079D1"/>
    <w:rsid w:val="0CD83521"/>
    <w:rsid w:val="0EB70D5C"/>
    <w:rsid w:val="1090132D"/>
    <w:rsid w:val="13EE5615"/>
    <w:rsid w:val="14470EDC"/>
    <w:rsid w:val="154028B0"/>
    <w:rsid w:val="158C55C2"/>
    <w:rsid w:val="1AC93414"/>
    <w:rsid w:val="1B934EB6"/>
    <w:rsid w:val="1C203148"/>
    <w:rsid w:val="1D861AEB"/>
    <w:rsid w:val="1D9B2DDD"/>
    <w:rsid w:val="20A965E7"/>
    <w:rsid w:val="22E66E2C"/>
    <w:rsid w:val="2B792018"/>
    <w:rsid w:val="2B962246"/>
    <w:rsid w:val="2C543F26"/>
    <w:rsid w:val="305F2722"/>
    <w:rsid w:val="316555F8"/>
    <w:rsid w:val="368F575F"/>
    <w:rsid w:val="3750244D"/>
    <w:rsid w:val="3D8557CC"/>
    <w:rsid w:val="41ED696A"/>
    <w:rsid w:val="4380423F"/>
    <w:rsid w:val="4C917861"/>
    <w:rsid w:val="4F9B3AB3"/>
    <w:rsid w:val="518055F8"/>
    <w:rsid w:val="5A063900"/>
    <w:rsid w:val="5BAF7482"/>
    <w:rsid w:val="5D704F5E"/>
    <w:rsid w:val="6236216D"/>
    <w:rsid w:val="6355164B"/>
    <w:rsid w:val="63B2551C"/>
    <w:rsid w:val="65054189"/>
    <w:rsid w:val="67A51BC0"/>
    <w:rsid w:val="68CC2E2F"/>
    <w:rsid w:val="6CFC0182"/>
    <w:rsid w:val="6E070C66"/>
    <w:rsid w:val="6E650577"/>
    <w:rsid w:val="74C94766"/>
    <w:rsid w:val="79EE0223"/>
    <w:rsid w:val="7FB6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qFormat/>
    <w:uiPriority w:val="0"/>
    <w:pPr>
      <w:widowControl/>
      <w:spacing w:beforeLines="0" w:beforeAutospacing="0" w:afterLines="0" w:afterAutospacing="0"/>
      <w:jc w:val="left"/>
      <w:outlineLvl w:val="0"/>
    </w:pPr>
    <w:rPr>
      <w:b/>
      <w:bCs/>
      <w:kern w:val="36"/>
      <w:sz w:val="30"/>
      <w:szCs w:val="30"/>
    </w:rPr>
  </w:style>
  <w:style w:type="paragraph" w:styleId="3">
    <w:name w:val="heading 2"/>
    <w:basedOn w:val="1"/>
    <w:next w:val="1"/>
    <w:qFormat/>
    <w:uiPriority w:val="9"/>
    <w:pPr>
      <w:keepNext/>
      <w:keepLines/>
      <w:widowControl w:val="0"/>
      <w:adjustRightInd/>
      <w:snapToGrid/>
      <w:spacing w:before="100" w:beforeLines="100" w:after="100" w:afterLines="100"/>
      <w:outlineLvl w:val="1"/>
    </w:pPr>
    <w:rPr>
      <w:rFonts w:ascii="Times New Roman" w:hAnsi="Times New Roman" w:eastAsia="黑体"/>
      <w:b/>
      <w:bCs/>
      <w:color w:val="000000"/>
      <w:kern w:val="2"/>
      <w:sz w:val="32"/>
      <w:szCs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widowControl/>
      <w:spacing w:before="100" w:beforeAutospacing="1" w:after="100" w:afterAutospacing="1"/>
      <w:jc w:val="left"/>
    </w:pPr>
    <w:rPr>
      <w:rFonts w:ascii="宋体" w:hAnsi="宋体"/>
      <w:kern w:val="0"/>
      <w:sz w:val="24"/>
    </w:rPr>
  </w:style>
  <w:style w:type="paragraph" w:styleId="5">
    <w:name w:val="footer"/>
    <w:basedOn w:val="1"/>
    <w:next w:val="6"/>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Body Text First Indent 2"/>
    <w:basedOn w:val="4"/>
    <w:next w:val="1"/>
    <w:qFormat/>
    <w:uiPriority w:val="0"/>
    <w:pPr>
      <w:ind w:firstLine="420" w:firstLineChars="200"/>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Default1"/>
    <w:basedOn w:val="12"/>
    <w:qFormat/>
    <w:uiPriority w:val="99"/>
    <w:pPr>
      <w:widowControl w:val="0"/>
      <w:autoSpaceDE w:val="0"/>
      <w:autoSpaceDN w:val="0"/>
      <w:adjustRightInd w:val="0"/>
    </w:pPr>
    <w:rPr>
      <w:rFonts w:ascii="宋体" w:cs="宋体"/>
      <w:color w:val="000000"/>
      <w:sz w:val="24"/>
      <w:szCs w:val="24"/>
      <w:lang w:val="en-US" w:eastAsia="zh-CN" w:bidi="ar-SA"/>
    </w:rPr>
  </w:style>
  <w:style w:type="paragraph" w:customStyle="1" w:styleId="12">
    <w:name w:val="常用正文样式"/>
    <w:qFormat/>
    <w:uiPriority w:val="0"/>
    <w:pPr>
      <w:widowControl w:val="0"/>
      <w:spacing w:line="360" w:lineRule="auto"/>
      <w:ind w:firstLine="454"/>
      <w:jc w:val="both"/>
    </w:pPr>
    <w:rPr>
      <w:rFonts w:ascii="宋体" w:hAnsi="新宋体" w:eastAsia="仿宋_GB2312" w:cs="Times New Roman"/>
      <w:kern w:val="2"/>
      <w:sz w:val="24"/>
      <w:szCs w:val="24"/>
      <w:lang w:val="en-US" w:eastAsia="zh-CN" w:bidi="ar-SA"/>
    </w:rPr>
  </w:style>
  <w:style w:type="paragraph" w:customStyle="1" w:styleId="13">
    <w:name w:val="样式 标题 2"/>
    <w:basedOn w:val="3"/>
    <w:qFormat/>
    <w:uiPriority w:val="0"/>
    <w:pPr>
      <w:adjustRightInd w:val="0"/>
      <w:snapToGrid w:val="0"/>
      <w:spacing w:before="120" w:beforeLines="0" w:after="120" w:afterLines="0" w:line="240" w:lineRule="auto"/>
      <w:textAlignment w:val="baseline"/>
    </w:pPr>
    <w:rPr>
      <w:rFonts w:ascii="Arial" w:hAnsi="Arial" w:eastAsia="宋体" w:cs="宋体"/>
      <w:sz w:val="32"/>
      <w:szCs w:val="32"/>
    </w:rPr>
  </w:style>
  <w:style w:type="paragraph" w:customStyle="1" w:styleId="14">
    <w:name w:val="Default"/>
    <w:basedOn w:val="1"/>
    <w:qFormat/>
    <w:uiPriority w:val="0"/>
    <w:pPr>
      <w:autoSpaceDE w:val="0"/>
      <w:autoSpaceDN w:val="0"/>
      <w:adjustRightInd w:val="0"/>
      <w:jc w:val="left"/>
    </w:pPr>
    <w:rPr>
      <w:rFonts w:ascii="Arial" w:hAnsi="Arial" w:cs="Arial"/>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742</Characters>
  <Lines>0</Lines>
  <Paragraphs>0</Paragraphs>
  <TotalTime>10</TotalTime>
  <ScaleCrop>false</ScaleCrop>
  <LinksUpToDate>false</LinksUpToDate>
  <CharactersWithSpaces>746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2019-10-18T01:41:00Z</dcterms:created>
  <dc:creator>YANG</dc:creator>
  <cp:lastModifiedBy>浩</cp:lastModifiedBy>
  <dcterms:modified xsi:type="dcterms:W3CDTF">2025-08-04T04:17:45Z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6EF0C8B330BC4D389DE7E82F47D243AE_13</vt:lpwstr>
  </property>
  <property fmtid="{D5CDD505-2E9C-101B-9397-08002B2CF9AE}" pid="4" name="KSOTemplateDocerSaveRecord">
    <vt:lpwstr>eyJoZGlkIjoiM2I1Y2YzNzdiNjg2OGM1NjRhOWI2ODk2MWVmYmFjOTIiLCJ1c2VySWQiOiI0NzIxOTM5OTcifQ==</vt:lpwstr>
  </property>
</Properties>
</file>