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6E5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44"/>
          <w:szCs w:val="44"/>
          <w:lang w:val="en-US" w:eastAsia="zh-CN"/>
        </w:rPr>
      </w:pPr>
    </w:p>
    <w:p w14:paraId="362B2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b/>
          <w:color w:val="auto"/>
          <w:sz w:val="44"/>
          <w:szCs w:val="44"/>
          <w:lang w:val="en-US" w:eastAsia="zh-CN"/>
        </w:rPr>
      </w:pPr>
    </w:p>
    <w:p w14:paraId="74EB5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color w:val="auto"/>
          <w:sz w:val="44"/>
          <w:szCs w:val="44"/>
        </w:rPr>
      </w:pPr>
    </w:p>
    <w:p w14:paraId="0BE29BF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48"/>
          <w:szCs w:val="48"/>
        </w:rPr>
      </w:pPr>
      <w:r>
        <w:rPr>
          <w:rFonts w:hint="eastAsia"/>
          <w:b/>
          <w:color w:val="auto"/>
          <w:sz w:val="48"/>
          <w:szCs w:val="48"/>
        </w:rPr>
        <w:t>弋阳海螺水泥有限责任公司</w:t>
      </w:r>
    </w:p>
    <w:p w14:paraId="0754CB8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b/>
          <w:color w:val="auto"/>
          <w:sz w:val="48"/>
          <w:szCs w:val="48"/>
        </w:rPr>
      </w:pPr>
      <w:r>
        <w:rPr>
          <w:rFonts w:hint="default" w:ascii="Times New Roman" w:hAnsi="Times New Roman" w:cs="Times New Roman"/>
          <w:b/>
          <w:color w:val="auto"/>
          <w:sz w:val="48"/>
          <w:szCs w:val="48"/>
        </w:rPr>
        <w:t>江西省弋阳县曹溪二矿区制碱用灰岩矿</w:t>
      </w:r>
    </w:p>
    <w:p w14:paraId="652EABA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r>
        <w:rPr>
          <w:rFonts w:hint="eastAsia" w:eastAsia="黑体"/>
          <w:b/>
          <w:color w:val="auto"/>
          <w:sz w:val="52"/>
          <w:szCs w:val="52"/>
        </w:rPr>
        <w:t>安全现状评价报告</w:t>
      </w:r>
    </w:p>
    <w:p w14:paraId="579F55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44"/>
          <w:szCs w:val="44"/>
        </w:rPr>
      </w:pPr>
      <w:r>
        <w:rPr>
          <w:rFonts w:hint="eastAsia" w:eastAsia="黑体"/>
          <w:b/>
          <w:color w:val="auto"/>
          <w:sz w:val="44"/>
          <w:szCs w:val="44"/>
        </w:rPr>
        <w:t>（</w:t>
      </w:r>
      <w:r>
        <w:rPr>
          <w:rFonts w:hint="eastAsia" w:eastAsia="黑体"/>
          <w:b/>
          <w:color w:val="FF0000"/>
          <w:sz w:val="44"/>
          <w:szCs w:val="44"/>
          <w:lang w:val="en-US" w:eastAsia="zh-CN"/>
        </w:rPr>
        <w:t>审核</w:t>
      </w:r>
      <w:r>
        <w:rPr>
          <w:rFonts w:hint="eastAsia" w:eastAsia="黑体"/>
          <w:b/>
          <w:color w:val="auto"/>
          <w:sz w:val="44"/>
          <w:szCs w:val="44"/>
          <w:lang w:val="en-US" w:eastAsia="zh-CN"/>
        </w:rPr>
        <w:t>稿</w:t>
      </w:r>
      <w:r>
        <w:rPr>
          <w:rFonts w:hint="eastAsia" w:eastAsia="黑体"/>
          <w:b/>
          <w:color w:val="auto"/>
          <w:sz w:val="44"/>
          <w:szCs w:val="44"/>
        </w:rPr>
        <w:t>）</w:t>
      </w:r>
    </w:p>
    <w:p w14:paraId="2761FE6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eastAsia="黑体"/>
          <w:b/>
          <w:color w:val="auto"/>
          <w:sz w:val="52"/>
          <w:szCs w:val="52"/>
        </w:rPr>
      </w:pPr>
    </w:p>
    <w:p w14:paraId="2A0EF81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1B48CE1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64239F74">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黑体"/>
          <w:b/>
          <w:color w:val="auto"/>
          <w:sz w:val="52"/>
          <w:szCs w:val="52"/>
        </w:rPr>
      </w:pPr>
    </w:p>
    <w:p w14:paraId="539E5479">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44"/>
        </w:rPr>
      </w:pPr>
    </w:p>
    <w:p w14:paraId="393A3A8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p>
    <w:p w14:paraId="0F2AADD7">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bCs/>
          <w:color w:val="auto"/>
          <w:sz w:val="44"/>
        </w:rPr>
      </w:pPr>
      <w:r>
        <w:rPr>
          <w:b/>
          <w:bCs/>
          <w:color w:val="auto"/>
          <w:sz w:val="44"/>
        </w:rPr>
        <w:t>江西赣安安全生产科学技术咨询服务中心</w:t>
      </w:r>
    </w:p>
    <w:p w14:paraId="0DEE1DA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bCs/>
          <w:color w:val="auto"/>
          <w:sz w:val="32"/>
        </w:rPr>
      </w:pPr>
      <w:r>
        <w:rPr>
          <w:rFonts w:hint="eastAsia"/>
          <w:b/>
          <w:bCs/>
          <w:color w:val="auto"/>
          <w:sz w:val="32"/>
        </w:rPr>
        <w:t>资质证书编号：</w:t>
      </w:r>
      <w:r>
        <w:rPr>
          <w:b/>
          <w:bCs/>
          <w:color w:val="auto"/>
          <w:sz w:val="32"/>
        </w:rPr>
        <w:t>APJ</w:t>
      </w:r>
      <w:r>
        <w:rPr>
          <w:rFonts w:hint="eastAsia"/>
          <w:b/>
          <w:bCs/>
          <w:color w:val="auto"/>
          <w:sz w:val="32"/>
        </w:rPr>
        <w:t>-（赣）-002</w:t>
      </w:r>
    </w:p>
    <w:p w14:paraId="0A5A6D96">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hAnsi="宋体"/>
          <w:b/>
          <w:bCs/>
          <w:color w:val="FF0000"/>
          <w:sz w:val="32"/>
        </w:rPr>
      </w:pPr>
      <w:r>
        <w:rPr>
          <w:rFonts w:hint="eastAsia" w:hAnsi="宋体"/>
          <w:b/>
          <w:bCs/>
          <w:color w:val="FF0000"/>
          <w:sz w:val="32"/>
        </w:rPr>
        <w:t>202</w:t>
      </w:r>
      <w:r>
        <w:rPr>
          <w:rFonts w:hint="eastAsia" w:hAnsi="宋体"/>
          <w:b/>
          <w:bCs/>
          <w:color w:val="FF0000"/>
          <w:sz w:val="32"/>
          <w:lang w:val="en-US" w:eastAsia="zh-CN"/>
        </w:rPr>
        <w:t>6</w:t>
      </w:r>
      <w:r>
        <w:rPr>
          <w:rFonts w:hAnsi="宋体"/>
          <w:b/>
          <w:bCs/>
          <w:color w:val="FF0000"/>
          <w:sz w:val="32"/>
        </w:rPr>
        <w:t>年</w:t>
      </w:r>
      <w:r>
        <w:rPr>
          <w:rFonts w:hint="eastAsia" w:hAnsi="宋体"/>
          <w:b/>
          <w:bCs/>
          <w:color w:val="FF0000"/>
          <w:sz w:val="32"/>
          <w:lang w:val="en-US" w:eastAsia="zh-CN"/>
        </w:rPr>
        <w:t>4</w:t>
      </w:r>
      <w:r>
        <w:rPr>
          <w:rFonts w:hAnsi="宋体"/>
          <w:b/>
          <w:bCs/>
          <w:color w:val="FF0000"/>
          <w:sz w:val="32"/>
        </w:rPr>
        <w:t>月</w:t>
      </w:r>
      <w:r>
        <w:rPr>
          <w:rFonts w:hint="eastAsia" w:hAnsi="宋体"/>
          <w:b/>
          <w:bCs/>
          <w:color w:val="FF0000"/>
          <w:sz w:val="32"/>
          <w:lang w:val="en-US" w:eastAsia="zh-CN"/>
        </w:rPr>
        <w:t>23</w:t>
      </w:r>
      <w:r>
        <w:rPr>
          <w:rFonts w:hint="eastAsia" w:hAnsi="宋体"/>
          <w:b/>
          <w:bCs/>
          <w:color w:val="FF0000"/>
          <w:sz w:val="32"/>
        </w:rPr>
        <w:t>日</w:t>
      </w:r>
    </w:p>
    <w:p w14:paraId="4C2FC1F0">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hAnsi="宋体"/>
          <w:b/>
          <w:bCs/>
          <w:color w:val="auto"/>
          <w:sz w:val="32"/>
        </w:rPr>
      </w:pPr>
    </w:p>
    <w:p w14:paraId="30952803">
      <w:pPr>
        <w:spacing w:line="600" w:lineRule="exact"/>
        <w:jc w:val="center"/>
        <w:rPr>
          <w:b/>
          <w:color w:val="auto"/>
          <w:sz w:val="32"/>
          <w:szCs w:val="32"/>
        </w:rPr>
      </w:pPr>
    </w:p>
    <w:p w14:paraId="7F3032E2">
      <w:pPr>
        <w:spacing w:line="600" w:lineRule="exact"/>
        <w:jc w:val="center"/>
        <w:rPr>
          <w:b/>
          <w:color w:val="auto"/>
          <w:sz w:val="32"/>
          <w:szCs w:val="32"/>
        </w:rPr>
        <w:sectPr>
          <w:pgSz w:w="11906" w:h="16839"/>
          <w:pgMar w:top="1417" w:right="1417" w:bottom="1417" w:left="1417" w:header="850" w:footer="964" w:gutter="0"/>
          <w:cols w:space="425" w:num="1"/>
          <w:rtlGutter w:val="0"/>
          <w:docGrid w:linePitch="312" w:charSpace="0"/>
        </w:sectPr>
      </w:pPr>
    </w:p>
    <w:p w14:paraId="4A0F7EDA">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color w:val="auto"/>
          <w:sz w:val="32"/>
          <w:szCs w:val="32"/>
        </w:rPr>
      </w:pPr>
    </w:p>
    <w:p w14:paraId="439B32A8">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p>
    <w:p w14:paraId="4606063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2"/>
          <w:szCs w:val="32"/>
        </w:rPr>
      </w:pPr>
    </w:p>
    <w:p w14:paraId="4C3F1EC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6"/>
          <w:szCs w:val="36"/>
        </w:rPr>
      </w:pPr>
      <w:r>
        <w:rPr>
          <w:rFonts w:hint="eastAsia"/>
          <w:b/>
          <w:color w:val="auto"/>
          <w:sz w:val="36"/>
          <w:szCs w:val="36"/>
        </w:rPr>
        <w:t>弋阳海螺水泥有限责任公司</w:t>
      </w:r>
    </w:p>
    <w:p w14:paraId="481985D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36"/>
          <w:szCs w:val="36"/>
        </w:rPr>
      </w:pPr>
      <w:r>
        <w:rPr>
          <w:rFonts w:hint="eastAsia"/>
          <w:b/>
          <w:color w:val="auto"/>
          <w:sz w:val="36"/>
          <w:szCs w:val="36"/>
        </w:rPr>
        <w:t>江西省弋阳县曹溪二矿区制碱用灰岩矿</w:t>
      </w:r>
    </w:p>
    <w:p w14:paraId="333D3DB2">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sz w:val="44"/>
          <w:szCs w:val="44"/>
        </w:rPr>
      </w:pPr>
      <w:r>
        <w:rPr>
          <w:rFonts w:hint="eastAsia"/>
          <w:b/>
          <w:color w:val="auto"/>
          <w:sz w:val="44"/>
          <w:szCs w:val="44"/>
        </w:rPr>
        <w:t>安全现状评价报告</w:t>
      </w:r>
    </w:p>
    <w:p w14:paraId="68670D1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r>
        <w:rPr>
          <w:rFonts w:hint="eastAsia" w:eastAsia="黑体"/>
          <w:b/>
          <w:color w:val="auto"/>
          <w:sz w:val="44"/>
          <w:szCs w:val="44"/>
        </w:rPr>
        <w:t>（</w:t>
      </w:r>
      <w:r>
        <w:rPr>
          <w:rFonts w:hint="eastAsia" w:eastAsia="黑体"/>
          <w:b/>
          <w:color w:val="FF0000"/>
          <w:sz w:val="44"/>
          <w:szCs w:val="44"/>
          <w:lang w:val="en-US" w:eastAsia="zh-CN"/>
        </w:rPr>
        <w:t>审核</w:t>
      </w:r>
      <w:r>
        <w:rPr>
          <w:rFonts w:hint="eastAsia" w:eastAsia="黑体"/>
          <w:b/>
          <w:color w:val="auto"/>
          <w:sz w:val="44"/>
          <w:szCs w:val="44"/>
          <w:lang w:val="en-US" w:eastAsia="zh-CN"/>
        </w:rPr>
        <w:t>稿</w:t>
      </w:r>
      <w:r>
        <w:rPr>
          <w:rFonts w:hint="eastAsia" w:eastAsia="黑体"/>
          <w:b/>
          <w:color w:val="auto"/>
          <w:sz w:val="44"/>
          <w:szCs w:val="44"/>
        </w:rPr>
        <w:t>）</w:t>
      </w:r>
    </w:p>
    <w:p w14:paraId="44B869D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6770B87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eastAsia="黑体"/>
          <w:b/>
          <w:color w:val="auto"/>
          <w:sz w:val="44"/>
          <w:szCs w:val="44"/>
        </w:rPr>
      </w:pPr>
    </w:p>
    <w:p w14:paraId="06417EA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14:paraId="2F71181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b/>
          <w:color w:val="auto"/>
          <w:sz w:val="44"/>
          <w:szCs w:val="44"/>
        </w:rPr>
      </w:pPr>
    </w:p>
    <w:p w14:paraId="13B9ED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法</w:t>
      </w:r>
      <w:r>
        <w:rPr>
          <w:rFonts w:hint="eastAsia"/>
          <w:color w:val="auto"/>
        </w:rPr>
        <w:t xml:space="preserve"> 定 </w:t>
      </w:r>
      <w:r>
        <w:rPr>
          <w:color w:val="auto"/>
        </w:rPr>
        <w:t>代</w:t>
      </w:r>
      <w:r>
        <w:rPr>
          <w:rFonts w:hint="eastAsia"/>
          <w:color w:val="auto"/>
        </w:rPr>
        <w:t xml:space="preserve"> </w:t>
      </w:r>
      <w:r>
        <w:rPr>
          <w:color w:val="auto"/>
        </w:rPr>
        <w:t>表</w:t>
      </w:r>
      <w:r>
        <w:rPr>
          <w:rFonts w:hint="eastAsia"/>
          <w:color w:val="auto"/>
        </w:rPr>
        <w:t xml:space="preserve"> </w:t>
      </w:r>
      <w:r>
        <w:rPr>
          <w:color w:val="auto"/>
        </w:rPr>
        <w:t>人：</w:t>
      </w:r>
      <w:r>
        <w:rPr>
          <w:rFonts w:hint="eastAsia"/>
          <w:color w:val="auto"/>
          <w:lang w:val="en-US" w:eastAsia="zh-CN"/>
        </w:rPr>
        <w:t>应  宏</w:t>
      </w:r>
    </w:p>
    <w:p w14:paraId="35FF3E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r>
        <w:rPr>
          <w:color w:val="auto"/>
        </w:rPr>
        <w:t>技</w:t>
      </w:r>
      <w:r>
        <w:rPr>
          <w:rFonts w:hint="eastAsia"/>
          <w:color w:val="auto"/>
        </w:rPr>
        <w:t xml:space="preserve"> </w:t>
      </w:r>
      <w:r>
        <w:rPr>
          <w:color w:val="auto"/>
        </w:rPr>
        <w:t>术</w:t>
      </w:r>
      <w:r>
        <w:rPr>
          <w:rFonts w:hint="eastAsia"/>
          <w:color w:val="auto"/>
        </w:rPr>
        <w:t xml:space="preserve"> </w:t>
      </w:r>
      <w:r>
        <w:rPr>
          <w:color w:val="auto"/>
        </w:rPr>
        <w:t>负</w:t>
      </w:r>
      <w:r>
        <w:rPr>
          <w:rFonts w:hint="eastAsia"/>
          <w:color w:val="auto"/>
        </w:rPr>
        <w:t xml:space="preserve"> </w:t>
      </w:r>
      <w:r>
        <w:rPr>
          <w:color w:val="auto"/>
        </w:rPr>
        <w:t>责</w:t>
      </w:r>
      <w:r>
        <w:rPr>
          <w:rFonts w:hint="eastAsia"/>
          <w:color w:val="auto"/>
        </w:rPr>
        <w:t xml:space="preserve"> </w:t>
      </w:r>
      <w:r>
        <w:rPr>
          <w:color w:val="auto"/>
        </w:rPr>
        <w:t>人：</w:t>
      </w:r>
      <w:r>
        <w:rPr>
          <w:rFonts w:hint="eastAsia"/>
          <w:color w:val="auto"/>
          <w:lang w:val="en-US" w:eastAsia="zh-CN"/>
        </w:rPr>
        <w:t>李  彦</w:t>
      </w:r>
    </w:p>
    <w:p w14:paraId="70F182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lang w:eastAsia="zh-CN"/>
        </w:rPr>
      </w:pPr>
      <w:r>
        <w:rPr>
          <w:color w:val="auto"/>
        </w:rPr>
        <w:t>评价项目负责人：</w:t>
      </w:r>
      <w:r>
        <w:rPr>
          <w:rFonts w:hint="eastAsia"/>
          <w:color w:val="auto"/>
        </w:rPr>
        <w:t>管自强</w:t>
      </w:r>
    </w:p>
    <w:p w14:paraId="3C6E82B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6BD303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014634B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7A9A5EF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rPr>
      </w:pPr>
    </w:p>
    <w:p w14:paraId="48C6B79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hAnsi="宋体"/>
          <w:b/>
          <w:bCs/>
          <w:color w:val="FF0000"/>
          <w:spacing w:val="20"/>
          <w:sz w:val="24"/>
        </w:rPr>
      </w:pPr>
      <w:r>
        <w:rPr>
          <w:b/>
          <w:bCs/>
          <w:color w:val="FF0000"/>
          <w:sz w:val="24"/>
        </w:rPr>
        <w:t>评价报告完成日期：</w:t>
      </w:r>
      <w:r>
        <w:rPr>
          <w:rFonts w:hint="eastAsia" w:hAnsi="宋体"/>
          <w:b/>
          <w:bCs/>
          <w:color w:val="FF0000"/>
          <w:spacing w:val="20"/>
          <w:sz w:val="24"/>
        </w:rPr>
        <w:t>202</w:t>
      </w:r>
      <w:r>
        <w:rPr>
          <w:rFonts w:hint="eastAsia" w:hAnsi="宋体"/>
          <w:b/>
          <w:bCs/>
          <w:color w:val="FF0000"/>
          <w:spacing w:val="20"/>
          <w:sz w:val="24"/>
          <w:lang w:val="en-US" w:eastAsia="zh-CN"/>
        </w:rPr>
        <w:t>6</w:t>
      </w:r>
      <w:r>
        <w:rPr>
          <w:rFonts w:hint="eastAsia" w:hAnsi="宋体"/>
          <w:b/>
          <w:bCs/>
          <w:color w:val="FF0000"/>
          <w:spacing w:val="20"/>
          <w:sz w:val="24"/>
        </w:rPr>
        <w:t>年</w:t>
      </w:r>
      <w:r>
        <w:rPr>
          <w:rFonts w:hint="eastAsia" w:hAnsi="宋体"/>
          <w:b/>
          <w:bCs/>
          <w:color w:val="FF0000"/>
          <w:spacing w:val="20"/>
          <w:sz w:val="24"/>
          <w:lang w:val="en-US" w:eastAsia="zh-CN"/>
        </w:rPr>
        <w:t>4</w:t>
      </w:r>
      <w:r>
        <w:rPr>
          <w:rFonts w:hint="eastAsia" w:hAnsi="宋体"/>
          <w:b/>
          <w:bCs/>
          <w:color w:val="FF0000"/>
          <w:spacing w:val="20"/>
          <w:sz w:val="24"/>
        </w:rPr>
        <w:t>月</w:t>
      </w:r>
      <w:r>
        <w:rPr>
          <w:rFonts w:hint="eastAsia" w:hAnsi="宋体"/>
          <w:b/>
          <w:bCs/>
          <w:color w:val="FF0000"/>
          <w:spacing w:val="20"/>
          <w:sz w:val="24"/>
          <w:lang w:val="en-US" w:eastAsia="zh-CN"/>
        </w:rPr>
        <w:t>23</w:t>
      </w:r>
      <w:r>
        <w:rPr>
          <w:rFonts w:hint="eastAsia" w:hAnsi="宋体"/>
          <w:b/>
          <w:bCs/>
          <w:color w:val="FF0000"/>
          <w:spacing w:val="20"/>
          <w:sz w:val="24"/>
        </w:rPr>
        <w:t>日</w:t>
      </w:r>
    </w:p>
    <w:p w14:paraId="3A560B61">
      <w:pPr>
        <w:bidi w:val="0"/>
        <w:ind w:left="0" w:leftChars="0" w:firstLine="0" w:firstLineChars="0"/>
        <w:jc w:val="center"/>
        <w:rPr>
          <w:rFonts w:hint="eastAsia"/>
        </w:rPr>
      </w:pPr>
    </w:p>
    <w:p w14:paraId="6CB34F2E">
      <w:pPr>
        <w:spacing w:line="600" w:lineRule="exact"/>
        <w:jc w:val="center"/>
        <w:rPr>
          <w:b/>
          <w:color w:val="auto"/>
          <w:sz w:val="32"/>
          <w:szCs w:val="32"/>
        </w:rPr>
      </w:pPr>
      <w:r>
        <w:rPr>
          <w:b/>
          <w:color w:val="auto"/>
          <w:sz w:val="32"/>
          <w:szCs w:val="32"/>
        </w:rPr>
        <w:br w:type="page"/>
      </w:r>
    </w:p>
    <w:p w14:paraId="6510750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p>
    <w:p w14:paraId="07C09C2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r>
        <w:rPr>
          <w:rFonts w:hint="eastAsia" w:ascii="宋体" w:hAnsi="宋体"/>
          <w:color w:val="auto"/>
          <w:sz w:val="36"/>
          <w:szCs w:val="36"/>
        </w:rPr>
        <w:t>弋阳海螺水泥有限责任公司</w:t>
      </w:r>
    </w:p>
    <w:p w14:paraId="5F02A7A2">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olor w:val="auto"/>
          <w:sz w:val="36"/>
          <w:szCs w:val="36"/>
        </w:rPr>
      </w:pPr>
      <w:r>
        <w:rPr>
          <w:rFonts w:hint="eastAsia" w:ascii="宋体" w:hAnsi="宋体"/>
          <w:color w:val="auto"/>
          <w:sz w:val="36"/>
          <w:szCs w:val="36"/>
        </w:rPr>
        <w:t>江西省弋阳县曹溪二矿区制碱用灰岩矿</w:t>
      </w:r>
    </w:p>
    <w:p w14:paraId="00A25C37">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ascii="宋体" w:hAnsi="宋体" w:cs="宋体"/>
          <w:color w:val="auto"/>
          <w:kern w:val="0"/>
          <w:sz w:val="36"/>
          <w:szCs w:val="36"/>
        </w:rPr>
      </w:pPr>
      <w:r>
        <w:rPr>
          <w:rFonts w:hint="eastAsia" w:ascii="宋体" w:hAnsi="宋体" w:cs="宋体"/>
          <w:color w:val="auto"/>
          <w:kern w:val="0"/>
          <w:sz w:val="36"/>
          <w:szCs w:val="36"/>
        </w:rPr>
        <w:t>安全现状</w:t>
      </w:r>
      <w:r>
        <w:rPr>
          <w:rFonts w:ascii="宋体" w:hAnsi="宋体" w:cs="宋体"/>
          <w:color w:val="auto"/>
          <w:kern w:val="0"/>
          <w:sz w:val="36"/>
          <w:szCs w:val="36"/>
        </w:rPr>
        <w:t>评价</w:t>
      </w:r>
      <w:r>
        <w:rPr>
          <w:rFonts w:hint="eastAsia" w:ascii="宋体" w:hAnsi="宋体" w:cs="宋体"/>
          <w:color w:val="auto"/>
          <w:kern w:val="0"/>
          <w:sz w:val="36"/>
          <w:szCs w:val="36"/>
        </w:rPr>
        <w:t>技术服务</w:t>
      </w:r>
      <w:r>
        <w:rPr>
          <w:rFonts w:ascii="宋体" w:hAnsi="宋体" w:cs="宋体"/>
          <w:color w:val="auto"/>
          <w:kern w:val="0"/>
          <w:sz w:val="36"/>
          <w:szCs w:val="36"/>
        </w:rPr>
        <w:t>承诺书</w:t>
      </w:r>
    </w:p>
    <w:p w14:paraId="1F32BFAF">
      <w:pPr>
        <w:keepNext w:val="0"/>
        <w:keepLines w:val="0"/>
        <w:pageBreakBefore w:val="0"/>
        <w:widowControl/>
        <w:kinsoku/>
        <w:wordWrap/>
        <w:overflowPunct/>
        <w:topLinePunct w:val="0"/>
        <w:autoSpaceDE/>
        <w:autoSpaceDN/>
        <w:bidi w:val="0"/>
        <w:adjustRightInd/>
        <w:snapToGrid/>
        <w:spacing w:beforeAutospacing="0" w:afterAutospacing="0" w:line="360" w:lineRule="auto"/>
        <w:ind w:firstLine="0" w:firstLineChars="0"/>
        <w:jc w:val="center"/>
        <w:textAlignment w:val="auto"/>
        <w:rPr>
          <w:rFonts w:hint="eastAsia" w:ascii="宋体" w:hAnsi="宋体" w:cs="宋体"/>
          <w:color w:val="auto"/>
          <w:kern w:val="0"/>
          <w:sz w:val="36"/>
          <w:szCs w:val="36"/>
        </w:rPr>
      </w:pPr>
    </w:p>
    <w:p w14:paraId="6A0E05A7">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一、在本项目安全评价活动过程中，我单位严格遵守《安全生产法》及相关法律、法规和标准的要求。</w:t>
      </w:r>
    </w:p>
    <w:p w14:paraId="522E8E4A">
      <w:pPr>
        <w:keepNext w:val="0"/>
        <w:keepLines w:val="0"/>
        <w:pageBreakBefore w:val="0"/>
        <w:widowControl/>
        <w:kinsoku/>
        <w:wordWrap/>
        <w:overflowPunct/>
        <w:topLinePunct w:val="0"/>
        <w:autoSpaceDE/>
        <w:autoSpaceDN/>
        <w:bidi w:val="0"/>
        <w:adjustRightInd/>
        <w:snapToGrid/>
        <w:spacing w:line="480" w:lineRule="auto"/>
        <w:ind w:firstLine="640" w:firstLineChars="200"/>
        <w:textAlignment w:val="auto"/>
        <w:rPr>
          <w:rFonts w:hint="eastAsia" w:ascii="宋体" w:hAnsi="宋体" w:cs="宋体"/>
          <w:color w:val="auto"/>
          <w:kern w:val="0"/>
          <w:sz w:val="36"/>
          <w:szCs w:val="36"/>
        </w:rPr>
      </w:pPr>
      <w:r>
        <w:rPr>
          <w:rFonts w:hint="eastAsia" w:ascii="仿宋" w:hAnsi="仿宋" w:eastAsia="仿宋" w:cs="宋体"/>
          <w:color w:val="auto"/>
          <w:kern w:val="0"/>
          <w:sz w:val="32"/>
          <w:szCs w:val="32"/>
        </w:rPr>
        <w:t>二、在本项目安全评价活动过程中，我单位作为第三方，未受到任何组织和个人的干预和影响，依法独立开展工作，保证了技术服务活动的客观公正性。</w:t>
      </w:r>
    </w:p>
    <w:p w14:paraId="338974C1">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三、我单位按照实事求是的原则，对本项目进行安全评价，确保出具的报告均真实有效，报告所提出的措施具有针对性、有效性和可行性。</w:t>
      </w:r>
    </w:p>
    <w:p w14:paraId="301E2149">
      <w:pPr>
        <w:keepNext w:val="0"/>
        <w:keepLines w:val="0"/>
        <w:pageBreakBefore w:val="0"/>
        <w:widowControl/>
        <w:kinsoku/>
        <w:wordWrap/>
        <w:overflowPunct/>
        <w:topLinePunct w:val="0"/>
        <w:autoSpaceDE/>
        <w:autoSpaceDN/>
        <w:bidi w:val="0"/>
        <w:adjustRightInd/>
        <w:snapToGrid/>
        <w:spacing w:line="480" w:lineRule="auto"/>
        <w:ind w:firstLine="640" w:firstLineChars="200"/>
        <w:jc w:val="left"/>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四、我单位对本项目安全评价报告中结论性内容承担法律责任。</w:t>
      </w:r>
    </w:p>
    <w:p w14:paraId="2C8AD663">
      <w:pPr>
        <w:keepNext w:val="0"/>
        <w:keepLines w:val="0"/>
        <w:pageBreakBefore w:val="0"/>
        <w:widowControl/>
        <w:kinsoku/>
        <w:wordWrap/>
        <w:overflowPunct/>
        <w:topLinePunct w:val="0"/>
        <w:autoSpaceDE/>
        <w:autoSpaceDN/>
        <w:bidi w:val="0"/>
        <w:adjustRightInd/>
        <w:snapToGrid/>
        <w:spacing w:before="100" w:beforeAutospacing="1" w:after="100" w:afterAutospacing="1" w:line="400" w:lineRule="exact"/>
        <w:ind w:left="5258" w:leftChars="228" w:hanging="4620" w:hangingChars="1650"/>
        <w:jc w:val="right"/>
        <w:textAlignment w:val="auto"/>
        <w:rPr>
          <w:color w:val="auto"/>
          <w:kern w:val="0"/>
          <w:szCs w:val="28"/>
        </w:rPr>
      </w:pPr>
      <w:r>
        <w:rPr>
          <w:color w:val="auto"/>
          <w:szCs w:val="28"/>
        </w:rPr>
        <w:t>江西赣安安全生产科学技术咨询服务中心</w:t>
      </w:r>
    </w:p>
    <w:p w14:paraId="4E19ACDE">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0" w:firstLineChars="0"/>
        <w:jc w:val="center"/>
        <w:textAlignment w:val="auto"/>
        <w:rPr>
          <w:rFonts w:hint="eastAsia"/>
          <w:color w:val="FF0000"/>
          <w:kern w:val="0"/>
          <w:szCs w:val="28"/>
        </w:rPr>
      </w:pPr>
      <w:r>
        <w:rPr>
          <w:rFonts w:hint="eastAsia"/>
          <w:color w:val="auto"/>
          <w:kern w:val="0"/>
          <w:szCs w:val="28"/>
          <w:lang w:val="en-US" w:eastAsia="zh-CN"/>
        </w:rPr>
        <w:t xml:space="preserve">                              </w:t>
      </w:r>
      <w:r>
        <w:rPr>
          <w:rFonts w:hint="eastAsia"/>
          <w:color w:val="FF0000"/>
          <w:kern w:val="0"/>
          <w:szCs w:val="28"/>
        </w:rPr>
        <w:t>202</w:t>
      </w:r>
      <w:r>
        <w:rPr>
          <w:rFonts w:hint="eastAsia"/>
          <w:color w:val="FF0000"/>
          <w:kern w:val="0"/>
          <w:szCs w:val="28"/>
          <w:lang w:val="en-US" w:eastAsia="zh-CN"/>
        </w:rPr>
        <w:t>6</w:t>
      </w:r>
      <w:r>
        <w:rPr>
          <w:rFonts w:hint="eastAsia"/>
          <w:color w:val="FF0000"/>
          <w:kern w:val="0"/>
          <w:szCs w:val="28"/>
        </w:rPr>
        <w:t>年</w:t>
      </w:r>
      <w:r>
        <w:rPr>
          <w:rFonts w:hint="eastAsia"/>
          <w:color w:val="FF0000"/>
          <w:kern w:val="0"/>
          <w:szCs w:val="28"/>
          <w:lang w:val="en-US" w:eastAsia="zh-CN"/>
        </w:rPr>
        <w:t>4</w:t>
      </w:r>
      <w:r>
        <w:rPr>
          <w:rFonts w:hint="eastAsia"/>
          <w:color w:val="FF0000"/>
          <w:kern w:val="0"/>
          <w:szCs w:val="28"/>
        </w:rPr>
        <w:t>月</w:t>
      </w:r>
      <w:r>
        <w:rPr>
          <w:rFonts w:hint="eastAsia"/>
          <w:color w:val="FF0000"/>
          <w:kern w:val="0"/>
          <w:szCs w:val="28"/>
          <w:lang w:val="en-US" w:eastAsia="zh-CN"/>
        </w:rPr>
        <w:t>23</w:t>
      </w:r>
      <w:r>
        <w:rPr>
          <w:rFonts w:hint="eastAsia"/>
          <w:color w:val="FF0000"/>
          <w:kern w:val="0"/>
          <w:szCs w:val="28"/>
        </w:rPr>
        <w:t>日</w:t>
      </w:r>
    </w:p>
    <w:p w14:paraId="6FF5D5F5">
      <w:pPr>
        <w:keepNext w:val="0"/>
        <w:keepLines w:val="0"/>
        <w:pageBreakBefore w:val="0"/>
        <w:widowControl/>
        <w:kinsoku/>
        <w:wordWrap/>
        <w:overflowPunct/>
        <w:topLinePunct w:val="0"/>
        <w:autoSpaceDE/>
        <w:autoSpaceDN/>
        <w:bidi w:val="0"/>
        <w:adjustRightInd/>
        <w:snapToGrid/>
        <w:spacing w:beforeAutospacing="0" w:afterAutospacing="0" w:line="400" w:lineRule="exact"/>
        <w:ind w:firstLine="0" w:firstLineChars="0"/>
        <w:jc w:val="center"/>
        <w:textAlignment w:val="auto"/>
        <w:rPr>
          <w:b/>
          <w:color w:val="auto"/>
          <w:szCs w:val="28"/>
        </w:rPr>
      </w:pPr>
      <w:r>
        <w:rPr>
          <w:b/>
          <w:color w:val="auto"/>
          <w:szCs w:val="28"/>
        </w:rPr>
        <w:br w:type="page"/>
      </w:r>
    </w:p>
    <w:p w14:paraId="425FE16D">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p>
    <w:p w14:paraId="3D4BB78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r>
        <w:rPr>
          <w:rFonts w:ascii="Times New Roman" w:hAnsi="Times New Roman" w:eastAsia="黑体" w:cs="Times New Roman"/>
          <w:b/>
          <w:color w:val="auto"/>
          <w:sz w:val="32"/>
          <w:szCs w:val="32"/>
        </w:rPr>
        <w:t>评 价 人 员</w:t>
      </w:r>
    </w:p>
    <w:p w14:paraId="0AF46855">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eastAsia="黑体" w:cs="Times New Roman"/>
          <w:b/>
          <w:color w:val="auto"/>
          <w:sz w:val="32"/>
          <w:szCs w:val="32"/>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290"/>
        <w:gridCol w:w="3018"/>
        <w:gridCol w:w="1564"/>
        <w:gridCol w:w="1301"/>
      </w:tblGrid>
      <w:tr w14:paraId="72A9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3A4AFFF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B311BB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姓  名</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4B6E93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证书编号</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6C94CAC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从业登记号</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1651FAC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签</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字</w:t>
            </w:r>
          </w:p>
        </w:tc>
      </w:tr>
      <w:tr w14:paraId="6B97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23B51FD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4990F3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264429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469B6F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692FFA8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E812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14:paraId="5528E20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项目组成员</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C74795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rPr>
              <w:t>曾华玉</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6838B7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rPr>
              <w:t>0800000000203970</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5B2AF0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rPr>
              <w:t>007037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5386E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A60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24464CC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2CA18B5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钟志宏</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932002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0002944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AEBEE4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36050002981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D5C13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17D4F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vMerge w:val="continue"/>
            <w:tcBorders>
              <w:left w:val="single" w:color="auto" w:sz="4" w:space="0"/>
              <w:right w:val="single" w:color="auto" w:sz="4" w:space="0"/>
            </w:tcBorders>
            <w:noWrap w:val="0"/>
            <w:vAlign w:val="center"/>
          </w:tcPr>
          <w:p w14:paraId="05A4C20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F202A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李景龙</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7F54AE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20231004636000000141</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184C7D8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36250406364</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126CA83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AAEB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03DA24E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621BC9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黄伯扬</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1D07861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eastAsia="宋体" w:cs="Times New Roman"/>
                <w:color w:val="auto"/>
                <w:sz w:val="24"/>
              </w:rPr>
              <w:t>800000000</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0</w:t>
            </w:r>
            <w:r>
              <w:rPr>
                <w:rFonts w:hint="default" w:ascii="Times New Roman" w:hAnsi="Times New Roman" w:cs="Times New Roman"/>
                <w:color w:val="auto"/>
                <w:sz w:val="24"/>
                <w:lang w:val="en-US" w:eastAsia="zh-CN"/>
              </w:rPr>
              <w:t>0643</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78DC5AF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lang w:val="en-US" w:eastAsia="zh-CN"/>
              </w:rPr>
              <w:t>032737</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835EC0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4160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vMerge w:val="continue"/>
            <w:tcBorders>
              <w:left w:val="single" w:color="auto" w:sz="4" w:space="0"/>
              <w:right w:val="single" w:color="auto" w:sz="4" w:space="0"/>
            </w:tcBorders>
            <w:noWrap w:val="0"/>
            <w:vAlign w:val="center"/>
          </w:tcPr>
          <w:p w14:paraId="68C10DB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7E26D9B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陆鸿</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7D51E9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03320251036000000215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9E2DBC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36260456621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3826168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7EC8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restart"/>
            <w:tcBorders>
              <w:top w:val="single" w:color="auto" w:sz="4" w:space="0"/>
              <w:left w:val="single" w:color="auto" w:sz="4" w:space="0"/>
              <w:right w:val="single" w:color="auto" w:sz="4" w:space="0"/>
            </w:tcBorders>
            <w:noWrap w:val="0"/>
            <w:vAlign w:val="center"/>
          </w:tcPr>
          <w:p w14:paraId="27E54449">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报告编制人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3B6D3AFA">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管自强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709D957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S011035000110191000614</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51B975F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020516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4EDEC40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070F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exact"/>
          <w:jc w:val="center"/>
        </w:trPr>
        <w:tc>
          <w:tcPr>
            <w:tcW w:w="1947" w:type="dxa"/>
            <w:vMerge w:val="continue"/>
            <w:tcBorders>
              <w:left w:val="single" w:color="auto" w:sz="4" w:space="0"/>
              <w:right w:val="single" w:color="auto" w:sz="4" w:space="0"/>
            </w:tcBorders>
            <w:noWrap w:val="0"/>
            <w:vAlign w:val="center"/>
          </w:tcPr>
          <w:p w14:paraId="2161A341">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c>
          <w:tcPr>
            <w:tcW w:w="1290" w:type="dxa"/>
            <w:tcBorders>
              <w:top w:val="single" w:color="auto" w:sz="4" w:space="0"/>
              <w:left w:val="single" w:color="auto" w:sz="4" w:space="0"/>
              <w:bottom w:val="single" w:color="auto" w:sz="4" w:space="0"/>
              <w:right w:val="single" w:color="auto" w:sz="4" w:space="0"/>
            </w:tcBorders>
            <w:noWrap w:val="0"/>
            <w:vAlign w:val="center"/>
          </w:tcPr>
          <w:p w14:paraId="6937AAC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eastAsia" w:cs="Times New Roman"/>
                <w:color w:val="auto"/>
                <w:sz w:val="24"/>
                <w:lang w:val="en-US" w:eastAsia="zh-CN"/>
              </w:rPr>
              <w:t>陆鸿</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5378EDE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03320251036000000215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20C5B0FC">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36260456621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423F7EF7">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58B6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09C597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报告审核人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CC7AC9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郑  强</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50AB4F63">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0800000000101605</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286CC255">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001851</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79007A2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4828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D86BF6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过程控制负责</w:t>
            </w:r>
            <w:r>
              <w:rPr>
                <w:rFonts w:hint="eastAsia" w:ascii="Times New Roman" w:hAnsi="Times New Roman" w:cs="Times New Roman"/>
                <w:color w:val="auto"/>
                <w:sz w:val="24"/>
                <w:lang w:val="en-US" w:eastAsia="zh-CN"/>
              </w:rPr>
              <w:t>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1C1F6C0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eastAsia" w:cs="Times New Roman"/>
                <w:color w:val="auto"/>
                <w:sz w:val="24"/>
                <w:lang w:val="en-US" w:eastAsia="zh-CN"/>
              </w:rPr>
              <w:t>黄香港</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250DB47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S011035000110191000617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38C7C0E6">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024436</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58CD7E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r w14:paraId="6ECB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exact"/>
          <w:jc w:val="center"/>
        </w:trPr>
        <w:tc>
          <w:tcPr>
            <w:tcW w:w="1947" w:type="dxa"/>
            <w:tcBorders>
              <w:top w:val="single" w:color="auto" w:sz="4" w:space="0"/>
              <w:left w:val="single" w:color="auto" w:sz="4" w:space="0"/>
              <w:bottom w:val="single" w:color="auto" w:sz="4" w:space="0"/>
              <w:right w:val="single" w:color="auto" w:sz="4" w:space="0"/>
            </w:tcBorders>
            <w:noWrap w:val="0"/>
            <w:vAlign w:val="center"/>
          </w:tcPr>
          <w:p w14:paraId="74BC25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技术负责人</w:t>
            </w:r>
          </w:p>
        </w:tc>
        <w:tc>
          <w:tcPr>
            <w:tcW w:w="1290" w:type="dxa"/>
            <w:tcBorders>
              <w:top w:val="single" w:color="auto" w:sz="4" w:space="0"/>
              <w:left w:val="single" w:color="auto" w:sz="4" w:space="0"/>
              <w:bottom w:val="single" w:color="auto" w:sz="4" w:space="0"/>
              <w:right w:val="single" w:color="auto" w:sz="4" w:space="0"/>
            </w:tcBorders>
            <w:noWrap w:val="0"/>
            <w:vAlign w:val="center"/>
          </w:tcPr>
          <w:p w14:paraId="0F957522">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李</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彦</w:t>
            </w:r>
          </w:p>
        </w:tc>
        <w:tc>
          <w:tcPr>
            <w:tcW w:w="3018" w:type="dxa"/>
            <w:tcBorders>
              <w:top w:val="single" w:color="auto" w:sz="4" w:space="0"/>
              <w:left w:val="single" w:color="auto" w:sz="4" w:space="0"/>
              <w:bottom w:val="single" w:color="auto" w:sz="4" w:space="0"/>
              <w:right w:val="single" w:color="auto" w:sz="4" w:space="0"/>
            </w:tcBorders>
            <w:noWrap w:val="0"/>
            <w:vAlign w:val="center"/>
          </w:tcPr>
          <w:p w14:paraId="097CFA80">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S011053000110191001167</w:t>
            </w:r>
          </w:p>
        </w:tc>
        <w:tc>
          <w:tcPr>
            <w:tcW w:w="1564" w:type="dxa"/>
            <w:tcBorders>
              <w:top w:val="single" w:color="auto" w:sz="4" w:space="0"/>
              <w:left w:val="single" w:color="auto" w:sz="4" w:space="0"/>
              <w:bottom w:val="single" w:color="auto" w:sz="4" w:space="0"/>
              <w:right w:val="single" w:color="auto" w:sz="4" w:space="0"/>
            </w:tcBorders>
            <w:noWrap w:val="0"/>
            <w:vAlign w:val="center"/>
          </w:tcPr>
          <w:p w14:paraId="003D801D">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035879</w:t>
            </w:r>
          </w:p>
        </w:tc>
        <w:tc>
          <w:tcPr>
            <w:tcW w:w="1301" w:type="dxa"/>
            <w:tcBorders>
              <w:top w:val="single" w:color="auto" w:sz="4" w:space="0"/>
              <w:left w:val="single" w:color="auto" w:sz="4" w:space="0"/>
              <w:bottom w:val="single" w:color="auto" w:sz="4" w:space="0"/>
              <w:right w:val="single" w:color="auto" w:sz="4" w:space="0"/>
            </w:tcBorders>
            <w:noWrap w:val="0"/>
            <w:vAlign w:val="center"/>
          </w:tcPr>
          <w:p w14:paraId="0FBCF6FB">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宋体" w:cs="Times New Roman"/>
                <w:color w:val="auto"/>
                <w:sz w:val="24"/>
              </w:rPr>
            </w:pPr>
          </w:p>
        </w:tc>
      </w:tr>
    </w:tbl>
    <w:p w14:paraId="70367830">
      <w:pPr>
        <w:bidi w:val="0"/>
        <w:rPr>
          <w:color w:val="auto"/>
        </w:rPr>
      </w:pPr>
    </w:p>
    <w:p w14:paraId="71D1C154">
      <w:pPr>
        <w:bidi w:val="0"/>
        <w:rPr>
          <w:color w:val="auto"/>
        </w:rPr>
      </w:pPr>
    </w:p>
    <w:p w14:paraId="2401C47E">
      <w:pPr>
        <w:pStyle w:val="3"/>
        <w:bidi w:val="0"/>
        <w:ind w:left="0" w:leftChars="0" w:firstLine="0" w:firstLineChars="0"/>
        <w:jc w:val="center"/>
        <w:rPr>
          <w:rFonts w:hint="eastAsia" w:ascii="黑体" w:hAnsi="黑体" w:eastAsia="黑体" w:cs="黑体"/>
          <w:b/>
          <w:bCs/>
          <w:color w:val="auto"/>
          <w:sz w:val="32"/>
          <w:szCs w:val="32"/>
        </w:rPr>
      </w:pPr>
      <w:r>
        <w:rPr>
          <w:rFonts w:ascii="宋体" w:hAnsi="宋体"/>
          <w:color w:val="auto"/>
          <w:sz w:val="28"/>
          <w:szCs w:val="28"/>
        </w:rPr>
        <w:br w:type="page"/>
      </w:r>
      <w:bookmarkStart w:id="0" w:name="_Toc29201"/>
      <w:bookmarkStart w:id="1" w:name="_Toc12133"/>
      <w:r>
        <w:rPr>
          <w:rFonts w:hint="eastAsia" w:ascii="黑体" w:hAnsi="黑体" w:eastAsia="黑体" w:cs="黑体"/>
          <w:b/>
          <w:bCs/>
          <w:color w:val="auto"/>
          <w:sz w:val="32"/>
          <w:szCs w:val="32"/>
        </w:rPr>
        <w:t>前    言</w:t>
      </w:r>
      <w:bookmarkEnd w:id="0"/>
      <w:bookmarkEnd w:id="1"/>
    </w:p>
    <w:p w14:paraId="3183ECA6">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弋阳海螺水泥有限责任公司成立于2006年12月27日，位于江西省上饶市弋阳县三县岭乡姚畈村；公司营业执照统一社会信用代码：91361126796961367Q；注册资本为肆亿伍仟柒佰伍拾万元整，法定代</w:t>
      </w:r>
      <w:r>
        <w:rPr>
          <w:rFonts w:hint="eastAsia"/>
          <w:color w:val="000000" w:themeColor="text1"/>
          <w:lang w:eastAsia="zh-CN"/>
          <w14:textFill>
            <w14:solidFill>
              <w14:schemeClr w14:val="tx1"/>
            </w14:solidFill>
          </w14:textFill>
        </w:rPr>
        <w:t>表人</w:t>
      </w:r>
      <w:r>
        <w:rPr>
          <w:rFonts w:hint="eastAsia"/>
          <w:color w:val="000000" w:themeColor="text1"/>
          <w14:textFill>
            <w14:solidFill>
              <w14:schemeClr w14:val="tx1"/>
            </w14:solidFill>
          </w14:textFill>
        </w:rPr>
        <w:t>为柯卫东；类型为有限责任公司（非自然人投资或控股的法人独资）；经营范围：许可项目为水泥生产，非煤矿山矿产资源开采（依法须经批准的项目，经相关部门批准后在许可有效期内方可开展经营活动，具体经营项目和许可期限以相关部门批准文件或许可证件为准），一般项目为非金属矿及制品销售，建筑材料销售，水泥制品制造，选矿，固体废物治理，电动汽车充电基础设施运营，集中式快速充电站（除依法须经批准的项目外，凭营业执照依法自主开展经营活动）。</w:t>
      </w:r>
    </w:p>
    <w:p w14:paraId="16F782A3">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弋阳海螺水泥有限责任公司江西省弋阳县曹溪二矿区制碱用灰岩矿（以下简称：曹溪二矿）位于弋阳县曹溪镇西北约2km，距弋阳县城约40km，行政区划属弋阳县曹溪镇。地理坐标：东经117°17′27″～117°18′09″，北纬28°42′43″～28°43′13″，面积0.6633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。矿区距离上万高速26.5km，周围有弋阳～乐平公路、弋阳～万年公路相通，经弋阳、乐平、万年分别接浙赣线铁路、梨温高速公路、皖赣线铁路，交通方便。</w:t>
      </w:r>
    </w:p>
    <w:p w14:paraId="0CDE5401">
      <w:pPr>
        <w:bidi w:val="0"/>
        <w:rPr>
          <w:rFonts w:hint="eastAsia"/>
          <w:color w:val="0000FF"/>
        </w:rPr>
      </w:pPr>
      <w:r>
        <w:rPr>
          <w:rFonts w:hint="eastAsia" w:ascii="Times New Roman" w:hAnsi="Times New Roman" w:eastAsia="宋体" w:cs="Times New Roman"/>
          <w:color w:val="auto"/>
          <w:lang w:val="en-US" w:eastAsia="zh-CN"/>
        </w:rPr>
        <w:t>2022年6月</w:t>
      </w:r>
      <w:r>
        <w:rPr>
          <w:rFonts w:hint="eastAsia"/>
          <w:color w:val="auto"/>
        </w:rPr>
        <w:t>，</w:t>
      </w:r>
      <w:r>
        <w:rPr>
          <w:rFonts w:hint="eastAsia" w:ascii="Times New Roman" w:hAnsi="Times New Roman" w:eastAsia="宋体" w:cs="Times New Roman"/>
          <w:color w:val="auto"/>
          <w:lang w:val="en-US" w:eastAsia="zh-CN"/>
        </w:rPr>
        <w:t>弋阳</w:t>
      </w:r>
      <w:r>
        <w:rPr>
          <w:rFonts w:hint="eastAsia" w:ascii="Times New Roman" w:hAnsi="Times New Roman" w:eastAsia="宋体" w:cs="Times New Roman"/>
          <w:color w:val="000000" w:themeColor="text1"/>
          <w:lang w:val="en-US" w:eastAsia="zh-CN"/>
          <w14:textFill>
            <w14:solidFill>
              <w14:schemeClr w14:val="tx1"/>
            </w14:solidFill>
          </w14:textFill>
        </w:rPr>
        <w:t>海螺水泥有限责任公司</w:t>
      </w:r>
      <w:r>
        <w:rPr>
          <w:rFonts w:hint="eastAsia"/>
          <w:color w:val="000000" w:themeColor="text1"/>
          <w14:textFill>
            <w14:solidFill>
              <w14:schemeClr w14:val="tx1"/>
            </w14:solidFill>
          </w14:textFill>
        </w:rPr>
        <w:t>委托</w:t>
      </w:r>
      <w:r>
        <w:rPr>
          <w:rFonts w:hint="eastAsia" w:ascii="Times New Roman" w:hAnsi="Times New Roman" w:eastAsia="宋体" w:cs="Times New Roman"/>
          <w:color w:val="000000" w:themeColor="text1"/>
          <w:lang w:val="en-US" w:eastAsia="zh-CN"/>
          <w14:textFill>
            <w14:solidFill>
              <w14:schemeClr w14:val="tx1"/>
            </w14:solidFill>
          </w14:textFill>
        </w:rPr>
        <w:t>中钢集团马鞍山矿山研究总院股份有限公司</w:t>
      </w:r>
      <w:r>
        <w:rPr>
          <w:rFonts w:hint="eastAsia"/>
          <w:color w:val="000000" w:themeColor="text1"/>
          <w14:textFill>
            <w14:solidFill>
              <w14:schemeClr w14:val="tx1"/>
            </w14:solidFill>
          </w14:textFill>
        </w:rPr>
        <w:t>编制了《</w:t>
      </w:r>
      <w:r>
        <w:rPr>
          <w:rFonts w:hint="eastAsia" w:ascii="Times New Roman" w:hAnsi="Times New Roman" w:eastAsia="宋体" w:cs="Times New Roman"/>
          <w:color w:val="000000" w:themeColor="text1"/>
          <w:lang w:val="en-US" w:eastAsia="zh-CN"/>
          <w14:textFill>
            <w14:solidFill>
              <w14:schemeClr w14:val="tx1"/>
            </w14:solidFill>
          </w14:textFill>
        </w:rPr>
        <w:t>弋阳海螺水泥有限责任公司江西省弋阳县曹溪二矿区制碱用灰岩矿800万t/a采矿工程安全设施设计</w:t>
      </w:r>
      <w:r>
        <w:rPr>
          <w:rFonts w:hint="eastAsia"/>
          <w:color w:val="000000" w:themeColor="text1"/>
          <w14:textFill>
            <w14:solidFill>
              <w14:schemeClr w14:val="tx1"/>
            </w14:solidFill>
          </w14:textFill>
        </w:rPr>
        <w:t>》，</w:t>
      </w:r>
      <w:r>
        <w:rPr>
          <w:rFonts w:hint="default"/>
          <w:color w:val="000000" w:themeColor="text1"/>
          <w:lang w:val="en-US" w:eastAsia="zh-CN"/>
          <w14:textFill>
            <w14:solidFill>
              <w14:schemeClr w14:val="tx1"/>
            </w14:solidFill>
          </w14:textFill>
        </w:rPr>
        <w:t>受省应急管理厅委托，江西省应急管理科学研究院</w:t>
      </w:r>
      <w:r>
        <w:rPr>
          <w:rFonts w:hint="eastAsia"/>
          <w:color w:val="000000" w:themeColor="text1"/>
          <w14:textFill>
            <w14:solidFill>
              <w14:schemeClr w14:val="tx1"/>
            </w14:solidFill>
          </w14:textFill>
        </w:rPr>
        <w:t>组织专家对报告进行了审查，报告通过了评审并获得了批复</w:t>
      </w:r>
      <w:r>
        <w:rPr>
          <w:rFonts w:hint="default"/>
          <w:color w:val="000000" w:themeColor="text1"/>
          <w:lang w:val="en-US" w:eastAsia="zh-CN"/>
          <w14:textFill>
            <w14:solidFill>
              <w14:schemeClr w14:val="tx1"/>
            </w14:solidFill>
          </w14:textFill>
        </w:rPr>
        <w:t>（赣应急非煤项目设审〔2022〕36号）</w:t>
      </w:r>
      <w:r>
        <w:rPr>
          <w:rFonts w:hint="eastAsia"/>
          <w:color w:val="000000" w:themeColor="text1"/>
          <w14:textFill>
            <w14:solidFill>
              <w14:schemeClr w14:val="tx1"/>
            </w14:solidFill>
          </w14:textFill>
        </w:rPr>
        <w:t>。设计矿山采用公路开拓，汽车运输，按自上而下分台阶开采，</w:t>
      </w:r>
      <w:r>
        <w:rPr>
          <w:rFonts w:hint="eastAsia"/>
          <w:color w:val="FF0000"/>
        </w:rPr>
        <w:t>台阶高度1</w:t>
      </w:r>
      <w:r>
        <w:rPr>
          <w:rFonts w:hint="eastAsia"/>
          <w:color w:val="FF0000"/>
          <w:lang w:val="en-US" w:eastAsia="zh-CN"/>
        </w:rPr>
        <w:t>5</w:t>
      </w:r>
      <w:r>
        <w:rPr>
          <w:rFonts w:hint="eastAsia"/>
          <w:color w:val="FF0000"/>
        </w:rPr>
        <w:t>m</w:t>
      </w:r>
      <w:r>
        <w:rPr>
          <w:rFonts w:hint="eastAsia"/>
          <w:color w:val="000000" w:themeColor="text1"/>
          <w14:textFill>
            <w14:solidFill>
              <w14:schemeClr w14:val="tx1"/>
            </w14:solidFill>
          </w14:textFill>
        </w:rPr>
        <w:t>，台阶坡面角</w:t>
      </w:r>
      <w:r>
        <w:rPr>
          <w:rFonts w:hint="eastAsia"/>
          <w:color w:val="000000" w:themeColor="text1"/>
          <w:lang w:val="en-US" w:eastAsia="zh-CN"/>
          <w14:textFill>
            <w14:solidFill>
              <w14:schemeClr w14:val="tx1"/>
            </w14:solidFill>
          </w14:textFill>
        </w:rPr>
        <w:t>75</w:t>
      </w:r>
      <w:r>
        <w:rPr>
          <w:rFonts w:hint="eastAsia"/>
          <w:color w:val="000000" w:themeColor="text1"/>
          <w14:textFill>
            <w14:solidFill>
              <w14:schemeClr w14:val="tx1"/>
            </w14:solidFill>
          </w14:textFill>
        </w:rPr>
        <w:t>°，安全平台宽度</w:t>
      </w:r>
      <w:r>
        <w:rPr>
          <w:rFonts w:hint="eastAsia"/>
          <w:color w:val="000000" w:themeColor="text1"/>
          <w:lang w:val="en-US" w:eastAsia="zh-CN"/>
          <w14:textFill>
            <w14:solidFill>
              <w14:schemeClr w14:val="tx1"/>
            </w14:solidFill>
          </w14:textFill>
        </w:rPr>
        <w:t>南北帮6</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东西帮5m</w:t>
      </w:r>
      <w:r>
        <w:rPr>
          <w:rFonts w:hint="eastAsia"/>
          <w:color w:val="000000" w:themeColor="text1"/>
          <w14:textFill>
            <w14:solidFill>
              <w14:schemeClr w14:val="tx1"/>
            </w14:solidFill>
          </w14:textFill>
        </w:rPr>
        <w:t>，清扫平台宽度</w:t>
      </w:r>
      <w:r>
        <w:rPr>
          <w:rFonts w:hint="eastAsia"/>
          <w:color w:val="000000" w:themeColor="text1"/>
          <w:lang w:val="en-US" w:eastAsia="zh-CN"/>
          <w14:textFill>
            <w14:solidFill>
              <w14:schemeClr w14:val="tx1"/>
            </w14:solidFill>
          </w14:textFill>
        </w:rPr>
        <w:t>南北帮10</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东西帮8m</w:t>
      </w:r>
      <w:r>
        <w:rPr>
          <w:rFonts w:hint="eastAsia"/>
          <w:color w:val="000000" w:themeColor="text1"/>
          <w14:textFill>
            <w14:solidFill>
              <w14:schemeClr w14:val="tx1"/>
            </w14:solidFill>
          </w14:textFill>
        </w:rPr>
        <w:t>，最高台段标高+</w:t>
      </w:r>
      <w:r>
        <w:rPr>
          <w:rFonts w:hint="eastAsia"/>
          <w:color w:val="000000" w:themeColor="text1"/>
          <w:lang w:val="en-US" w:eastAsia="zh-CN"/>
          <w14:textFill>
            <w14:solidFill>
              <w14:schemeClr w14:val="tx1"/>
            </w14:solidFill>
          </w14:textFill>
        </w:rPr>
        <w:t>280</w:t>
      </w:r>
      <w:r>
        <w:rPr>
          <w:rFonts w:hint="eastAsia"/>
          <w:color w:val="000000" w:themeColor="text1"/>
          <w14:textFill>
            <w14:solidFill>
              <w14:schemeClr w14:val="tx1"/>
            </w14:solidFill>
          </w14:textFill>
        </w:rPr>
        <w:t>m，最低开采标高+1</w:t>
      </w:r>
      <w:r>
        <w:rPr>
          <w:rFonts w:hint="eastAsia"/>
          <w:color w:val="000000" w:themeColor="text1"/>
          <w:lang w:val="en-US" w:eastAsia="zh-CN"/>
          <w14:textFill>
            <w14:solidFill>
              <w14:schemeClr w14:val="tx1"/>
            </w14:solidFill>
          </w14:textFill>
        </w:rPr>
        <w:t>00</w:t>
      </w:r>
      <w:r>
        <w:rPr>
          <w:rFonts w:hint="eastAsia"/>
          <w:color w:val="000000" w:themeColor="text1"/>
          <w14:textFill>
            <w14:solidFill>
              <w14:schemeClr w14:val="tx1"/>
            </w14:solidFill>
          </w14:textFill>
        </w:rPr>
        <w:t>m，生产规模</w:t>
      </w:r>
      <w:r>
        <w:rPr>
          <w:rFonts w:hint="default" w:ascii="Times New Roman" w:hAnsi="Times New Roman" w:eastAsia="宋体" w:cs="Times New Roman"/>
          <w:color w:val="000000" w:themeColor="text1"/>
          <w:lang w:val="en-US" w:eastAsia="zh-CN"/>
          <w14:textFill>
            <w14:solidFill>
              <w14:schemeClr w14:val="tx1"/>
            </w14:solidFill>
          </w14:textFill>
        </w:rPr>
        <w:t>800</w:t>
      </w:r>
      <w:r>
        <w:rPr>
          <w:rFonts w:hint="eastAsia"/>
          <w:color w:val="000000" w:themeColor="text1"/>
          <w14:textFill>
            <w14:solidFill>
              <w14:schemeClr w14:val="tx1"/>
            </w14:solidFill>
          </w14:textFill>
        </w:rPr>
        <w:t>万t/年。</w:t>
      </w:r>
    </w:p>
    <w:p w14:paraId="6CB40584">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弋阳海螺水泥有限责任公司江西省弋阳县曹溪二矿区制碱用灰岩矿于2024年04月11日获得了江西省应急管理厅颁发的安全生产许可证，证号为（赣）FM安许证字</w:t>
      </w: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2023</w:t>
      </w:r>
      <w:r>
        <w:rPr>
          <w:rFonts w:hint="eastAsia" w:asciiTheme="minorEastAsia" w:hAnsiTheme="minorEastAsia" w:eastAsiaTheme="minorEastAsia" w:cstheme="minorEastAsia"/>
          <w:color w:val="000000" w:themeColor="text1"/>
          <w14:textFill>
            <w14:solidFill>
              <w14:schemeClr w14:val="tx1"/>
            </w14:solidFill>
          </w14:textFill>
        </w:rPr>
        <w:t>]</w:t>
      </w:r>
      <w:r>
        <w:rPr>
          <w:rFonts w:hint="eastAsia"/>
          <w:color w:val="000000" w:themeColor="text1"/>
          <w14:textFill>
            <w14:solidFill>
              <w14:schemeClr w14:val="tx1"/>
            </w14:solidFill>
          </w14:textFill>
        </w:rPr>
        <w:t>M1874号，许可范围：制碱用灰岩矿800万吨/年，+280m、+265m、+250m、+235m、+220m、+205m、+190m、+175m、+160m、+145m、+130m、+115m、+100m等台阶露天开采。有效期2023年08月04日至2026年08月03日。</w:t>
      </w:r>
      <w:r>
        <w:rPr>
          <w:rFonts w:hint="default"/>
          <w:color w:val="000000" w:themeColor="text1"/>
          <w:lang w:val="en-US" w:eastAsia="zh-CN"/>
          <w14:textFill>
            <w14:solidFill>
              <w14:schemeClr w14:val="tx1"/>
            </w14:solidFill>
          </w14:textFill>
        </w:rPr>
        <w:t>20</w:t>
      </w:r>
      <w:r>
        <w:rPr>
          <w:rFonts w:hint="eastAsia"/>
          <w:color w:val="000000" w:themeColor="text1"/>
          <w:lang w:val="en-US" w:eastAsia="zh-CN"/>
          <w14:textFill>
            <w14:solidFill>
              <w14:schemeClr w14:val="tx1"/>
            </w14:solidFill>
          </w14:textFill>
        </w:rPr>
        <w:t>25</w:t>
      </w:r>
      <w:r>
        <w:rPr>
          <w:rFonts w:hint="default"/>
          <w:color w:val="000000" w:themeColor="text1"/>
          <w:lang w:val="en-US" w:eastAsia="zh-CN"/>
          <w14:textFill>
            <w14:solidFill>
              <w14:schemeClr w14:val="tx1"/>
            </w14:solidFill>
          </w14:textFill>
        </w:rPr>
        <w:t>年</w:t>
      </w:r>
      <w:r>
        <w:rPr>
          <w:rFonts w:hint="eastAsia"/>
          <w:color w:val="000000" w:themeColor="text1"/>
          <w:lang w:val="en-US" w:eastAsia="zh-CN"/>
          <w14:textFill>
            <w14:solidFill>
              <w14:schemeClr w14:val="tx1"/>
            </w14:solidFill>
          </w14:textFill>
        </w:rPr>
        <w:t>01</w:t>
      </w:r>
      <w:r>
        <w:rPr>
          <w:rFonts w:hint="default"/>
          <w:color w:val="000000" w:themeColor="text1"/>
          <w:lang w:val="en-US" w:eastAsia="zh-CN"/>
          <w14:textFill>
            <w14:solidFill>
              <w14:schemeClr w14:val="tx1"/>
            </w14:solidFill>
          </w14:textFill>
        </w:rPr>
        <w:t>月</w:t>
      </w:r>
      <w:r>
        <w:rPr>
          <w:rFonts w:hint="eastAsia"/>
          <w:color w:val="000000" w:themeColor="text1"/>
          <w:lang w:val="en-US" w:eastAsia="zh-CN"/>
          <w14:textFill>
            <w14:solidFill>
              <w14:schemeClr w14:val="tx1"/>
            </w14:solidFill>
          </w14:textFill>
        </w:rPr>
        <w:t>03</w:t>
      </w:r>
      <w:r>
        <w:rPr>
          <w:rFonts w:hint="default"/>
          <w:color w:val="000000" w:themeColor="text1"/>
          <w:lang w:val="en-US" w:eastAsia="zh-CN"/>
          <w14:textFill>
            <w14:solidFill>
              <w14:schemeClr w14:val="tx1"/>
            </w14:solidFill>
          </w14:textFill>
        </w:rPr>
        <w:t>日获得了安全生产标准化</w:t>
      </w:r>
      <w:r>
        <w:rPr>
          <w:rFonts w:hint="eastAsia"/>
          <w:color w:val="000000" w:themeColor="text1"/>
          <w:lang w:val="en-US" w:eastAsia="zh-CN"/>
          <w14:textFill>
            <w14:solidFill>
              <w14:schemeClr w14:val="tx1"/>
            </w14:solidFill>
          </w14:textFill>
        </w:rPr>
        <w:t>二</w:t>
      </w:r>
      <w:r>
        <w:rPr>
          <w:rFonts w:hint="default"/>
          <w:color w:val="000000" w:themeColor="text1"/>
          <w:lang w:val="en-US" w:eastAsia="zh-CN"/>
          <w14:textFill>
            <w14:solidFill>
              <w14:schemeClr w14:val="tx1"/>
            </w14:solidFill>
          </w14:textFill>
        </w:rPr>
        <w:t>级</w:t>
      </w:r>
      <w:r>
        <w:rPr>
          <w:rFonts w:hint="eastAsia"/>
          <w:color w:val="000000" w:themeColor="text1"/>
          <w:lang w:val="en-US" w:eastAsia="zh-CN"/>
          <w14:textFill>
            <w14:solidFill>
              <w14:schemeClr w14:val="tx1"/>
            </w14:solidFill>
          </w14:textFill>
        </w:rPr>
        <w:t>企业</w:t>
      </w:r>
      <w:r>
        <w:rPr>
          <w:rFonts w:hint="eastAsia"/>
          <w:color w:val="FF0000"/>
        </w:rPr>
        <w:t>（</w:t>
      </w:r>
      <w:r>
        <w:rPr>
          <w:rFonts w:hint="eastAsia"/>
          <w:color w:val="FF0000"/>
          <w:lang w:val="en-US" w:eastAsia="zh-CN"/>
        </w:rPr>
        <w:t>详见江西省应急管理厅网站《江西省非煤矿山企业安全生产标准化评审定级审核决定公告（第七十四号）》</w:t>
      </w:r>
      <w:r>
        <w:rPr>
          <w:rFonts w:hint="eastAsia"/>
          <w:color w:val="FF0000"/>
        </w:rPr>
        <w:t>）</w:t>
      </w:r>
      <w:r>
        <w:rPr>
          <w:rFonts w:hint="eastAsia"/>
          <w:color w:val="000000" w:themeColor="text1"/>
          <w14:textFill>
            <w14:solidFill>
              <w14:schemeClr w14:val="tx1"/>
            </w14:solidFill>
          </w14:textFill>
        </w:rPr>
        <w:t>。</w:t>
      </w:r>
    </w:p>
    <w:p w14:paraId="6F21D781">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安全生产法》、《安全生产许可证条例》和《江西省非煤矿矿山企业安全生产许可证实施办法》等有关规定，为进一步加强非煤矿山安全生产监督管理，对取得非煤矿山安全生产许可证即将到期的采矿生产企业，延期换证前应进行安全现状评价。受弋阳海螺水泥有限责任公司的委托，江西赣安安全生产科学技术咨询服务中心承担了</w:t>
      </w:r>
      <w:r>
        <w:rPr>
          <w:rFonts w:hint="eastAsia"/>
          <w:color w:val="000000" w:themeColor="text1"/>
          <w:lang w:val="en-US" w:eastAsia="zh-CN"/>
          <w14:textFill>
            <w14:solidFill>
              <w14:schemeClr w14:val="tx1"/>
            </w14:solidFill>
          </w14:textFill>
        </w:rPr>
        <w:t>曹溪二矿</w:t>
      </w:r>
      <w:r>
        <w:rPr>
          <w:rFonts w:hint="eastAsia"/>
          <w:color w:val="000000" w:themeColor="text1"/>
          <w14:textFill>
            <w14:solidFill>
              <w14:schemeClr w14:val="tx1"/>
            </w14:solidFill>
          </w14:textFill>
        </w:rPr>
        <w:t>安全现状评价工作。</w:t>
      </w:r>
    </w:p>
    <w:p w14:paraId="012A5F94">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按</w:t>
      </w:r>
      <w:r>
        <w:rPr>
          <w:rFonts w:hint="eastAsia"/>
          <w:b w:val="0"/>
          <w:bCs w:val="0"/>
          <w:color w:val="auto"/>
        </w:rPr>
        <w:t>照《安全评价通则》的要求，我中心评价专家组于</w:t>
      </w:r>
      <w:r>
        <w:rPr>
          <w:rFonts w:hint="eastAsia"/>
          <w:b w:val="0"/>
          <w:bCs w:val="0"/>
          <w:color w:val="FF0000"/>
        </w:rPr>
        <w:t>202</w:t>
      </w:r>
      <w:r>
        <w:rPr>
          <w:rFonts w:hint="eastAsia"/>
          <w:b w:val="0"/>
          <w:bCs w:val="0"/>
          <w:color w:val="FF0000"/>
          <w:lang w:val="en-US" w:eastAsia="zh-CN"/>
        </w:rPr>
        <w:t>6</w:t>
      </w:r>
      <w:r>
        <w:rPr>
          <w:rFonts w:hint="eastAsia"/>
          <w:b w:val="0"/>
          <w:bCs w:val="0"/>
          <w:color w:val="FF0000"/>
        </w:rPr>
        <w:t>年</w:t>
      </w:r>
      <w:r>
        <w:rPr>
          <w:rFonts w:hint="eastAsia"/>
          <w:b w:val="0"/>
          <w:bCs w:val="0"/>
          <w:color w:val="FF0000"/>
          <w:lang w:val="en-US" w:eastAsia="zh-CN"/>
        </w:rPr>
        <w:t>4</w:t>
      </w:r>
      <w:r>
        <w:rPr>
          <w:rFonts w:hint="eastAsia"/>
          <w:b w:val="0"/>
          <w:bCs w:val="0"/>
          <w:color w:val="FF0000"/>
        </w:rPr>
        <w:t>月</w:t>
      </w:r>
      <w:r>
        <w:rPr>
          <w:rFonts w:hint="eastAsia"/>
          <w:b w:val="0"/>
          <w:bCs w:val="0"/>
          <w:color w:val="FF0000"/>
          <w:lang w:val="en-US" w:eastAsia="zh-CN"/>
        </w:rPr>
        <w:t>2</w:t>
      </w:r>
      <w:r>
        <w:rPr>
          <w:rFonts w:hint="eastAsia"/>
          <w:b w:val="0"/>
          <w:bCs w:val="0"/>
          <w:color w:val="FF0000"/>
        </w:rPr>
        <w:t>日、</w:t>
      </w:r>
      <w:r>
        <w:rPr>
          <w:rFonts w:hint="eastAsia"/>
          <w:b w:val="0"/>
          <w:bCs w:val="0"/>
          <w:color w:val="FF0000"/>
          <w:lang w:val="en-US" w:eastAsia="zh-CN"/>
        </w:rPr>
        <w:t>4</w:t>
      </w:r>
      <w:r>
        <w:rPr>
          <w:rFonts w:hint="eastAsia"/>
          <w:b w:val="0"/>
          <w:bCs w:val="0"/>
          <w:color w:val="FF0000"/>
        </w:rPr>
        <w:t>月</w:t>
      </w:r>
      <w:r>
        <w:rPr>
          <w:rFonts w:hint="eastAsia"/>
          <w:b w:val="0"/>
          <w:bCs w:val="0"/>
          <w:color w:val="FF0000"/>
          <w:lang w:val="en-US" w:eastAsia="zh-CN"/>
        </w:rPr>
        <w:t>22</w:t>
      </w:r>
      <w:r>
        <w:rPr>
          <w:rFonts w:hint="eastAsia"/>
          <w:b w:val="0"/>
          <w:bCs w:val="0"/>
          <w:color w:val="FF0000"/>
        </w:rPr>
        <w:t>日</w:t>
      </w:r>
      <w:r>
        <w:rPr>
          <w:rFonts w:hint="eastAsia"/>
          <w:b w:val="0"/>
          <w:bCs w:val="0"/>
          <w:color w:val="auto"/>
        </w:rPr>
        <w:t>对</w:t>
      </w:r>
      <w:r>
        <w:rPr>
          <w:rFonts w:hint="eastAsia"/>
          <w:color w:val="000000" w:themeColor="text1"/>
          <w14:textFill>
            <w14:solidFill>
              <w14:schemeClr w14:val="tx1"/>
            </w14:solidFill>
          </w14:textFill>
        </w:rPr>
        <w:t>该矿进行现场调研，收集有关法律法规、技术标准、矿山设计资料、安全技术与安全管理措施资料和矿山现状资料。根据该矿的生产工艺特点和环境条件，针对矿山生产运行过程中设备、设施、安全装置实际情况和管理状况的调查分析，定性、定量地分析其生产过程中存在的危险、有害因素，确定其危险度，对其安全生产现状况作出客观的评价，对存在的问题提出合理可行的安全对策措施及建议，在此基础上编制本评价报告，作为企业取得安全生产许可证延期换证的技术依据之一。</w:t>
      </w:r>
    </w:p>
    <w:p w14:paraId="31A90FA3">
      <w:pPr>
        <w:bidi w:val="0"/>
        <w:rPr>
          <w:rFonts w:hint="eastAsia"/>
          <w:color w:val="auto"/>
        </w:rPr>
      </w:pPr>
      <w:r>
        <w:rPr>
          <w:rFonts w:hint="eastAsia"/>
          <w:color w:val="000000" w:themeColor="text1"/>
          <w14:textFill>
            <w14:solidFill>
              <w14:schemeClr w14:val="tx1"/>
            </w14:solidFill>
          </w14:textFill>
        </w:rPr>
        <w:t>在评价过程中得到了弋阳海螺水泥有限责任公司领导、安全生产管理人员及员工的大力支持，在此表示感谢！</w:t>
      </w:r>
    </w:p>
    <w:p w14:paraId="73F468FC">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rPr>
      </w:pPr>
      <w:r>
        <w:rPr>
          <w:color w:val="auto"/>
        </w:rPr>
        <w:br w:type="page"/>
      </w:r>
    </w:p>
    <w:p w14:paraId="154F80FE">
      <w:pPr>
        <w:pStyle w:val="3"/>
        <w:bidi w:val="0"/>
        <w:ind w:left="0" w:leftChars="0" w:firstLine="0" w:firstLineChars="0"/>
        <w:jc w:val="center"/>
        <w:rPr>
          <w:rFonts w:hint="eastAsia" w:ascii="Times New Roman" w:hAnsi="Times New Roman" w:eastAsia="宋体" w:cs="Times New Roman"/>
          <w:kern w:val="2"/>
          <w:sz w:val="28"/>
          <w:szCs w:val="24"/>
          <w:lang w:val="en-US" w:eastAsia="zh-CN" w:bidi="ar-SA"/>
        </w:rPr>
      </w:pPr>
      <w:bookmarkStart w:id="2" w:name="_Toc18399"/>
      <w:r>
        <w:rPr>
          <w:rStyle w:val="41"/>
          <w:rFonts w:hint="eastAsia"/>
          <w:b/>
          <w:lang w:val="en-US" w:eastAsia="zh-CN"/>
        </w:rPr>
        <w:t>目    录</w:t>
      </w:r>
      <w:bookmarkEnd w:id="2"/>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p>
    <w:p w14:paraId="70C3BA97">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_Toc23817 </w:instrText>
      </w:r>
      <w:r>
        <w:rPr>
          <w:rFonts w:hint="eastAsia"/>
          <w:lang w:val="en-US" w:eastAsia="zh-CN"/>
        </w:rPr>
        <w:fldChar w:fldCharType="separate"/>
      </w:r>
      <w:r>
        <w:rPr>
          <w:rFonts w:hint="eastAsia"/>
        </w:rPr>
        <w:t xml:space="preserve">1. </w:t>
      </w:r>
      <w:r>
        <w:rPr>
          <w:rFonts w:hint="eastAsia"/>
          <w:lang w:val="en-US" w:eastAsia="zh-CN"/>
        </w:rPr>
        <w:t>评价</w:t>
      </w:r>
      <w:r>
        <w:rPr>
          <w:rFonts w:hint="eastAsia"/>
        </w:rPr>
        <w:t>概述</w:t>
      </w:r>
      <w:r>
        <w:tab/>
      </w:r>
      <w:r>
        <w:fldChar w:fldCharType="begin"/>
      </w:r>
      <w:r>
        <w:instrText xml:space="preserve"> PAGEREF _Toc23817 \h </w:instrText>
      </w:r>
      <w:r>
        <w:fldChar w:fldCharType="separate"/>
      </w:r>
      <w:r>
        <w:t>1</w:t>
      </w:r>
      <w:r>
        <w:fldChar w:fldCharType="end"/>
      </w:r>
      <w:r>
        <w:rPr>
          <w:rFonts w:hint="eastAsia"/>
          <w:lang w:val="en-US" w:eastAsia="zh-CN"/>
        </w:rPr>
        <w:fldChar w:fldCharType="end"/>
      </w:r>
    </w:p>
    <w:p w14:paraId="6A4BA277">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_Toc23352 </w:instrText>
      </w:r>
      <w:r>
        <w:rPr>
          <w:rFonts w:hint="eastAsia"/>
          <w:lang w:val="en-US" w:eastAsia="zh-CN"/>
        </w:rPr>
        <w:fldChar w:fldCharType="separate"/>
      </w:r>
      <w:r>
        <w:rPr>
          <w:rFonts w:hint="eastAsia"/>
        </w:rPr>
        <w:t>1.1</w:t>
      </w:r>
      <w:r>
        <w:rPr>
          <w:rFonts w:hint="eastAsia"/>
          <w:lang w:val="en-US" w:eastAsia="zh-CN"/>
        </w:rPr>
        <w:t xml:space="preserve"> </w:t>
      </w:r>
      <w:r>
        <w:rPr>
          <w:rFonts w:hint="eastAsia"/>
        </w:rPr>
        <w:t>评价对象和范围</w:t>
      </w:r>
      <w:r>
        <w:tab/>
      </w:r>
      <w:r>
        <w:fldChar w:fldCharType="begin"/>
      </w:r>
      <w:r>
        <w:instrText xml:space="preserve"> PAGEREF _Toc23352 \h </w:instrText>
      </w:r>
      <w:r>
        <w:fldChar w:fldCharType="separate"/>
      </w:r>
      <w:r>
        <w:t>1</w:t>
      </w:r>
      <w:r>
        <w:fldChar w:fldCharType="end"/>
      </w:r>
      <w:r>
        <w:rPr>
          <w:rFonts w:hint="eastAsia"/>
          <w:lang w:val="en-US" w:eastAsia="zh-CN"/>
        </w:rPr>
        <w:fldChar w:fldCharType="end"/>
      </w:r>
    </w:p>
    <w:p w14:paraId="21A29155">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_Toc22933 </w:instrText>
      </w:r>
      <w:r>
        <w:rPr>
          <w:rFonts w:hint="eastAsia"/>
          <w:lang w:val="en-US" w:eastAsia="zh-CN"/>
        </w:rPr>
        <w:fldChar w:fldCharType="separate"/>
      </w:r>
      <w:r>
        <w:rPr>
          <w:rFonts w:hint="eastAsia"/>
        </w:rPr>
        <w:t>1.1.1</w:t>
      </w:r>
      <w:r>
        <w:rPr>
          <w:rFonts w:hint="eastAsia"/>
          <w:lang w:val="en-US" w:eastAsia="zh-CN"/>
        </w:rPr>
        <w:t xml:space="preserve"> </w:t>
      </w:r>
      <w:r>
        <w:rPr>
          <w:rFonts w:hint="eastAsia"/>
        </w:rPr>
        <w:t>评价对象</w:t>
      </w:r>
      <w:r>
        <w:tab/>
      </w:r>
      <w:r>
        <w:fldChar w:fldCharType="begin"/>
      </w:r>
      <w:r>
        <w:instrText xml:space="preserve"> PAGEREF _Toc22933 \h </w:instrText>
      </w:r>
      <w:r>
        <w:fldChar w:fldCharType="separate"/>
      </w:r>
      <w:r>
        <w:t>1</w:t>
      </w:r>
      <w:r>
        <w:fldChar w:fldCharType="end"/>
      </w:r>
      <w:r>
        <w:rPr>
          <w:rFonts w:hint="eastAsia"/>
          <w:lang w:val="en-US" w:eastAsia="zh-CN"/>
        </w:rPr>
        <w:fldChar w:fldCharType="end"/>
      </w:r>
    </w:p>
    <w:p w14:paraId="47EC05A4">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_Toc4404 </w:instrText>
      </w:r>
      <w:r>
        <w:rPr>
          <w:rFonts w:hint="eastAsia"/>
          <w:lang w:val="en-US" w:eastAsia="zh-CN"/>
        </w:rPr>
        <w:fldChar w:fldCharType="separate"/>
      </w:r>
      <w:r>
        <w:rPr>
          <w:rFonts w:hint="default"/>
          <w:lang w:val="en-US" w:eastAsia="zh-CN"/>
        </w:rPr>
        <w:t>1.1.2 评价范围</w:t>
      </w:r>
      <w:r>
        <w:tab/>
      </w:r>
      <w:r>
        <w:fldChar w:fldCharType="begin"/>
      </w:r>
      <w:r>
        <w:instrText xml:space="preserve"> PAGEREF _Toc4404 \h </w:instrText>
      </w:r>
      <w:r>
        <w:fldChar w:fldCharType="separate"/>
      </w:r>
      <w:r>
        <w:t>1</w:t>
      </w:r>
      <w:r>
        <w:fldChar w:fldCharType="end"/>
      </w:r>
      <w:r>
        <w:rPr>
          <w:rFonts w:hint="eastAsia"/>
          <w:lang w:val="en-US" w:eastAsia="zh-CN"/>
        </w:rPr>
        <w:fldChar w:fldCharType="end"/>
      </w:r>
    </w:p>
    <w:p w14:paraId="2386D5FD">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_Toc14820 </w:instrText>
      </w:r>
      <w:r>
        <w:rPr>
          <w:rFonts w:hint="eastAsia"/>
          <w:lang w:val="en-US" w:eastAsia="zh-CN"/>
        </w:rPr>
        <w:fldChar w:fldCharType="separate"/>
      </w:r>
      <w:r>
        <w:rPr>
          <w:rFonts w:hint="default"/>
          <w:lang w:val="en-US" w:eastAsia="zh-CN"/>
        </w:rPr>
        <w:t>1.2 评价目的和内容</w:t>
      </w:r>
      <w:r>
        <w:tab/>
      </w:r>
      <w:r>
        <w:fldChar w:fldCharType="begin"/>
      </w:r>
      <w:r>
        <w:instrText xml:space="preserve"> PAGEREF _Toc14820 \h </w:instrText>
      </w:r>
      <w:r>
        <w:fldChar w:fldCharType="separate"/>
      </w:r>
      <w:r>
        <w:t>1</w:t>
      </w:r>
      <w:r>
        <w:fldChar w:fldCharType="end"/>
      </w:r>
      <w:r>
        <w:rPr>
          <w:rFonts w:hint="eastAsia"/>
          <w:lang w:val="en-US" w:eastAsia="zh-CN"/>
        </w:rPr>
        <w:fldChar w:fldCharType="end"/>
      </w:r>
    </w:p>
    <w:p w14:paraId="6DF0F121">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_Toc23068 </w:instrText>
      </w:r>
      <w:r>
        <w:rPr>
          <w:rFonts w:hint="eastAsia"/>
          <w:lang w:val="en-US" w:eastAsia="zh-CN"/>
        </w:rPr>
        <w:fldChar w:fldCharType="separate"/>
      </w:r>
      <w:r>
        <w:rPr>
          <w:rFonts w:hint="default"/>
          <w:lang w:val="en-US" w:eastAsia="zh-CN"/>
        </w:rPr>
        <w:t>1.2.1</w:t>
      </w:r>
      <w:r>
        <w:rPr>
          <w:rFonts w:hint="eastAsia"/>
          <w:lang w:val="en-US" w:eastAsia="zh-CN"/>
        </w:rPr>
        <w:t xml:space="preserve"> </w:t>
      </w:r>
      <w:r>
        <w:rPr>
          <w:rFonts w:hint="default"/>
          <w:lang w:val="en-US" w:eastAsia="zh-CN"/>
        </w:rPr>
        <w:t>评价目的</w:t>
      </w:r>
      <w:r>
        <w:tab/>
      </w:r>
      <w:r>
        <w:fldChar w:fldCharType="begin"/>
      </w:r>
      <w:r>
        <w:instrText xml:space="preserve"> PAGEREF _Toc23068 \h </w:instrText>
      </w:r>
      <w:r>
        <w:fldChar w:fldCharType="separate"/>
      </w:r>
      <w:r>
        <w:t>1</w:t>
      </w:r>
      <w:r>
        <w:fldChar w:fldCharType="end"/>
      </w:r>
      <w:r>
        <w:rPr>
          <w:rFonts w:hint="eastAsia"/>
          <w:lang w:val="en-US" w:eastAsia="zh-CN"/>
        </w:rPr>
        <w:fldChar w:fldCharType="end"/>
      </w:r>
    </w:p>
    <w:p w14:paraId="5DB125EE">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_Toc20430 </w:instrText>
      </w:r>
      <w:r>
        <w:rPr>
          <w:rFonts w:hint="eastAsia"/>
          <w:lang w:val="en-US" w:eastAsia="zh-CN"/>
        </w:rPr>
        <w:fldChar w:fldCharType="separate"/>
      </w:r>
      <w:r>
        <w:rPr>
          <w:rFonts w:hint="default"/>
          <w:lang w:val="en-US" w:eastAsia="zh-CN"/>
        </w:rPr>
        <w:t>1.2.2</w:t>
      </w:r>
      <w:r>
        <w:rPr>
          <w:rFonts w:hint="eastAsia"/>
          <w:lang w:val="en-US" w:eastAsia="zh-CN"/>
        </w:rPr>
        <w:t xml:space="preserve"> </w:t>
      </w:r>
      <w:r>
        <w:rPr>
          <w:rFonts w:hint="default"/>
          <w:lang w:val="en-US" w:eastAsia="zh-CN"/>
        </w:rPr>
        <w:t>评价内容</w:t>
      </w:r>
      <w:r>
        <w:tab/>
      </w:r>
      <w:r>
        <w:fldChar w:fldCharType="begin"/>
      </w:r>
      <w:r>
        <w:instrText xml:space="preserve"> PAGEREF _Toc20430 \h </w:instrText>
      </w:r>
      <w:r>
        <w:fldChar w:fldCharType="separate"/>
      </w:r>
      <w:r>
        <w:t>2</w:t>
      </w:r>
      <w:r>
        <w:fldChar w:fldCharType="end"/>
      </w:r>
      <w:r>
        <w:rPr>
          <w:rFonts w:hint="eastAsia"/>
          <w:lang w:val="en-US" w:eastAsia="zh-CN"/>
        </w:rPr>
        <w:fldChar w:fldCharType="end"/>
      </w:r>
    </w:p>
    <w:p w14:paraId="6A075E5B">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_Toc15387 </w:instrText>
      </w:r>
      <w:r>
        <w:rPr>
          <w:rFonts w:hint="eastAsia"/>
          <w:lang w:val="en-US" w:eastAsia="zh-CN"/>
        </w:rPr>
        <w:fldChar w:fldCharType="separate"/>
      </w:r>
      <w:r>
        <w:rPr>
          <w:rFonts w:hint="default"/>
          <w:lang w:val="en-US" w:eastAsia="zh-CN"/>
        </w:rPr>
        <w:t>1.3 评价依据</w:t>
      </w:r>
      <w:r>
        <w:tab/>
      </w:r>
      <w:r>
        <w:fldChar w:fldCharType="begin"/>
      </w:r>
      <w:r>
        <w:instrText xml:space="preserve"> PAGEREF _Toc15387 \h </w:instrText>
      </w:r>
      <w:r>
        <w:fldChar w:fldCharType="separate"/>
      </w:r>
      <w:r>
        <w:t>2</w:t>
      </w:r>
      <w:r>
        <w:fldChar w:fldCharType="end"/>
      </w:r>
      <w:r>
        <w:rPr>
          <w:rFonts w:hint="eastAsia"/>
          <w:lang w:val="en-US" w:eastAsia="zh-CN"/>
        </w:rPr>
        <w:fldChar w:fldCharType="end"/>
      </w:r>
    </w:p>
    <w:p w14:paraId="048722DD">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_Toc23992 </w:instrText>
      </w:r>
      <w:r>
        <w:rPr>
          <w:rFonts w:hint="eastAsia"/>
          <w:lang w:val="en-US" w:eastAsia="zh-CN"/>
        </w:rPr>
        <w:fldChar w:fldCharType="separate"/>
      </w:r>
      <w:r>
        <w:rPr>
          <w:rFonts w:hint="default"/>
          <w:lang w:val="en-US" w:eastAsia="zh-CN"/>
        </w:rPr>
        <w:t>1.3.1 法律、法规</w:t>
      </w:r>
      <w:r>
        <w:tab/>
      </w:r>
      <w:r>
        <w:fldChar w:fldCharType="begin"/>
      </w:r>
      <w:r>
        <w:instrText xml:space="preserve"> PAGEREF _Toc23992 \h </w:instrText>
      </w:r>
      <w:r>
        <w:fldChar w:fldCharType="separate"/>
      </w:r>
      <w:r>
        <w:t>2</w:t>
      </w:r>
      <w:r>
        <w:fldChar w:fldCharType="end"/>
      </w:r>
      <w:r>
        <w:rPr>
          <w:rFonts w:hint="eastAsia"/>
          <w:lang w:val="en-US" w:eastAsia="zh-CN"/>
        </w:rPr>
        <w:fldChar w:fldCharType="end"/>
      </w:r>
    </w:p>
    <w:p w14:paraId="5010E820">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_Toc6468 </w:instrText>
      </w:r>
      <w:r>
        <w:rPr>
          <w:rFonts w:hint="eastAsia"/>
          <w:lang w:val="en-US" w:eastAsia="zh-CN"/>
        </w:rPr>
        <w:fldChar w:fldCharType="separate"/>
      </w:r>
      <w:r>
        <w:rPr>
          <w:rFonts w:hint="default"/>
          <w:lang w:val="en-US" w:eastAsia="zh-CN"/>
        </w:rPr>
        <w:t>1.3.2 规章、规范性文件</w:t>
      </w:r>
      <w:r>
        <w:tab/>
      </w:r>
      <w:r>
        <w:fldChar w:fldCharType="begin"/>
      </w:r>
      <w:r>
        <w:instrText xml:space="preserve"> PAGEREF _Toc6468 \h </w:instrText>
      </w:r>
      <w:r>
        <w:fldChar w:fldCharType="separate"/>
      </w:r>
      <w:r>
        <w:t>6</w:t>
      </w:r>
      <w:r>
        <w:fldChar w:fldCharType="end"/>
      </w:r>
      <w:r>
        <w:rPr>
          <w:rFonts w:hint="eastAsia"/>
          <w:lang w:val="en-US" w:eastAsia="zh-CN"/>
        </w:rPr>
        <w:fldChar w:fldCharType="end"/>
      </w:r>
    </w:p>
    <w:p w14:paraId="440694D2">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_Toc18855 </w:instrText>
      </w:r>
      <w:r>
        <w:rPr>
          <w:rFonts w:hint="eastAsia"/>
          <w:lang w:val="en-US" w:eastAsia="zh-CN"/>
        </w:rPr>
        <w:fldChar w:fldCharType="separate"/>
      </w:r>
      <w:r>
        <w:rPr>
          <w:rFonts w:hint="default"/>
          <w:lang w:val="en-US" w:eastAsia="zh-CN"/>
        </w:rPr>
        <w:t>1.3.3 标准、规范</w:t>
      </w:r>
      <w:r>
        <w:tab/>
      </w:r>
      <w:r>
        <w:fldChar w:fldCharType="begin"/>
      </w:r>
      <w:r>
        <w:instrText xml:space="preserve"> PAGEREF _Toc18855 \h </w:instrText>
      </w:r>
      <w:r>
        <w:fldChar w:fldCharType="separate"/>
      </w:r>
      <w:r>
        <w:t>10</w:t>
      </w:r>
      <w:r>
        <w:fldChar w:fldCharType="end"/>
      </w:r>
      <w:r>
        <w:rPr>
          <w:rFonts w:hint="eastAsia"/>
          <w:lang w:val="en-US" w:eastAsia="zh-CN"/>
        </w:rPr>
        <w:fldChar w:fldCharType="end"/>
      </w:r>
    </w:p>
    <w:p w14:paraId="3386BE4B">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_Toc730 </w:instrText>
      </w:r>
      <w:r>
        <w:rPr>
          <w:rFonts w:hint="eastAsia"/>
          <w:lang w:val="en-US" w:eastAsia="zh-CN"/>
        </w:rPr>
        <w:fldChar w:fldCharType="separate"/>
      </w:r>
      <w:r>
        <w:rPr>
          <w:rFonts w:hint="default"/>
          <w:lang w:val="en-US" w:eastAsia="zh-CN"/>
        </w:rPr>
        <w:t>1.3.</w:t>
      </w:r>
      <w:r>
        <w:rPr>
          <w:rFonts w:hint="eastAsia"/>
          <w:lang w:val="en-US" w:eastAsia="zh-CN"/>
        </w:rPr>
        <w:t>4</w:t>
      </w:r>
      <w:r>
        <w:rPr>
          <w:rFonts w:hint="default"/>
          <w:lang w:val="en-US" w:eastAsia="zh-CN"/>
        </w:rPr>
        <w:t xml:space="preserve"> 建设项目技术资料</w:t>
      </w:r>
      <w:r>
        <w:tab/>
      </w:r>
      <w:r>
        <w:fldChar w:fldCharType="begin"/>
      </w:r>
      <w:r>
        <w:instrText xml:space="preserve"> PAGEREF _Toc730 \h </w:instrText>
      </w:r>
      <w:r>
        <w:fldChar w:fldCharType="separate"/>
      </w:r>
      <w:r>
        <w:t>12</w:t>
      </w:r>
      <w:r>
        <w:fldChar w:fldCharType="end"/>
      </w:r>
      <w:r>
        <w:rPr>
          <w:rFonts w:hint="eastAsia"/>
          <w:lang w:val="en-US" w:eastAsia="zh-CN"/>
        </w:rPr>
        <w:fldChar w:fldCharType="end"/>
      </w:r>
    </w:p>
    <w:p w14:paraId="78371F5D">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_Toc24026 </w:instrText>
      </w:r>
      <w:r>
        <w:rPr>
          <w:rFonts w:hint="eastAsia"/>
          <w:lang w:val="en-US" w:eastAsia="zh-CN"/>
        </w:rPr>
        <w:fldChar w:fldCharType="separate"/>
      </w:r>
      <w:r>
        <w:rPr>
          <w:rFonts w:hint="default"/>
          <w:lang w:val="en-US" w:eastAsia="zh-CN"/>
        </w:rPr>
        <w:t>1.4</w:t>
      </w:r>
      <w:r>
        <w:rPr>
          <w:rFonts w:hint="eastAsia"/>
          <w:lang w:val="en-US" w:eastAsia="zh-CN"/>
        </w:rPr>
        <w:t xml:space="preserve"> </w:t>
      </w:r>
      <w:r>
        <w:rPr>
          <w:rFonts w:hint="default"/>
          <w:lang w:val="en-US" w:eastAsia="zh-CN"/>
        </w:rPr>
        <w:t>评价程序</w:t>
      </w:r>
      <w:r>
        <w:tab/>
      </w:r>
      <w:r>
        <w:fldChar w:fldCharType="begin"/>
      </w:r>
      <w:r>
        <w:instrText xml:space="preserve"> PAGEREF _Toc24026 \h </w:instrText>
      </w:r>
      <w:r>
        <w:fldChar w:fldCharType="separate"/>
      </w:r>
      <w:r>
        <w:t>13</w:t>
      </w:r>
      <w:r>
        <w:fldChar w:fldCharType="end"/>
      </w:r>
      <w:r>
        <w:rPr>
          <w:rFonts w:hint="eastAsia"/>
          <w:lang w:val="en-US" w:eastAsia="zh-CN"/>
        </w:rPr>
        <w:fldChar w:fldCharType="end"/>
      </w:r>
    </w:p>
    <w:p w14:paraId="1B5B7EDC">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_Toc18437 </w:instrText>
      </w:r>
      <w:r>
        <w:rPr>
          <w:rFonts w:hint="eastAsia"/>
          <w:lang w:val="en-US" w:eastAsia="zh-CN"/>
        </w:rPr>
        <w:fldChar w:fldCharType="separate"/>
      </w:r>
      <w:r>
        <w:rPr>
          <w:rFonts w:hint="default" w:ascii="Times New Roman" w:hAnsi="Times New Roman" w:cs="Times New Roman"/>
          <w:lang w:val="en-US" w:eastAsia="zh-CN"/>
        </w:rPr>
        <w:t>2. 项目概况</w:t>
      </w:r>
      <w:r>
        <w:tab/>
      </w:r>
      <w:r>
        <w:fldChar w:fldCharType="begin"/>
      </w:r>
      <w:r>
        <w:instrText xml:space="preserve"> PAGEREF _Toc18437 \h </w:instrText>
      </w:r>
      <w:r>
        <w:fldChar w:fldCharType="separate"/>
      </w:r>
      <w:r>
        <w:t>14</w:t>
      </w:r>
      <w:r>
        <w:fldChar w:fldCharType="end"/>
      </w:r>
      <w:r>
        <w:rPr>
          <w:rFonts w:hint="eastAsia"/>
          <w:lang w:val="en-US" w:eastAsia="zh-CN"/>
        </w:rPr>
        <w:fldChar w:fldCharType="end"/>
      </w:r>
    </w:p>
    <w:p w14:paraId="7168A6F8">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_Toc11057 </w:instrText>
      </w:r>
      <w:r>
        <w:rPr>
          <w:rFonts w:hint="eastAsia"/>
          <w:lang w:val="en-US" w:eastAsia="zh-CN"/>
        </w:rPr>
        <w:fldChar w:fldCharType="separate"/>
      </w:r>
      <w:r>
        <w:rPr>
          <w:rFonts w:hint="default"/>
          <w:lang w:val="en-US" w:eastAsia="zh-CN"/>
        </w:rPr>
        <w:t>2.1</w:t>
      </w:r>
      <w:r>
        <w:rPr>
          <w:rFonts w:hint="eastAsia"/>
          <w:lang w:val="en-US" w:eastAsia="zh-CN"/>
        </w:rPr>
        <w:t xml:space="preserve"> </w:t>
      </w:r>
      <w:r>
        <w:rPr>
          <w:rFonts w:hint="default"/>
          <w:lang w:val="en-US" w:eastAsia="zh-CN"/>
        </w:rPr>
        <w:t>建设单位概况</w:t>
      </w:r>
      <w:r>
        <w:tab/>
      </w:r>
      <w:r>
        <w:fldChar w:fldCharType="begin"/>
      </w:r>
      <w:r>
        <w:instrText xml:space="preserve"> PAGEREF _Toc11057 \h </w:instrText>
      </w:r>
      <w:r>
        <w:fldChar w:fldCharType="separate"/>
      </w:r>
      <w:r>
        <w:t>14</w:t>
      </w:r>
      <w:r>
        <w:fldChar w:fldCharType="end"/>
      </w:r>
      <w:r>
        <w:rPr>
          <w:rFonts w:hint="eastAsia"/>
          <w:lang w:val="en-US" w:eastAsia="zh-CN"/>
        </w:rPr>
        <w:fldChar w:fldCharType="end"/>
      </w:r>
    </w:p>
    <w:p w14:paraId="46CADD55">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_Toc8976 </w:instrText>
      </w:r>
      <w:r>
        <w:rPr>
          <w:rFonts w:hint="eastAsia"/>
          <w:lang w:val="en-US" w:eastAsia="zh-CN"/>
        </w:rPr>
        <w:fldChar w:fldCharType="separate"/>
      </w:r>
      <w:r>
        <w:rPr>
          <w:rFonts w:hint="default"/>
          <w:lang w:val="en-US" w:eastAsia="zh-CN"/>
        </w:rPr>
        <w:t>2.1.1</w:t>
      </w:r>
      <w:r>
        <w:rPr>
          <w:rFonts w:hint="eastAsia"/>
          <w:lang w:val="en-US" w:eastAsia="zh-CN"/>
        </w:rPr>
        <w:t xml:space="preserve"> </w:t>
      </w:r>
      <w:r>
        <w:rPr>
          <w:rFonts w:hint="default"/>
          <w:lang w:val="en-US" w:eastAsia="zh-CN"/>
        </w:rPr>
        <w:t>建设单位简介及项目</w:t>
      </w:r>
      <w:r>
        <w:rPr>
          <w:rFonts w:hint="eastAsia"/>
          <w:lang w:val="en-US" w:eastAsia="zh-CN"/>
        </w:rPr>
        <w:t>情况</w:t>
      </w:r>
      <w:r>
        <w:tab/>
      </w:r>
      <w:r>
        <w:fldChar w:fldCharType="begin"/>
      </w:r>
      <w:r>
        <w:instrText xml:space="preserve"> PAGEREF _Toc8976 \h </w:instrText>
      </w:r>
      <w:r>
        <w:fldChar w:fldCharType="separate"/>
      </w:r>
      <w:r>
        <w:t>14</w:t>
      </w:r>
      <w:r>
        <w:fldChar w:fldCharType="end"/>
      </w:r>
      <w:r>
        <w:rPr>
          <w:rFonts w:hint="eastAsia"/>
          <w:lang w:val="en-US" w:eastAsia="zh-CN"/>
        </w:rPr>
        <w:fldChar w:fldCharType="end"/>
      </w:r>
    </w:p>
    <w:p w14:paraId="270F5CAE">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_Toc1018 </w:instrText>
      </w:r>
      <w:r>
        <w:rPr>
          <w:rFonts w:hint="eastAsia"/>
          <w:lang w:val="en-US" w:eastAsia="zh-CN"/>
        </w:rPr>
        <w:fldChar w:fldCharType="separate"/>
      </w:r>
      <w:r>
        <w:rPr>
          <w:rFonts w:hint="default"/>
          <w:lang w:val="en-US" w:eastAsia="zh-CN"/>
        </w:rPr>
        <w:t>2.1.2</w:t>
      </w:r>
      <w:r>
        <w:rPr>
          <w:rFonts w:hint="eastAsia"/>
          <w:lang w:val="en-US" w:eastAsia="zh-CN"/>
        </w:rPr>
        <w:t xml:space="preserve"> </w:t>
      </w:r>
      <w:r>
        <w:rPr>
          <w:rFonts w:hint="default"/>
          <w:lang w:val="en-US" w:eastAsia="zh-CN"/>
        </w:rPr>
        <w:t>地理位置及交通</w:t>
      </w:r>
      <w:r>
        <w:tab/>
      </w:r>
      <w:r>
        <w:fldChar w:fldCharType="begin"/>
      </w:r>
      <w:r>
        <w:instrText xml:space="preserve"> PAGEREF _Toc1018 \h </w:instrText>
      </w:r>
      <w:r>
        <w:fldChar w:fldCharType="separate"/>
      </w:r>
      <w:r>
        <w:t>16</w:t>
      </w:r>
      <w:r>
        <w:fldChar w:fldCharType="end"/>
      </w:r>
      <w:r>
        <w:rPr>
          <w:rFonts w:hint="eastAsia"/>
          <w:lang w:val="en-US" w:eastAsia="zh-CN"/>
        </w:rPr>
        <w:fldChar w:fldCharType="end"/>
      </w:r>
    </w:p>
    <w:p w14:paraId="222E6EC2">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_Toc16795 </w:instrText>
      </w:r>
      <w:r>
        <w:rPr>
          <w:rFonts w:hint="eastAsia"/>
          <w:lang w:val="en-US" w:eastAsia="zh-CN"/>
        </w:rPr>
        <w:fldChar w:fldCharType="separate"/>
      </w:r>
      <w:r>
        <w:rPr>
          <w:rFonts w:hint="eastAsia"/>
          <w:lang w:val="en-US" w:eastAsia="zh-CN"/>
        </w:rPr>
        <w:t>2.1.3 开采范围</w:t>
      </w:r>
      <w:r>
        <w:tab/>
      </w:r>
      <w:r>
        <w:fldChar w:fldCharType="begin"/>
      </w:r>
      <w:r>
        <w:instrText xml:space="preserve"> PAGEREF _Toc16795 \h </w:instrText>
      </w:r>
      <w:r>
        <w:fldChar w:fldCharType="separate"/>
      </w:r>
      <w:r>
        <w:t>17</w:t>
      </w:r>
      <w:r>
        <w:fldChar w:fldCharType="end"/>
      </w:r>
      <w:r>
        <w:rPr>
          <w:rFonts w:hint="eastAsia"/>
          <w:lang w:val="en-US" w:eastAsia="zh-CN"/>
        </w:rPr>
        <w:fldChar w:fldCharType="end"/>
      </w:r>
    </w:p>
    <w:p w14:paraId="7C7172BE">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_Toc1900 </w:instrText>
      </w:r>
      <w:r>
        <w:rPr>
          <w:rFonts w:hint="eastAsia"/>
          <w:lang w:val="en-US" w:eastAsia="zh-CN"/>
        </w:rPr>
        <w:fldChar w:fldCharType="separate"/>
      </w:r>
      <w:r>
        <w:rPr>
          <w:rFonts w:hint="default"/>
          <w:lang w:val="en-US" w:eastAsia="zh-CN"/>
        </w:rPr>
        <w:t>2.1.</w:t>
      </w:r>
      <w:r>
        <w:rPr>
          <w:rFonts w:hint="eastAsia"/>
          <w:lang w:val="en-US" w:eastAsia="zh-CN"/>
        </w:rPr>
        <w:t>4</w:t>
      </w:r>
      <w:r>
        <w:rPr>
          <w:rFonts w:hint="default"/>
          <w:lang w:val="en-US" w:eastAsia="zh-CN"/>
        </w:rPr>
        <w:t xml:space="preserve"> 矿区周边环境</w:t>
      </w:r>
      <w:r>
        <w:tab/>
      </w:r>
      <w:r>
        <w:fldChar w:fldCharType="begin"/>
      </w:r>
      <w:r>
        <w:instrText xml:space="preserve"> PAGEREF _Toc1900 \h </w:instrText>
      </w:r>
      <w:r>
        <w:fldChar w:fldCharType="separate"/>
      </w:r>
      <w:r>
        <w:t>18</w:t>
      </w:r>
      <w:r>
        <w:fldChar w:fldCharType="end"/>
      </w:r>
      <w:r>
        <w:rPr>
          <w:rFonts w:hint="eastAsia"/>
          <w:lang w:val="en-US" w:eastAsia="zh-CN"/>
        </w:rPr>
        <w:fldChar w:fldCharType="end"/>
      </w:r>
    </w:p>
    <w:p w14:paraId="1C23449F">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_Toc24478 </w:instrText>
      </w:r>
      <w:r>
        <w:rPr>
          <w:rFonts w:hint="eastAsia"/>
          <w:lang w:val="en-US" w:eastAsia="zh-CN"/>
        </w:rPr>
        <w:fldChar w:fldCharType="separate"/>
      </w:r>
      <w:r>
        <w:rPr>
          <w:rFonts w:hint="eastAsia"/>
          <w:lang w:val="en-US" w:eastAsia="zh-CN"/>
        </w:rPr>
        <w:t>2.2 自然环境概况</w:t>
      </w:r>
      <w:r>
        <w:tab/>
      </w:r>
      <w:r>
        <w:fldChar w:fldCharType="begin"/>
      </w:r>
      <w:r>
        <w:instrText xml:space="preserve"> PAGEREF _Toc24478 \h </w:instrText>
      </w:r>
      <w:r>
        <w:fldChar w:fldCharType="separate"/>
      </w:r>
      <w:r>
        <w:t>21</w:t>
      </w:r>
      <w:r>
        <w:fldChar w:fldCharType="end"/>
      </w:r>
      <w:r>
        <w:rPr>
          <w:rFonts w:hint="eastAsia"/>
          <w:lang w:val="en-US" w:eastAsia="zh-CN"/>
        </w:rPr>
        <w:fldChar w:fldCharType="end"/>
      </w:r>
    </w:p>
    <w:p w14:paraId="60372052">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_Toc10440 </w:instrText>
      </w:r>
      <w:r>
        <w:rPr>
          <w:rFonts w:hint="eastAsia"/>
          <w:lang w:val="en-US" w:eastAsia="zh-CN"/>
        </w:rPr>
        <w:fldChar w:fldCharType="separate"/>
      </w:r>
      <w:r>
        <w:rPr>
          <w:rFonts w:hint="default"/>
          <w:lang w:val="en-US" w:eastAsia="zh-CN"/>
        </w:rPr>
        <w:t>2.3 地质概况</w:t>
      </w:r>
      <w:r>
        <w:tab/>
      </w:r>
      <w:r>
        <w:fldChar w:fldCharType="begin"/>
      </w:r>
      <w:r>
        <w:instrText xml:space="preserve"> PAGEREF _Toc10440 \h </w:instrText>
      </w:r>
      <w:r>
        <w:fldChar w:fldCharType="separate"/>
      </w:r>
      <w:r>
        <w:t>21</w:t>
      </w:r>
      <w:r>
        <w:fldChar w:fldCharType="end"/>
      </w:r>
      <w:r>
        <w:rPr>
          <w:rFonts w:hint="eastAsia"/>
          <w:lang w:val="en-US" w:eastAsia="zh-CN"/>
        </w:rPr>
        <w:fldChar w:fldCharType="end"/>
      </w:r>
    </w:p>
    <w:p w14:paraId="6DD7BE96">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_Toc6461 </w:instrText>
      </w:r>
      <w:r>
        <w:rPr>
          <w:rFonts w:hint="eastAsia"/>
          <w:lang w:val="en-US" w:eastAsia="zh-CN"/>
        </w:rPr>
        <w:fldChar w:fldCharType="separate"/>
      </w:r>
      <w:r>
        <w:rPr>
          <w:rFonts w:hint="default"/>
          <w:lang w:val="en-US" w:eastAsia="zh-CN"/>
        </w:rPr>
        <w:t>2.3.1</w:t>
      </w:r>
      <w:r>
        <w:rPr>
          <w:rFonts w:hint="eastAsia"/>
          <w:lang w:val="en-US" w:eastAsia="zh-CN"/>
        </w:rPr>
        <w:t xml:space="preserve"> </w:t>
      </w:r>
      <w:r>
        <w:rPr>
          <w:rFonts w:hint="default"/>
          <w:lang w:val="en-US" w:eastAsia="zh-CN"/>
        </w:rPr>
        <w:t>矿区地质概况</w:t>
      </w:r>
      <w:r>
        <w:tab/>
      </w:r>
      <w:r>
        <w:fldChar w:fldCharType="begin"/>
      </w:r>
      <w:r>
        <w:instrText xml:space="preserve"> PAGEREF _Toc6461 \h </w:instrText>
      </w:r>
      <w:r>
        <w:fldChar w:fldCharType="separate"/>
      </w:r>
      <w:r>
        <w:t>21</w:t>
      </w:r>
      <w:r>
        <w:fldChar w:fldCharType="end"/>
      </w:r>
      <w:r>
        <w:rPr>
          <w:rFonts w:hint="eastAsia"/>
          <w:lang w:val="en-US" w:eastAsia="zh-CN"/>
        </w:rPr>
        <w:fldChar w:fldCharType="end"/>
      </w:r>
    </w:p>
    <w:p w14:paraId="6C899911">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_Toc24688 </w:instrText>
      </w:r>
      <w:r>
        <w:rPr>
          <w:rFonts w:hint="eastAsia"/>
          <w:lang w:val="en-US" w:eastAsia="zh-CN"/>
        </w:rPr>
        <w:fldChar w:fldCharType="separate"/>
      </w:r>
      <w:r>
        <w:rPr>
          <w:rFonts w:hint="default"/>
          <w:lang w:val="en-US" w:eastAsia="zh-CN"/>
        </w:rPr>
        <w:t>2.3.2 水文地质概况</w:t>
      </w:r>
      <w:r>
        <w:tab/>
      </w:r>
      <w:r>
        <w:fldChar w:fldCharType="begin"/>
      </w:r>
      <w:r>
        <w:instrText xml:space="preserve"> PAGEREF _Toc24688 \h </w:instrText>
      </w:r>
      <w:r>
        <w:fldChar w:fldCharType="separate"/>
      </w:r>
      <w:r>
        <w:t>23</w:t>
      </w:r>
      <w:r>
        <w:fldChar w:fldCharType="end"/>
      </w:r>
      <w:r>
        <w:rPr>
          <w:rFonts w:hint="eastAsia"/>
          <w:lang w:val="en-US" w:eastAsia="zh-CN"/>
        </w:rPr>
        <w:fldChar w:fldCharType="end"/>
      </w:r>
    </w:p>
    <w:p w14:paraId="1D428CD9">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_Toc3023 </w:instrText>
      </w:r>
      <w:r>
        <w:rPr>
          <w:rFonts w:hint="eastAsia"/>
          <w:lang w:val="en-US" w:eastAsia="zh-CN"/>
        </w:rPr>
        <w:fldChar w:fldCharType="separate"/>
      </w:r>
      <w:r>
        <w:rPr>
          <w:rFonts w:hint="eastAsia"/>
          <w:lang w:val="en-US" w:eastAsia="zh-CN"/>
        </w:rPr>
        <w:t xml:space="preserve">2.3.3 </w:t>
      </w:r>
      <w:r>
        <w:rPr>
          <w:rFonts w:hint="default"/>
          <w:lang w:val="en-US" w:eastAsia="zh-CN"/>
        </w:rPr>
        <w:t>工程地质概况</w:t>
      </w:r>
      <w:r>
        <w:tab/>
      </w:r>
      <w:r>
        <w:fldChar w:fldCharType="begin"/>
      </w:r>
      <w:r>
        <w:instrText xml:space="preserve"> PAGEREF _Toc3023 \h </w:instrText>
      </w:r>
      <w:r>
        <w:fldChar w:fldCharType="separate"/>
      </w:r>
      <w:r>
        <w:t>26</w:t>
      </w:r>
      <w:r>
        <w:fldChar w:fldCharType="end"/>
      </w:r>
      <w:r>
        <w:rPr>
          <w:rFonts w:hint="eastAsia"/>
          <w:lang w:val="en-US" w:eastAsia="zh-CN"/>
        </w:rPr>
        <w:fldChar w:fldCharType="end"/>
      </w:r>
    </w:p>
    <w:p w14:paraId="0BEA4093">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_Toc26302 </w:instrText>
      </w:r>
      <w:r>
        <w:rPr>
          <w:rFonts w:hint="eastAsia"/>
          <w:lang w:val="en-US" w:eastAsia="zh-CN"/>
        </w:rPr>
        <w:fldChar w:fldCharType="separate"/>
      </w:r>
      <w:r>
        <w:rPr>
          <w:rFonts w:hint="eastAsia"/>
          <w:lang w:val="en-US" w:eastAsia="zh-CN"/>
        </w:rPr>
        <w:t>2.3.4 环境地质概况</w:t>
      </w:r>
      <w:r>
        <w:tab/>
      </w:r>
      <w:r>
        <w:fldChar w:fldCharType="begin"/>
      </w:r>
      <w:r>
        <w:instrText xml:space="preserve"> PAGEREF _Toc26302 \h </w:instrText>
      </w:r>
      <w:r>
        <w:fldChar w:fldCharType="separate"/>
      </w:r>
      <w:r>
        <w:t>27</w:t>
      </w:r>
      <w:r>
        <w:fldChar w:fldCharType="end"/>
      </w:r>
      <w:r>
        <w:rPr>
          <w:rFonts w:hint="eastAsia"/>
          <w:lang w:val="en-US" w:eastAsia="zh-CN"/>
        </w:rPr>
        <w:fldChar w:fldCharType="end"/>
      </w:r>
    </w:p>
    <w:p w14:paraId="5A04BC24">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_Toc24321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 xml:space="preserve"> 矿山生产现状</w:t>
      </w:r>
      <w:r>
        <w:tab/>
      </w:r>
      <w:r>
        <w:fldChar w:fldCharType="begin"/>
      </w:r>
      <w:r>
        <w:instrText xml:space="preserve"> PAGEREF _Toc24321 \h </w:instrText>
      </w:r>
      <w:r>
        <w:fldChar w:fldCharType="separate"/>
      </w:r>
      <w:r>
        <w:t>29</w:t>
      </w:r>
      <w:r>
        <w:fldChar w:fldCharType="end"/>
      </w:r>
      <w:r>
        <w:rPr>
          <w:rFonts w:hint="eastAsia"/>
          <w:lang w:val="en-US" w:eastAsia="zh-CN"/>
        </w:rPr>
        <w:fldChar w:fldCharType="end"/>
      </w:r>
    </w:p>
    <w:p w14:paraId="561CB4B5">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_Toc14965 </w:instrText>
      </w:r>
      <w:r>
        <w:rPr>
          <w:rFonts w:hint="eastAsia"/>
          <w:lang w:val="en-US" w:eastAsia="zh-CN"/>
        </w:rPr>
        <w:fldChar w:fldCharType="separate"/>
      </w:r>
      <w:r>
        <w:rPr>
          <w:rFonts w:hint="eastAsia"/>
          <w:lang w:val="en-US" w:eastAsia="zh-CN"/>
        </w:rPr>
        <w:t>2.4.1 设计情况</w:t>
      </w:r>
      <w:r>
        <w:tab/>
      </w:r>
      <w:r>
        <w:fldChar w:fldCharType="begin"/>
      </w:r>
      <w:r>
        <w:instrText xml:space="preserve"> PAGEREF _Toc14965 \h </w:instrText>
      </w:r>
      <w:r>
        <w:fldChar w:fldCharType="separate"/>
      </w:r>
      <w:r>
        <w:t>29</w:t>
      </w:r>
      <w:r>
        <w:fldChar w:fldCharType="end"/>
      </w:r>
      <w:r>
        <w:rPr>
          <w:rFonts w:hint="eastAsia"/>
          <w:lang w:val="en-US" w:eastAsia="zh-CN"/>
        </w:rPr>
        <w:fldChar w:fldCharType="end"/>
      </w:r>
    </w:p>
    <w:p w14:paraId="2C462FC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_Toc32017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2</w:t>
      </w:r>
      <w:r>
        <w:rPr>
          <w:rFonts w:hint="default"/>
          <w:lang w:val="en-US" w:eastAsia="zh-CN"/>
        </w:rPr>
        <w:t xml:space="preserve"> 矿山开采上轮许可状况</w:t>
      </w:r>
      <w:r>
        <w:tab/>
      </w:r>
      <w:r>
        <w:fldChar w:fldCharType="begin"/>
      </w:r>
      <w:r>
        <w:instrText xml:space="preserve"> PAGEREF _Toc32017 \h </w:instrText>
      </w:r>
      <w:r>
        <w:fldChar w:fldCharType="separate"/>
      </w:r>
      <w:r>
        <w:t>30</w:t>
      </w:r>
      <w:r>
        <w:fldChar w:fldCharType="end"/>
      </w:r>
      <w:r>
        <w:rPr>
          <w:rFonts w:hint="eastAsia"/>
          <w:lang w:val="en-US" w:eastAsia="zh-CN"/>
        </w:rPr>
        <w:fldChar w:fldCharType="end"/>
      </w:r>
    </w:p>
    <w:p w14:paraId="7139BFEE">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_Toc4415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3</w:t>
      </w:r>
      <w:r>
        <w:rPr>
          <w:rFonts w:hint="default"/>
          <w:lang w:val="en-US" w:eastAsia="zh-CN"/>
        </w:rPr>
        <w:t xml:space="preserve"> 生产规模及工作制度</w:t>
      </w:r>
      <w:r>
        <w:tab/>
      </w:r>
      <w:r>
        <w:fldChar w:fldCharType="begin"/>
      </w:r>
      <w:r>
        <w:instrText xml:space="preserve"> PAGEREF _Toc4415 \h </w:instrText>
      </w:r>
      <w:r>
        <w:fldChar w:fldCharType="separate"/>
      </w:r>
      <w:r>
        <w:t>30</w:t>
      </w:r>
      <w:r>
        <w:fldChar w:fldCharType="end"/>
      </w:r>
      <w:r>
        <w:rPr>
          <w:rFonts w:hint="eastAsia"/>
          <w:lang w:val="en-US" w:eastAsia="zh-CN"/>
        </w:rPr>
        <w:fldChar w:fldCharType="end"/>
      </w:r>
    </w:p>
    <w:p w14:paraId="0270906F">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_Toc28640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4</w:t>
      </w:r>
      <w:r>
        <w:rPr>
          <w:rFonts w:hint="default"/>
          <w:lang w:val="en-US" w:eastAsia="zh-CN"/>
        </w:rPr>
        <w:t xml:space="preserve"> 总图运输</w:t>
      </w:r>
      <w:r>
        <w:tab/>
      </w:r>
      <w:r>
        <w:fldChar w:fldCharType="begin"/>
      </w:r>
      <w:r>
        <w:instrText xml:space="preserve"> PAGEREF _Toc28640 \h </w:instrText>
      </w:r>
      <w:r>
        <w:fldChar w:fldCharType="separate"/>
      </w:r>
      <w:r>
        <w:t>31</w:t>
      </w:r>
      <w:r>
        <w:fldChar w:fldCharType="end"/>
      </w:r>
      <w:r>
        <w:rPr>
          <w:rFonts w:hint="eastAsia"/>
          <w:lang w:val="en-US" w:eastAsia="zh-CN"/>
        </w:rPr>
        <w:fldChar w:fldCharType="end"/>
      </w:r>
    </w:p>
    <w:p w14:paraId="3DB384AD">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_Toc13552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5</w:t>
      </w:r>
      <w:r>
        <w:rPr>
          <w:rFonts w:hint="default"/>
          <w:lang w:val="en-US" w:eastAsia="zh-CN"/>
        </w:rPr>
        <w:t xml:space="preserve"> 开采范围</w:t>
      </w:r>
      <w:r>
        <w:tab/>
      </w:r>
      <w:r>
        <w:fldChar w:fldCharType="begin"/>
      </w:r>
      <w:r>
        <w:instrText xml:space="preserve"> PAGEREF _Toc13552 \h </w:instrText>
      </w:r>
      <w:r>
        <w:fldChar w:fldCharType="separate"/>
      </w:r>
      <w:r>
        <w:t>31</w:t>
      </w:r>
      <w:r>
        <w:fldChar w:fldCharType="end"/>
      </w:r>
      <w:r>
        <w:rPr>
          <w:rFonts w:hint="eastAsia"/>
          <w:lang w:val="en-US" w:eastAsia="zh-CN"/>
        </w:rPr>
        <w:fldChar w:fldCharType="end"/>
      </w:r>
    </w:p>
    <w:p w14:paraId="4801DB88">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_Toc27545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6</w:t>
      </w:r>
      <w:r>
        <w:rPr>
          <w:rFonts w:hint="default"/>
          <w:lang w:val="en-US" w:eastAsia="zh-CN"/>
        </w:rPr>
        <w:t xml:space="preserve"> 开拓运输</w:t>
      </w:r>
      <w:r>
        <w:tab/>
      </w:r>
      <w:r>
        <w:fldChar w:fldCharType="begin"/>
      </w:r>
      <w:r>
        <w:instrText xml:space="preserve"> PAGEREF _Toc27545 \h </w:instrText>
      </w:r>
      <w:r>
        <w:fldChar w:fldCharType="separate"/>
      </w:r>
      <w:r>
        <w:t>31</w:t>
      </w:r>
      <w:r>
        <w:fldChar w:fldCharType="end"/>
      </w:r>
      <w:r>
        <w:rPr>
          <w:rFonts w:hint="eastAsia"/>
          <w:lang w:val="en-US" w:eastAsia="zh-CN"/>
        </w:rPr>
        <w:fldChar w:fldCharType="end"/>
      </w:r>
    </w:p>
    <w:p w14:paraId="55619500">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_Toc31747 </w:instrText>
      </w:r>
      <w:r>
        <w:rPr>
          <w:rFonts w:hint="eastAsia"/>
          <w:lang w:val="en-US" w:eastAsia="zh-CN"/>
        </w:rPr>
        <w:fldChar w:fldCharType="separate"/>
      </w:r>
      <w:r>
        <w:rPr>
          <w:rFonts w:hint="default"/>
          <w:lang w:val="en-US" w:eastAsia="zh-CN"/>
        </w:rPr>
        <w:t>2.</w:t>
      </w:r>
      <w:r>
        <w:rPr>
          <w:rFonts w:hint="eastAsia"/>
          <w:lang w:val="en-US" w:eastAsia="zh-CN"/>
        </w:rPr>
        <w:t>4</w:t>
      </w:r>
      <w:r>
        <w:rPr>
          <w:rFonts w:hint="default"/>
          <w:lang w:val="en-US" w:eastAsia="zh-CN"/>
        </w:rPr>
        <w:t>.</w:t>
      </w:r>
      <w:r>
        <w:rPr>
          <w:rFonts w:hint="eastAsia"/>
          <w:lang w:val="en-US" w:eastAsia="zh-CN"/>
        </w:rPr>
        <w:t>7</w:t>
      </w:r>
      <w:r>
        <w:rPr>
          <w:rFonts w:hint="default"/>
          <w:lang w:val="en-US" w:eastAsia="zh-CN"/>
        </w:rPr>
        <w:t xml:space="preserve"> 采矿工艺</w:t>
      </w:r>
      <w:r>
        <w:tab/>
      </w:r>
      <w:r>
        <w:fldChar w:fldCharType="begin"/>
      </w:r>
      <w:r>
        <w:instrText xml:space="preserve"> PAGEREF _Toc31747 \h </w:instrText>
      </w:r>
      <w:r>
        <w:fldChar w:fldCharType="separate"/>
      </w:r>
      <w:r>
        <w:t>32</w:t>
      </w:r>
      <w:r>
        <w:fldChar w:fldCharType="end"/>
      </w:r>
      <w:r>
        <w:rPr>
          <w:rFonts w:hint="eastAsia"/>
          <w:lang w:val="en-US" w:eastAsia="zh-CN"/>
        </w:rPr>
        <w:fldChar w:fldCharType="end"/>
      </w:r>
    </w:p>
    <w:p w14:paraId="4AB7A0BC">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_Toc7109 </w:instrText>
      </w:r>
      <w:r>
        <w:rPr>
          <w:rFonts w:hint="eastAsia"/>
          <w:lang w:val="en-US" w:eastAsia="zh-CN"/>
        </w:rPr>
        <w:fldChar w:fldCharType="separate"/>
      </w:r>
      <w:r>
        <w:rPr>
          <w:rFonts w:hint="default"/>
          <w:lang w:val="en-US" w:eastAsia="zh-CN"/>
        </w:rPr>
        <w:t>2.4.</w:t>
      </w:r>
      <w:r>
        <w:rPr>
          <w:rFonts w:hint="eastAsia"/>
          <w:lang w:val="en-US" w:eastAsia="zh-CN"/>
        </w:rPr>
        <w:t>8</w:t>
      </w:r>
      <w:r>
        <w:rPr>
          <w:rFonts w:hint="default"/>
          <w:lang w:val="en-US" w:eastAsia="zh-CN"/>
        </w:rPr>
        <w:t xml:space="preserve"> 矿山通风与防尘</w:t>
      </w:r>
      <w:r>
        <w:tab/>
      </w:r>
      <w:r>
        <w:fldChar w:fldCharType="begin"/>
      </w:r>
      <w:r>
        <w:instrText xml:space="preserve"> PAGEREF _Toc7109 \h </w:instrText>
      </w:r>
      <w:r>
        <w:fldChar w:fldCharType="separate"/>
      </w:r>
      <w:r>
        <w:t>34</w:t>
      </w:r>
      <w:r>
        <w:fldChar w:fldCharType="end"/>
      </w:r>
      <w:r>
        <w:rPr>
          <w:rFonts w:hint="eastAsia"/>
          <w:lang w:val="en-US" w:eastAsia="zh-CN"/>
        </w:rPr>
        <w:fldChar w:fldCharType="end"/>
      </w:r>
    </w:p>
    <w:p w14:paraId="4B017B6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_Toc16115 </w:instrText>
      </w:r>
      <w:r>
        <w:rPr>
          <w:rFonts w:hint="eastAsia"/>
          <w:lang w:val="en-US" w:eastAsia="zh-CN"/>
        </w:rPr>
        <w:fldChar w:fldCharType="separate"/>
      </w:r>
      <w:r>
        <w:rPr>
          <w:rFonts w:hint="default"/>
          <w:lang w:val="en-US" w:eastAsia="zh-CN"/>
        </w:rPr>
        <w:t>2.4.</w:t>
      </w:r>
      <w:r>
        <w:rPr>
          <w:rFonts w:hint="eastAsia"/>
          <w:lang w:val="en-US" w:eastAsia="zh-CN"/>
        </w:rPr>
        <w:t>9</w:t>
      </w:r>
      <w:r>
        <w:rPr>
          <w:rFonts w:hint="default"/>
          <w:lang w:val="en-US" w:eastAsia="zh-CN"/>
        </w:rPr>
        <w:t xml:space="preserve"> 防排水与防灭火</w:t>
      </w:r>
      <w:r>
        <w:tab/>
      </w:r>
      <w:r>
        <w:fldChar w:fldCharType="begin"/>
      </w:r>
      <w:r>
        <w:instrText xml:space="preserve"> PAGEREF _Toc16115 \h </w:instrText>
      </w:r>
      <w:r>
        <w:fldChar w:fldCharType="separate"/>
      </w:r>
      <w:r>
        <w:t>34</w:t>
      </w:r>
      <w:r>
        <w:fldChar w:fldCharType="end"/>
      </w:r>
      <w:r>
        <w:rPr>
          <w:rFonts w:hint="eastAsia"/>
          <w:lang w:val="en-US" w:eastAsia="zh-CN"/>
        </w:rPr>
        <w:fldChar w:fldCharType="end"/>
      </w:r>
    </w:p>
    <w:p w14:paraId="653A2DDD">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_Toc11707 </w:instrText>
      </w:r>
      <w:r>
        <w:rPr>
          <w:rFonts w:hint="eastAsia"/>
          <w:lang w:val="en-US" w:eastAsia="zh-CN"/>
        </w:rPr>
        <w:fldChar w:fldCharType="separate"/>
      </w:r>
      <w:r>
        <w:rPr>
          <w:rFonts w:hint="default"/>
          <w:lang w:val="en-US" w:eastAsia="zh-CN"/>
        </w:rPr>
        <w:t>2.4.</w:t>
      </w:r>
      <w:r>
        <w:rPr>
          <w:rFonts w:hint="eastAsia"/>
          <w:lang w:val="en-US" w:eastAsia="zh-CN"/>
        </w:rPr>
        <w:t xml:space="preserve">10 </w:t>
      </w:r>
      <w:r>
        <w:rPr>
          <w:rFonts w:hint="default"/>
          <w:lang w:val="en-US" w:eastAsia="zh-CN"/>
        </w:rPr>
        <w:t>供电系统</w:t>
      </w:r>
      <w:r>
        <w:tab/>
      </w:r>
      <w:r>
        <w:fldChar w:fldCharType="begin"/>
      </w:r>
      <w:r>
        <w:instrText xml:space="preserve"> PAGEREF _Toc11707 \h </w:instrText>
      </w:r>
      <w:r>
        <w:fldChar w:fldCharType="separate"/>
      </w:r>
      <w:r>
        <w:t>35</w:t>
      </w:r>
      <w:r>
        <w:fldChar w:fldCharType="end"/>
      </w:r>
      <w:r>
        <w:rPr>
          <w:rFonts w:hint="eastAsia"/>
          <w:lang w:val="en-US" w:eastAsia="zh-CN"/>
        </w:rPr>
        <w:fldChar w:fldCharType="end"/>
      </w:r>
    </w:p>
    <w:p w14:paraId="3A54A016">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_Toc31066 </w:instrText>
      </w:r>
      <w:r>
        <w:rPr>
          <w:rFonts w:hint="eastAsia"/>
          <w:lang w:val="en-US" w:eastAsia="zh-CN"/>
        </w:rPr>
        <w:fldChar w:fldCharType="separate"/>
      </w:r>
      <w:r>
        <w:rPr>
          <w:rFonts w:hint="default"/>
          <w:lang w:val="en-US" w:eastAsia="zh-CN"/>
        </w:rPr>
        <w:t>2.4.</w:t>
      </w:r>
      <w:r>
        <w:rPr>
          <w:rFonts w:hint="eastAsia"/>
          <w:lang w:val="en-US" w:eastAsia="zh-CN"/>
        </w:rPr>
        <w:t>11 供风</w:t>
      </w:r>
      <w:r>
        <w:rPr>
          <w:rFonts w:hint="default"/>
          <w:lang w:val="en-US" w:eastAsia="zh-CN"/>
        </w:rPr>
        <w:t>系统</w:t>
      </w:r>
      <w:r>
        <w:tab/>
      </w:r>
      <w:r>
        <w:fldChar w:fldCharType="begin"/>
      </w:r>
      <w:r>
        <w:instrText xml:space="preserve"> PAGEREF _Toc31066 \h </w:instrText>
      </w:r>
      <w:r>
        <w:fldChar w:fldCharType="separate"/>
      </w:r>
      <w:r>
        <w:t>36</w:t>
      </w:r>
      <w:r>
        <w:fldChar w:fldCharType="end"/>
      </w:r>
      <w:r>
        <w:rPr>
          <w:rFonts w:hint="eastAsia"/>
          <w:lang w:val="en-US" w:eastAsia="zh-CN"/>
        </w:rPr>
        <w:fldChar w:fldCharType="end"/>
      </w:r>
    </w:p>
    <w:p w14:paraId="6F2548D8">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_Toc11212 </w:instrText>
      </w:r>
      <w:r>
        <w:rPr>
          <w:rFonts w:hint="eastAsia"/>
          <w:lang w:val="en-US" w:eastAsia="zh-CN"/>
        </w:rPr>
        <w:fldChar w:fldCharType="separate"/>
      </w:r>
      <w:r>
        <w:rPr>
          <w:rFonts w:hint="default"/>
          <w:lang w:val="en-US" w:eastAsia="zh-CN"/>
        </w:rPr>
        <w:t>2.4.1</w:t>
      </w:r>
      <w:r>
        <w:rPr>
          <w:rFonts w:hint="eastAsia"/>
          <w:lang w:val="en-US" w:eastAsia="zh-CN"/>
        </w:rPr>
        <w:t>2</w:t>
      </w:r>
      <w:r>
        <w:rPr>
          <w:rFonts w:hint="default"/>
          <w:lang w:val="en-US" w:eastAsia="zh-CN"/>
        </w:rPr>
        <w:t xml:space="preserve"> </w:t>
      </w:r>
      <w:r>
        <w:rPr>
          <w:rFonts w:hint="eastAsia"/>
          <w:lang w:val="en-US" w:eastAsia="zh-CN"/>
        </w:rPr>
        <w:t>通讯系统</w:t>
      </w:r>
      <w:r>
        <w:tab/>
      </w:r>
      <w:r>
        <w:fldChar w:fldCharType="begin"/>
      </w:r>
      <w:r>
        <w:instrText xml:space="preserve"> PAGEREF _Toc11212 \h </w:instrText>
      </w:r>
      <w:r>
        <w:fldChar w:fldCharType="separate"/>
      </w:r>
      <w:r>
        <w:t>36</w:t>
      </w:r>
      <w:r>
        <w:fldChar w:fldCharType="end"/>
      </w:r>
      <w:r>
        <w:rPr>
          <w:rFonts w:hint="eastAsia"/>
          <w:lang w:val="en-US" w:eastAsia="zh-CN"/>
        </w:rPr>
        <w:fldChar w:fldCharType="end"/>
      </w:r>
    </w:p>
    <w:p w14:paraId="427BA6B3">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_Toc31991 </w:instrText>
      </w:r>
      <w:r>
        <w:rPr>
          <w:rFonts w:hint="eastAsia"/>
          <w:lang w:val="en-US" w:eastAsia="zh-CN"/>
        </w:rPr>
        <w:fldChar w:fldCharType="separate"/>
      </w:r>
      <w:r>
        <w:rPr>
          <w:rFonts w:hint="default"/>
          <w:lang w:val="en-US" w:eastAsia="zh-CN"/>
        </w:rPr>
        <w:t>2.4.1</w:t>
      </w:r>
      <w:r>
        <w:rPr>
          <w:rFonts w:hint="eastAsia"/>
          <w:lang w:val="en-US" w:eastAsia="zh-CN"/>
        </w:rPr>
        <w:t>3</w:t>
      </w:r>
      <w:r>
        <w:rPr>
          <w:rFonts w:hint="default"/>
          <w:lang w:val="en-US" w:eastAsia="zh-CN"/>
        </w:rPr>
        <w:t xml:space="preserve"> </w:t>
      </w:r>
      <w:r>
        <w:rPr>
          <w:rFonts w:hint="eastAsia"/>
          <w:lang w:val="en-US" w:eastAsia="zh-CN"/>
        </w:rPr>
        <w:t>个人安全防护</w:t>
      </w:r>
      <w:r>
        <w:tab/>
      </w:r>
      <w:r>
        <w:fldChar w:fldCharType="begin"/>
      </w:r>
      <w:r>
        <w:instrText xml:space="preserve"> PAGEREF _Toc31991 \h </w:instrText>
      </w:r>
      <w:r>
        <w:fldChar w:fldCharType="separate"/>
      </w:r>
      <w:r>
        <w:t>36</w:t>
      </w:r>
      <w:r>
        <w:fldChar w:fldCharType="end"/>
      </w:r>
      <w:r>
        <w:rPr>
          <w:rFonts w:hint="eastAsia"/>
          <w:lang w:val="en-US" w:eastAsia="zh-CN"/>
        </w:rPr>
        <w:fldChar w:fldCharType="end"/>
      </w:r>
    </w:p>
    <w:p w14:paraId="639F62CB">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_Toc5794 </w:instrText>
      </w:r>
      <w:r>
        <w:rPr>
          <w:rFonts w:hint="eastAsia"/>
          <w:lang w:val="en-US" w:eastAsia="zh-CN"/>
        </w:rPr>
        <w:fldChar w:fldCharType="separate"/>
      </w:r>
      <w:r>
        <w:rPr>
          <w:rFonts w:hint="default"/>
          <w:lang w:val="en-US" w:eastAsia="zh-CN"/>
        </w:rPr>
        <w:t>2.4.1</w:t>
      </w:r>
      <w:r>
        <w:rPr>
          <w:rFonts w:hint="eastAsia"/>
          <w:lang w:val="en-US" w:eastAsia="zh-CN"/>
        </w:rPr>
        <w:t>4</w:t>
      </w:r>
      <w:r>
        <w:rPr>
          <w:rFonts w:hint="default"/>
          <w:lang w:val="en-US" w:eastAsia="zh-CN"/>
        </w:rPr>
        <w:t xml:space="preserve"> </w:t>
      </w:r>
      <w:r>
        <w:rPr>
          <w:rFonts w:hint="eastAsia"/>
          <w:lang w:val="en-US" w:eastAsia="zh-CN"/>
        </w:rPr>
        <w:t>安全标志</w:t>
      </w:r>
      <w:r>
        <w:tab/>
      </w:r>
      <w:r>
        <w:fldChar w:fldCharType="begin"/>
      </w:r>
      <w:r>
        <w:instrText xml:space="preserve"> PAGEREF _Toc5794 \h </w:instrText>
      </w:r>
      <w:r>
        <w:fldChar w:fldCharType="separate"/>
      </w:r>
      <w:r>
        <w:t>36</w:t>
      </w:r>
      <w:r>
        <w:fldChar w:fldCharType="end"/>
      </w:r>
      <w:r>
        <w:rPr>
          <w:rFonts w:hint="eastAsia"/>
          <w:lang w:val="en-US" w:eastAsia="zh-CN"/>
        </w:rPr>
        <w:fldChar w:fldCharType="end"/>
      </w:r>
    </w:p>
    <w:p w14:paraId="44504026">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_Toc3602 </w:instrText>
      </w:r>
      <w:r>
        <w:rPr>
          <w:rFonts w:hint="eastAsia"/>
          <w:lang w:val="en-US" w:eastAsia="zh-CN"/>
        </w:rPr>
        <w:fldChar w:fldCharType="separate"/>
      </w:r>
      <w:r>
        <w:rPr>
          <w:rFonts w:hint="default"/>
          <w:lang w:val="en-US" w:eastAsia="zh-CN"/>
        </w:rPr>
        <w:t>2.4.1</w:t>
      </w:r>
      <w:r>
        <w:rPr>
          <w:rFonts w:hint="eastAsia"/>
          <w:lang w:val="en-US" w:eastAsia="zh-CN"/>
        </w:rPr>
        <w:t>5</w:t>
      </w:r>
      <w:r>
        <w:rPr>
          <w:rFonts w:hint="default"/>
          <w:lang w:val="en-US" w:eastAsia="zh-CN"/>
        </w:rPr>
        <w:t xml:space="preserve"> 排土场</w:t>
      </w:r>
      <w:r>
        <w:tab/>
      </w:r>
      <w:r>
        <w:fldChar w:fldCharType="begin"/>
      </w:r>
      <w:r>
        <w:instrText xml:space="preserve"> PAGEREF _Toc3602 \h </w:instrText>
      </w:r>
      <w:r>
        <w:fldChar w:fldCharType="separate"/>
      </w:r>
      <w:r>
        <w:t>36</w:t>
      </w:r>
      <w:r>
        <w:fldChar w:fldCharType="end"/>
      </w:r>
      <w:r>
        <w:rPr>
          <w:rFonts w:hint="eastAsia"/>
          <w:lang w:val="en-US" w:eastAsia="zh-CN"/>
        </w:rPr>
        <w:fldChar w:fldCharType="end"/>
      </w:r>
    </w:p>
    <w:p w14:paraId="55442FA5">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_Toc22173 </w:instrText>
      </w:r>
      <w:r>
        <w:rPr>
          <w:rFonts w:hint="eastAsia"/>
          <w:lang w:val="en-US" w:eastAsia="zh-CN"/>
        </w:rPr>
        <w:fldChar w:fldCharType="separate"/>
      </w:r>
      <w:r>
        <w:rPr>
          <w:rFonts w:hint="eastAsia"/>
          <w:lang w:val="en-US" w:eastAsia="zh-CN"/>
        </w:rPr>
        <w:t>2.4.16 主要生产设备</w:t>
      </w:r>
      <w:r>
        <w:tab/>
      </w:r>
      <w:r>
        <w:fldChar w:fldCharType="begin"/>
      </w:r>
      <w:r>
        <w:instrText xml:space="preserve"> PAGEREF _Toc22173 \h </w:instrText>
      </w:r>
      <w:r>
        <w:fldChar w:fldCharType="separate"/>
      </w:r>
      <w:r>
        <w:t>36</w:t>
      </w:r>
      <w:r>
        <w:fldChar w:fldCharType="end"/>
      </w:r>
      <w:r>
        <w:rPr>
          <w:rFonts w:hint="eastAsia"/>
          <w:lang w:val="en-US" w:eastAsia="zh-CN"/>
        </w:rPr>
        <w:fldChar w:fldCharType="end"/>
      </w:r>
    </w:p>
    <w:p w14:paraId="03099D68">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_Toc15320 </w:instrText>
      </w:r>
      <w:r>
        <w:rPr>
          <w:rFonts w:hint="eastAsia"/>
          <w:lang w:val="en-US" w:eastAsia="zh-CN"/>
        </w:rPr>
        <w:fldChar w:fldCharType="separate"/>
      </w:r>
      <w:r>
        <w:rPr>
          <w:rFonts w:hint="default"/>
          <w:shd w:val="clear" w:color="auto" w:fill="auto"/>
          <w:lang w:val="en-US" w:eastAsia="zh-CN"/>
        </w:rPr>
        <w:t>2.5 矿山安全管理</w:t>
      </w:r>
      <w:r>
        <w:tab/>
      </w:r>
      <w:r>
        <w:fldChar w:fldCharType="begin"/>
      </w:r>
      <w:r>
        <w:instrText xml:space="preserve"> PAGEREF _Toc15320 \h </w:instrText>
      </w:r>
      <w:r>
        <w:fldChar w:fldCharType="separate"/>
      </w:r>
      <w:r>
        <w:t>37</w:t>
      </w:r>
      <w:r>
        <w:fldChar w:fldCharType="end"/>
      </w:r>
      <w:r>
        <w:rPr>
          <w:rFonts w:hint="eastAsia"/>
          <w:lang w:val="en-US" w:eastAsia="zh-CN"/>
        </w:rPr>
        <w:fldChar w:fldCharType="end"/>
      </w:r>
    </w:p>
    <w:p w14:paraId="1414C6D1">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_Toc11587 </w:instrText>
      </w:r>
      <w:r>
        <w:rPr>
          <w:rFonts w:hint="eastAsia"/>
          <w:lang w:val="en-US" w:eastAsia="zh-CN"/>
        </w:rPr>
        <w:fldChar w:fldCharType="separate"/>
      </w:r>
      <w:r>
        <w:rPr>
          <w:rFonts w:hint="default"/>
          <w:lang w:val="en-US" w:eastAsia="zh-CN"/>
        </w:rPr>
        <w:t>2.5.1 安全生产组织机构</w:t>
      </w:r>
      <w:r>
        <w:tab/>
      </w:r>
      <w:r>
        <w:fldChar w:fldCharType="begin"/>
      </w:r>
      <w:r>
        <w:instrText xml:space="preserve"> PAGEREF _Toc11587 \h </w:instrText>
      </w:r>
      <w:r>
        <w:fldChar w:fldCharType="separate"/>
      </w:r>
      <w:r>
        <w:t>37</w:t>
      </w:r>
      <w:r>
        <w:fldChar w:fldCharType="end"/>
      </w:r>
      <w:r>
        <w:rPr>
          <w:rFonts w:hint="eastAsia"/>
          <w:lang w:val="en-US" w:eastAsia="zh-CN"/>
        </w:rPr>
        <w:fldChar w:fldCharType="end"/>
      </w:r>
    </w:p>
    <w:p w14:paraId="01CE63EB">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_Toc7323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.2 安全生产管理规章制度</w:t>
      </w:r>
      <w:r>
        <w:tab/>
      </w:r>
      <w:r>
        <w:fldChar w:fldCharType="begin"/>
      </w:r>
      <w:r>
        <w:instrText xml:space="preserve"> PAGEREF _Toc7323 \h </w:instrText>
      </w:r>
      <w:r>
        <w:fldChar w:fldCharType="separate"/>
      </w:r>
      <w:r>
        <w:t>37</w:t>
      </w:r>
      <w:r>
        <w:fldChar w:fldCharType="end"/>
      </w:r>
      <w:r>
        <w:rPr>
          <w:rFonts w:hint="eastAsia"/>
          <w:lang w:val="en-US" w:eastAsia="zh-CN"/>
        </w:rPr>
        <w:fldChar w:fldCharType="end"/>
      </w:r>
    </w:p>
    <w:p w14:paraId="5FC663EA">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_Toc20217 </w:instrText>
      </w:r>
      <w:r>
        <w:rPr>
          <w:rFonts w:hint="eastAsia"/>
          <w:lang w:val="en-US" w:eastAsia="zh-CN"/>
        </w:rPr>
        <w:fldChar w:fldCharType="separate"/>
      </w:r>
      <w:r>
        <w:rPr>
          <w:rFonts w:hint="eastAsia"/>
          <w:lang w:val="en-US" w:eastAsia="zh-CN"/>
        </w:rPr>
        <w:t>2.5.3 安全教育培训</w:t>
      </w:r>
      <w:r>
        <w:tab/>
      </w:r>
      <w:r>
        <w:fldChar w:fldCharType="begin"/>
      </w:r>
      <w:r>
        <w:instrText xml:space="preserve"> PAGEREF _Toc20217 \h </w:instrText>
      </w:r>
      <w:r>
        <w:fldChar w:fldCharType="separate"/>
      </w:r>
      <w:r>
        <w:t>38</w:t>
      </w:r>
      <w:r>
        <w:fldChar w:fldCharType="end"/>
      </w:r>
      <w:r>
        <w:rPr>
          <w:rFonts w:hint="eastAsia"/>
          <w:lang w:val="en-US" w:eastAsia="zh-CN"/>
        </w:rPr>
        <w:fldChar w:fldCharType="end"/>
      </w:r>
    </w:p>
    <w:p w14:paraId="47A27A08">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_Toc5409 </w:instrText>
      </w:r>
      <w:r>
        <w:rPr>
          <w:rFonts w:hint="eastAsia"/>
          <w:lang w:val="en-US" w:eastAsia="zh-CN"/>
        </w:rPr>
        <w:fldChar w:fldCharType="separate"/>
      </w:r>
      <w:r>
        <w:rPr>
          <w:rFonts w:hint="default"/>
          <w:lang w:val="en-US" w:eastAsia="zh-CN"/>
        </w:rPr>
        <w:t>2.5.</w:t>
      </w:r>
      <w:r>
        <w:rPr>
          <w:rFonts w:hint="eastAsia"/>
          <w:lang w:val="en-US" w:eastAsia="zh-CN"/>
        </w:rPr>
        <w:t>4</w:t>
      </w:r>
      <w:r>
        <w:rPr>
          <w:rFonts w:hint="default"/>
          <w:lang w:val="en-US" w:eastAsia="zh-CN"/>
        </w:rPr>
        <w:t xml:space="preserve"> 安全标准化运行情况</w:t>
      </w:r>
      <w:r>
        <w:tab/>
      </w:r>
      <w:r>
        <w:fldChar w:fldCharType="begin"/>
      </w:r>
      <w:r>
        <w:instrText xml:space="preserve"> PAGEREF _Toc5409 \h </w:instrText>
      </w:r>
      <w:r>
        <w:fldChar w:fldCharType="separate"/>
      </w:r>
      <w:r>
        <w:t>39</w:t>
      </w:r>
      <w:r>
        <w:fldChar w:fldCharType="end"/>
      </w:r>
      <w:r>
        <w:rPr>
          <w:rFonts w:hint="eastAsia"/>
          <w:lang w:val="en-US" w:eastAsia="zh-CN"/>
        </w:rPr>
        <w:fldChar w:fldCharType="end"/>
      </w:r>
    </w:p>
    <w:p w14:paraId="009EA4B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_Toc20371 </w:instrText>
      </w:r>
      <w:r>
        <w:rPr>
          <w:rFonts w:hint="eastAsia"/>
          <w:lang w:val="en-US" w:eastAsia="zh-CN"/>
        </w:rPr>
        <w:fldChar w:fldCharType="separate"/>
      </w:r>
      <w:r>
        <w:rPr>
          <w:rFonts w:hint="eastAsia"/>
          <w:lang w:val="en-US" w:eastAsia="zh-CN"/>
        </w:rPr>
        <w:t>2.5.5 双重预防机制</w:t>
      </w:r>
      <w:r>
        <w:tab/>
      </w:r>
      <w:r>
        <w:fldChar w:fldCharType="begin"/>
      </w:r>
      <w:r>
        <w:instrText xml:space="preserve"> PAGEREF _Toc20371 \h </w:instrText>
      </w:r>
      <w:r>
        <w:fldChar w:fldCharType="separate"/>
      </w:r>
      <w:r>
        <w:t>39</w:t>
      </w:r>
      <w:r>
        <w:fldChar w:fldCharType="end"/>
      </w:r>
      <w:r>
        <w:rPr>
          <w:rFonts w:hint="eastAsia"/>
          <w:lang w:val="en-US" w:eastAsia="zh-CN"/>
        </w:rPr>
        <w:fldChar w:fldCharType="end"/>
      </w:r>
    </w:p>
    <w:p w14:paraId="22E1759F">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_Toc19305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.6</w:t>
      </w:r>
      <w:r>
        <w:rPr>
          <w:rFonts w:hint="eastAsia"/>
          <w:lang w:val="en-US" w:eastAsia="zh-CN"/>
        </w:rPr>
        <w:t xml:space="preserve"> 安全生产费用</w:t>
      </w:r>
      <w:r>
        <w:tab/>
      </w:r>
      <w:r>
        <w:fldChar w:fldCharType="begin"/>
      </w:r>
      <w:r>
        <w:instrText xml:space="preserve"> PAGEREF _Toc19305 \h </w:instrText>
      </w:r>
      <w:r>
        <w:fldChar w:fldCharType="separate"/>
      </w:r>
      <w:r>
        <w:t>40</w:t>
      </w:r>
      <w:r>
        <w:fldChar w:fldCharType="end"/>
      </w:r>
      <w:r>
        <w:rPr>
          <w:rFonts w:hint="eastAsia"/>
          <w:lang w:val="en-US" w:eastAsia="zh-CN"/>
        </w:rPr>
        <w:fldChar w:fldCharType="end"/>
      </w:r>
    </w:p>
    <w:p w14:paraId="7A8C0C2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_Toc8338 </w:instrText>
      </w:r>
      <w:r>
        <w:rPr>
          <w:rFonts w:hint="eastAsia"/>
          <w:lang w:val="en-US" w:eastAsia="zh-CN"/>
        </w:rPr>
        <w:fldChar w:fldCharType="separate"/>
      </w:r>
      <w:r>
        <w:rPr>
          <w:rFonts w:hint="eastAsia"/>
          <w:lang w:val="en-US" w:eastAsia="zh-CN"/>
        </w:rPr>
        <w:t>2.5.7 工伤保险与安全生产责任险</w:t>
      </w:r>
      <w:r>
        <w:tab/>
      </w:r>
      <w:r>
        <w:fldChar w:fldCharType="begin"/>
      </w:r>
      <w:r>
        <w:instrText xml:space="preserve"> PAGEREF _Toc8338 \h </w:instrText>
      </w:r>
      <w:r>
        <w:fldChar w:fldCharType="separate"/>
      </w:r>
      <w:r>
        <w:t>40</w:t>
      </w:r>
      <w:r>
        <w:fldChar w:fldCharType="end"/>
      </w:r>
      <w:r>
        <w:rPr>
          <w:rFonts w:hint="eastAsia"/>
          <w:lang w:val="en-US" w:eastAsia="zh-CN"/>
        </w:rPr>
        <w:fldChar w:fldCharType="end"/>
      </w:r>
    </w:p>
    <w:p w14:paraId="024A1BF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_Toc10378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w:t>
      </w:r>
      <w:r>
        <w:rPr>
          <w:rFonts w:hint="eastAsia"/>
          <w:lang w:val="en-US" w:eastAsia="zh-CN"/>
        </w:rPr>
        <w:t xml:space="preserve">8 </w:t>
      </w:r>
      <w:r>
        <w:rPr>
          <w:rFonts w:hint="default"/>
          <w:lang w:val="en-US" w:eastAsia="zh-CN"/>
        </w:rPr>
        <w:t>应急救援</w:t>
      </w:r>
      <w:r>
        <w:tab/>
      </w:r>
      <w:r>
        <w:fldChar w:fldCharType="begin"/>
      </w:r>
      <w:r>
        <w:instrText xml:space="preserve"> PAGEREF _Toc10378 \h </w:instrText>
      </w:r>
      <w:r>
        <w:fldChar w:fldCharType="separate"/>
      </w:r>
      <w:r>
        <w:t>41</w:t>
      </w:r>
      <w:r>
        <w:fldChar w:fldCharType="end"/>
      </w:r>
      <w:r>
        <w:rPr>
          <w:rFonts w:hint="eastAsia"/>
          <w:lang w:val="en-US" w:eastAsia="zh-CN"/>
        </w:rPr>
        <w:fldChar w:fldCharType="end"/>
      </w:r>
    </w:p>
    <w:p w14:paraId="4B2D77AA">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_Toc5624 </w:instrText>
      </w:r>
      <w:r>
        <w:rPr>
          <w:rFonts w:hint="eastAsia"/>
          <w:lang w:val="en-US" w:eastAsia="zh-CN"/>
        </w:rPr>
        <w:fldChar w:fldCharType="separate"/>
      </w:r>
      <w:r>
        <w:rPr>
          <w:rFonts w:hint="default"/>
          <w:lang w:val="en-US" w:eastAsia="zh-CN"/>
        </w:rPr>
        <w:t>2.</w:t>
      </w:r>
      <w:r>
        <w:rPr>
          <w:rFonts w:hint="eastAsia"/>
          <w:lang w:val="en-US" w:eastAsia="zh-CN"/>
        </w:rPr>
        <w:t>5</w:t>
      </w:r>
      <w:r>
        <w:rPr>
          <w:rFonts w:hint="default"/>
          <w:lang w:val="en-US" w:eastAsia="zh-CN"/>
        </w:rPr>
        <w:t>.</w:t>
      </w:r>
      <w:r>
        <w:rPr>
          <w:rFonts w:hint="eastAsia"/>
          <w:lang w:val="en-US" w:eastAsia="zh-CN"/>
        </w:rPr>
        <w:t xml:space="preserve">9 </w:t>
      </w:r>
      <w:r>
        <w:rPr>
          <w:rFonts w:hint="default"/>
          <w:lang w:val="en-US" w:eastAsia="zh-CN"/>
        </w:rPr>
        <w:t>安全生产状况</w:t>
      </w:r>
      <w:r>
        <w:tab/>
      </w:r>
      <w:r>
        <w:fldChar w:fldCharType="begin"/>
      </w:r>
      <w:r>
        <w:instrText xml:space="preserve"> PAGEREF _Toc5624 \h </w:instrText>
      </w:r>
      <w:r>
        <w:fldChar w:fldCharType="separate"/>
      </w:r>
      <w:r>
        <w:t>41</w:t>
      </w:r>
      <w:r>
        <w:fldChar w:fldCharType="end"/>
      </w:r>
      <w:r>
        <w:rPr>
          <w:rFonts w:hint="eastAsia"/>
          <w:lang w:val="en-US" w:eastAsia="zh-CN"/>
        </w:rPr>
        <w:fldChar w:fldCharType="end"/>
      </w:r>
    </w:p>
    <w:p w14:paraId="4FF3637F">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_Toc10906 </w:instrText>
      </w:r>
      <w:r>
        <w:rPr>
          <w:rFonts w:hint="eastAsia"/>
          <w:lang w:val="en-US" w:eastAsia="zh-CN"/>
        </w:rPr>
        <w:fldChar w:fldCharType="separate"/>
      </w:r>
      <w:r>
        <w:rPr>
          <w:rFonts w:hint="eastAsia"/>
          <w:lang w:val="en-US" w:eastAsia="zh-CN"/>
        </w:rPr>
        <w:t>2.6 隐蔽治灾因素普查</w:t>
      </w:r>
      <w:r>
        <w:tab/>
      </w:r>
      <w:r>
        <w:fldChar w:fldCharType="begin"/>
      </w:r>
      <w:r>
        <w:instrText xml:space="preserve"> PAGEREF _Toc10906 \h </w:instrText>
      </w:r>
      <w:r>
        <w:fldChar w:fldCharType="separate"/>
      </w:r>
      <w:r>
        <w:t>41</w:t>
      </w:r>
      <w:r>
        <w:fldChar w:fldCharType="end"/>
      </w:r>
      <w:r>
        <w:rPr>
          <w:rFonts w:hint="eastAsia"/>
          <w:lang w:val="en-US" w:eastAsia="zh-CN"/>
        </w:rPr>
        <w:fldChar w:fldCharType="end"/>
      </w:r>
    </w:p>
    <w:p w14:paraId="59273794">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_Toc20256 </w:instrText>
      </w:r>
      <w:r>
        <w:rPr>
          <w:rFonts w:hint="eastAsia"/>
          <w:lang w:val="en-US" w:eastAsia="zh-CN"/>
        </w:rPr>
        <w:fldChar w:fldCharType="separate"/>
      </w:r>
      <w:r>
        <w:rPr>
          <w:rFonts w:hint="default" w:ascii="Times New Roman" w:hAnsi="Times New Roman" w:cs="Times New Roman"/>
          <w:lang w:val="en-US" w:eastAsia="zh-CN"/>
        </w:rPr>
        <w:t>3. 危险、有害因素辨识与分析</w:t>
      </w:r>
      <w:r>
        <w:tab/>
      </w:r>
      <w:r>
        <w:fldChar w:fldCharType="begin"/>
      </w:r>
      <w:r>
        <w:instrText xml:space="preserve"> PAGEREF _Toc20256 \h </w:instrText>
      </w:r>
      <w:r>
        <w:fldChar w:fldCharType="separate"/>
      </w:r>
      <w:r>
        <w:t>44</w:t>
      </w:r>
      <w:r>
        <w:fldChar w:fldCharType="end"/>
      </w:r>
      <w:r>
        <w:rPr>
          <w:rFonts w:hint="eastAsia"/>
          <w:lang w:val="en-US" w:eastAsia="zh-CN"/>
        </w:rPr>
        <w:fldChar w:fldCharType="end"/>
      </w:r>
    </w:p>
    <w:p w14:paraId="1B9999E0">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_Toc3775 </w:instrText>
      </w:r>
      <w:r>
        <w:rPr>
          <w:rFonts w:hint="eastAsia"/>
          <w:lang w:val="en-US" w:eastAsia="zh-CN"/>
        </w:rPr>
        <w:fldChar w:fldCharType="separate"/>
      </w:r>
      <w:r>
        <w:rPr>
          <w:rFonts w:hint="default"/>
          <w:lang w:val="en-US" w:eastAsia="zh-CN"/>
        </w:rPr>
        <w:t>3.1 危险因素辨识</w:t>
      </w:r>
      <w:r>
        <w:tab/>
      </w:r>
      <w:r>
        <w:fldChar w:fldCharType="begin"/>
      </w:r>
      <w:r>
        <w:instrText xml:space="preserve"> PAGEREF _Toc3775 \h </w:instrText>
      </w:r>
      <w:r>
        <w:fldChar w:fldCharType="separate"/>
      </w:r>
      <w:r>
        <w:t>44</w:t>
      </w:r>
      <w:r>
        <w:fldChar w:fldCharType="end"/>
      </w:r>
      <w:r>
        <w:rPr>
          <w:rFonts w:hint="eastAsia"/>
          <w:lang w:val="en-US" w:eastAsia="zh-CN"/>
        </w:rPr>
        <w:fldChar w:fldCharType="end"/>
      </w:r>
    </w:p>
    <w:p w14:paraId="201B6E0A">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_Toc2814 </w:instrText>
      </w:r>
      <w:r>
        <w:rPr>
          <w:rFonts w:hint="eastAsia"/>
          <w:lang w:val="en-US" w:eastAsia="zh-CN"/>
        </w:rPr>
        <w:fldChar w:fldCharType="separate"/>
      </w:r>
      <w:r>
        <w:rPr>
          <w:rFonts w:hint="default"/>
          <w:lang w:val="en-US" w:eastAsia="zh-CN"/>
        </w:rPr>
        <w:t>3.1.1 民用爆炸物品爆炸</w:t>
      </w:r>
      <w:r>
        <w:tab/>
      </w:r>
      <w:r>
        <w:fldChar w:fldCharType="begin"/>
      </w:r>
      <w:r>
        <w:instrText xml:space="preserve"> PAGEREF _Toc2814 \h </w:instrText>
      </w:r>
      <w:r>
        <w:fldChar w:fldCharType="separate"/>
      </w:r>
      <w:r>
        <w:t>44</w:t>
      </w:r>
      <w:r>
        <w:fldChar w:fldCharType="end"/>
      </w:r>
      <w:r>
        <w:rPr>
          <w:rFonts w:hint="eastAsia"/>
          <w:lang w:val="en-US" w:eastAsia="zh-CN"/>
        </w:rPr>
        <w:fldChar w:fldCharType="end"/>
      </w:r>
    </w:p>
    <w:p w14:paraId="762B75E6">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_Toc23769 </w:instrText>
      </w:r>
      <w:r>
        <w:rPr>
          <w:rFonts w:hint="eastAsia"/>
          <w:lang w:val="en-US" w:eastAsia="zh-CN"/>
        </w:rPr>
        <w:fldChar w:fldCharType="separate"/>
      </w:r>
      <w:r>
        <w:rPr>
          <w:rFonts w:hint="default"/>
          <w:lang w:val="en-US" w:eastAsia="zh-CN"/>
        </w:rPr>
        <w:t>3.1.</w:t>
      </w:r>
      <w:r>
        <w:rPr>
          <w:rFonts w:hint="eastAsia"/>
          <w:lang w:val="en-US" w:eastAsia="zh-CN"/>
        </w:rPr>
        <w:t>2</w:t>
      </w:r>
      <w:r>
        <w:rPr>
          <w:rFonts w:hint="default"/>
          <w:lang w:val="en-US" w:eastAsia="zh-CN"/>
        </w:rPr>
        <w:t xml:space="preserve"> 坍塌</w:t>
      </w:r>
      <w:r>
        <w:tab/>
      </w:r>
      <w:r>
        <w:fldChar w:fldCharType="begin"/>
      </w:r>
      <w:r>
        <w:instrText xml:space="preserve"> PAGEREF _Toc23769 \h </w:instrText>
      </w:r>
      <w:r>
        <w:fldChar w:fldCharType="separate"/>
      </w:r>
      <w:r>
        <w:t>45</w:t>
      </w:r>
      <w:r>
        <w:fldChar w:fldCharType="end"/>
      </w:r>
      <w:r>
        <w:rPr>
          <w:rFonts w:hint="eastAsia"/>
          <w:lang w:val="en-US" w:eastAsia="zh-CN"/>
        </w:rPr>
        <w:fldChar w:fldCharType="end"/>
      </w:r>
    </w:p>
    <w:p w14:paraId="6D166E2F">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_Toc27569 </w:instrText>
      </w:r>
      <w:r>
        <w:rPr>
          <w:rFonts w:hint="eastAsia"/>
          <w:lang w:val="en-US" w:eastAsia="zh-CN"/>
        </w:rPr>
        <w:fldChar w:fldCharType="separate"/>
      </w:r>
      <w:r>
        <w:rPr>
          <w:rFonts w:hint="eastAsia"/>
          <w:lang w:val="en-US" w:eastAsia="zh-CN"/>
        </w:rPr>
        <w:t>3.1.3 厂（场）内车辆致害</w:t>
      </w:r>
      <w:r>
        <w:tab/>
      </w:r>
      <w:r>
        <w:fldChar w:fldCharType="begin"/>
      </w:r>
      <w:r>
        <w:instrText xml:space="preserve"> PAGEREF _Toc27569 \h </w:instrText>
      </w:r>
      <w:r>
        <w:fldChar w:fldCharType="separate"/>
      </w:r>
      <w:r>
        <w:t>46</w:t>
      </w:r>
      <w:r>
        <w:fldChar w:fldCharType="end"/>
      </w:r>
      <w:r>
        <w:rPr>
          <w:rFonts w:hint="eastAsia"/>
          <w:lang w:val="en-US" w:eastAsia="zh-CN"/>
        </w:rPr>
        <w:fldChar w:fldCharType="end"/>
      </w:r>
    </w:p>
    <w:p w14:paraId="4C92B9AA">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_Toc26979 </w:instrText>
      </w:r>
      <w:r>
        <w:rPr>
          <w:rFonts w:hint="eastAsia"/>
          <w:lang w:val="en-US" w:eastAsia="zh-CN"/>
        </w:rPr>
        <w:fldChar w:fldCharType="separate"/>
      </w:r>
      <w:r>
        <w:rPr>
          <w:rFonts w:hint="eastAsia"/>
          <w:lang w:val="en-US" w:eastAsia="zh-CN"/>
        </w:rPr>
        <w:t>3.1.4 机械致害</w:t>
      </w:r>
      <w:r>
        <w:tab/>
      </w:r>
      <w:r>
        <w:fldChar w:fldCharType="begin"/>
      </w:r>
      <w:r>
        <w:instrText xml:space="preserve"> PAGEREF _Toc26979 \h </w:instrText>
      </w:r>
      <w:r>
        <w:fldChar w:fldCharType="separate"/>
      </w:r>
      <w:r>
        <w:t>46</w:t>
      </w:r>
      <w:r>
        <w:fldChar w:fldCharType="end"/>
      </w:r>
      <w:r>
        <w:rPr>
          <w:rFonts w:hint="eastAsia"/>
          <w:lang w:val="en-US" w:eastAsia="zh-CN"/>
        </w:rPr>
        <w:fldChar w:fldCharType="end"/>
      </w:r>
    </w:p>
    <w:p w14:paraId="2E495A4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_Toc2892 </w:instrText>
      </w:r>
      <w:r>
        <w:rPr>
          <w:rFonts w:hint="eastAsia"/>
          <w:lang w:val="en-US" w:eastAsia="zh-CN"/>
        </w:rPr>
        <w:fldChar w:fldCharType="separate"/>
      </w:r>
      <w:r>
        <w:rPr>
          <w:rFonts w:hint="eastAsia"/>
          <w:lang w:val="en-US" w:eastAsia="zh-CN"/>
        </w:rPr>
        <w:t xml:space="preserve">3.1.5 </w:t>
      </w:r>
      <w:r>
        <w:rPr>
          <w:rFonts w:hint="eastAsia"/>
          <w:bCs/>
          <w:lang w:val="en-US" w:eastAsia="zh-CN"/>
        </w:rPr>
        <w:t>火灾</w:t>
      </w:r>
      <w:r>
        <w:tab/>
      </w:r>
      <w:r>
        <w:fldChar w:fldCharType="begin"/>
      </w:r>
      <w:r>
        <w:instrText xml:space="preserve"> PAGEREF _Toc2892 \h </w:instrText>
      </w:r>
      <w:r>
        <w:fldChar w:fldCharType="separate"/>
      </w:r>
      <w:r>
        <w:t>47</w:t>
      </w:r>
      <w:r>
        <w:fldChar w:fldCharType="end"/>
      </w:r>
      <w:r>
        <w:rPr>
          <w:rFonts w:hint="eastAsia"/>
          <w:lang w:val="en-US" w:eastAsia="zh-CN"/>
        </w:rPr>
        <w:fldChar w:fldCharType="end"/>
      </w:r>
    </w:p>
    <w:p w14:paraId="3C2B1024">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_Toc18306 </w:instrText>
      </w:r>
      <w:r>
        <w:rPr>
          <w:rFonts w:hint="eastAsia"/>
          <w:lang w:val="en-US" w:eastAsia="zh-CN"/>
        </w:rPr>
        <w:fldChar w:fldCharType="separate"/>
      </w:r>
      <w:r>
        <w:rPr>
          <w:rFonts w:hint="eastAsia"/>
          <w:lang w:val="en-US" w:eastAsia="zh-CN"/>
        </w:rPr>
        <w:t>3.1.6 物体打击</w:t>
      </w:r>
      <w:r>
        <w:tab/>
      </w:r>
      <w:r>
        <w:fldChar w:fldCharType="begin"/>
      </w:r>
      <w:r>
        <w:instrText xml:space="preserve"> PAGEREF _Toc18306 \h </w:instrText>
      </w:r>
      <w:r>
        <w:fldChar w:fldCharType="separate"/>
      </w:r>
      <w:r>
        <w:t>47</w:t>
      </w:r>
      <w:r>
        <w:fldChar w:fldCharType="end"/>
      </w:r>
      <w:r>
        <w:rPr>
          <w:rFonts w:hint="eastAsia"/>
          <w:lang w:val="en-US" w:eastAsia="zh-CN"/>
        </w:rPr>
        <w:fldChar w:fldCharType="end"/>
      </w:r>
    </w:p>
    <w:p w14:paraId="71ED71E6">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_Toc5184 </w:instrText>
      </w:r>
      <w:r>
        <w:rPr>
          <w:rFonts w:hint="eastAsia"/>
          <w:lang w:val="en-US" w:eastAsia="zh-CN"/>
        </w:rPr>
        <w:fldChar w:fldCharType="separate"/>
      </w:r>
      <w:r>
        <w:rPr>
          <w:rFonts w:hint="eastAsia"/>
          <w:lang w:val="en-US" w:eastAsia="zh-CN"/>
        </w:rPr>
        <w:t xml:space="preserve">3.1.7 </w:t>
      </w:r>
      <w:r>
        <w:rPr>
          <w:rFonts w:hint="eastAsia"/>
          <w:bCs/>
          <w:lang w:val="en-US" w:eastAsia="zh-CN"/>
        </w:rPr>
        <w:t>起重致害</w:t>
      </w:r>
      <w:r>
        <w:tab/>
      </w:r>
      <w:r>
        <w:fldChar w:fldCharType="begin"/>
      </w:r>
      <w:r>
        <w:instrText xml:space="preserve"> PAGEREF _Toc5184 \h </w:instrText>
      </w:r>
      <w:r>
        <w:fldChar w:fldCharType="separate"/>
      </w:r>
      <w:r>
        <w:t>48</w:t>
      </w:r>
      <w:r>
        <w:fldChar w:fldCharType="end"/>
      </w:r>
      <w:r>
        <w:rPr>
          <w:rFonts w:hint="eastAsia"/>
          <w:lang w:val="en-US" w:eastAsia="zh-CN"/>
        </w:rPr>
        <w:fldChar w:fldCharType="end"/>
      </w:r>
    </w:p>
    <w:p w14:paraId="1BF0E8E2">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_Toc13397 </w:instrText>
      </w:r>
      <w:r>
        <w:rPr>
          <w:rFonts w:hint="eastAsia"/>
          <w:lang w:val="en-US" w:eastAsia="zh-CN"/>
        </w:rPr>
        <w:fldChar w:fldCharType="separate"/>
      </w:r>
      <w:r>
        <w:rPr>
          <w:rFonts w:hint="eastAsia"/>
          <w:lang w:val="en-US" w:eastAsia="zh-CN"/>
        </w:rPr>
        <w:t>3.1.8 高处坠落、跌落</w:t>
      </w:r>
      <w:r>
        <w:tab/>
      </w:r>
      <w:r>
        <w:fldChar w:fldCharType="begin"/>
      </w:r>
      <w:r>
        <w:instrText xml:space="preserve"> PAGEREF _Toc13397 \h </w:instrText>
      </w:r>
      <w:r>
        <w:fldChar w:fldCharType="separate"/>
      </w:r>
      <w:r>
        <w:t>48</w:t>
      </w:r>
      <w:r>
        <w:fldChar w:fldCharType="end"/>
      </w:r>
      <w:r>
        <w:rPr>
          <w:rFonts w:hint="eastAsia"/>
          <w:lang w:val="en-US" w:eastAsia="zh-CN"/>
        </w:rPr>
        <w:fldChar w:fldCharType="end"/>
      </w:r>
    </w:p>
    <w:p w14:paraId="6FB95845">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_Toc25046 </w:instrText>
      </w:r>
      <w:r>
        <w:rPr>
          <w:rFonts w:hint="eastAsia"/>
          <w:lang w:val="en-US" w:eastAsia="zh-CN"/>
        </w:rPr>
        <w:fldChar w:fldCharType="separate"/>
      </w:r>
      <w:r>
        <w:rPr>
          <w:rFonts w:hint="eastAsia"/>
          <w:lang w:val="en-US" w:eastAsia="zh-CN"/>
        </w:rPr>
        <w:t xml:space="preserve">3.1.9 </w:t>
      </w:r>
      <w:r>
        <w:rPr>
          <w:rFonts w:hint="default"/>
          <w:lang w:val="en-US" w:eastAsia="zh-CN"/>
        </w:rPr>
        <w:t>淹溺</w:t>
      </w:r>
      <w:r>
        <w:tab/>
      </w:r>
      <w:r>
        <w:fldChar w:fldCharType="begin"/>
      </w:r>
      <w:r>
        <w:instrText xml:space="preserve"> PAGEREF _Toc25046 \h </w:instrText>
      </w:r>
      <w:r>
        <w:fldChar w:fldCharType="separate"/>
      </w:r>
      <w:r>
        <w:t>48</w:t>
      </w:r>
      <w:r>
        <w:fldChar w:fldCharType="end"/>
      </w:r>
      <w:r>
        <w:rPr>
          <w:rFonts w:hint="eastAsia"/>
          <w:lang w:val="en-US" w:eastAsia="zh-CN"/>
        </w:rPr>
        <w:fldChar w:fldCharType="end"/>
      </w:r>
    </w:p>
    <w:p w14:paraId="25354D3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_Toc3590 </w:instrText>
      </w:r>
      <w:r>
        <w:rPr>
          <w:rFonts w:hint="eastAsia"/>
          <w:lang w:val="en-US" w:eastAsia="zh-CN"/>
        </w:rPr>
        <w:fldChar w:fldCharType="separate"/>
      </w:r>
      <w:r>
        <w:rPr>
          <w:rFonts w:hint="eastAsia"/>
          <w:lang w:val="en-US" w:eastAsia="zh-CN"/>
        </w:rPr>
        <w:t xml:space="preserve">3.1.10 </w:t>
      </w:r>
      <w:r>
        <w:rPr>
          <w:rFonts w:hint="eastAsia"/>
          <w:bCs/>
          <w:i w:val="0"/>
          <w:iCs w:val="0"/>
          <w:lang w:val="en-US" w:eastAsia="zh-CN"/>
        </w:rPr>
        <w:t>容器爆炸</w:t>
      </w:r>
      <w:r>
        <w:tab/>
      </w:r>
      <w:r>
        <w:fldChar w:fldCharType="begin"/>
      </w:r>
      <w:r>
        <w:instrText xml:space="preserve"> PAGEREF _Toc3590 \h </w:instrText>
      </w:r>
      <w:r>
        <w:fldChar w:fldCharType="separate"/>
      </w:r>
      <w:r>
        <w:t>48</w:t>
      </w:r>
      <w:r>
        <w:fldChar w:fldCharType="end"/>
      </w:r>
      <w:r>
        <w:rPr>
          <w:rFonts w:hint="eastAsia"/>
          <w:lang w:val="en-US" w:eastAsia="zh-CN"/>
        </w:rPr>
        <w:fldChar w:fldCharType="end"/>
      </w:r>
    </w:p>
    <w:p w14:paraId="5E66B13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_Toc4490 </w:instrText>
      </w:r>
      <w:r>
        <w:rPr>
          <w:rFonts w:hint="eastAsia"/>
          <w:lang w:val="en-US" w:eastAsia="zh-CN"/>
        </w:rPr>
        <w:fldChar w:fldCharType="separate"/>
      </w:r>
      <w:r>
        <w:rPr>
          <w:rFonts w:hint="eastAsia"/>
          <w:lang w:val="en-US" w:eastAsia="zh-CN"/>
        </w:rPr>
        <w:t>3.1.11 其他</w:t>
      </w:r>
      <w:r>
        <w:tab/>
      </w:r>
      <w:r>
        <w:fldChar w:fldCharType="begin"/>
      </w:r>
      <w:r>
        <w:instrText xml:space="preserve"> PAGEREF _Toc4490 \h </w:instrText>
      </w:r>
      <w:r>
        <w:fldChar w:fldCharType="separate"/>
      </w:r>
      <w:r>
        <w:t>49</w:t>
      </w:r>
      <w:r>
        <w:fldChar w:fldCharType="end"/>
      </w:r>
      <w:r>
        <w:rPr>
          <w:rFonts w:hint="eastAsia"/>
          <w:lang w:val="en-US" w:eastAsia="zh-CN"/>
        </w:rPr>
        <w:fldChar w:fldCharType="end"/>
      </w:r>
    </w:p>
    <w:p w14:paraId="163211B7">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_Toc15410 </w:instrText>
      </w:r>
      <w:r>
        <w:rPr>
          <w:rFonts w:hint="eastAsia"/>
          <w:lang w:val="en-US" w:eastAsia="zh-CN"/>
        </w:rPr>
        <w:fldChar w:fldCharType="separate"/>
      </w:r>
      <w:r>
        <w:rPr>
          <w:rFonts w:hint="default"/>
          <w:lang w:val="en-US" w:eastAsia="zh-CN"/>
        </w:rPr>
        <w:t>3.2 有害因素分析</w:t>
      </w:r>
      <w:r>
        <w:tab/>
      </w:r>
      <w:r>
        <w:fldChar w:fldCharType="begin"/>
      </w:r>
      <w:r>
        <w:instrText xml:space="preserve"> PAGEREF _Toc15410 \h </w:instrText>
      </w:r>
      <w:r>
        <w:fldChar w:fldCharType="separate"/>
      </w:r>
      <w:r>
        <w:t>49</w:t>
      </w:r>
      <w:r>
        <w:fldChar w:fldCharType="end"/>
      </w:r>
      <w:r>
        <w:rPr>
          <w:rFonts w:hint="eastAsia"/>
          <w:lang w:val="en-US" w:eastAsia="zh-CN"/>
        </w:rPr>
        <w:fldChar w:fldCharType="end"/>
      </w:r>
    </w:p>
    <w:p w14:paraId="3E2DEE62">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_Toc29780 </w:instrText>
      </w:r>
      <w:r>
        <w:rPr>
          <w:rFonts w:hint="eastAsia"/>
          <w:lang w:val="en-US" w:eastAsia="zh-CN"/>
        </w:rPr>
        <w:fldChar w:fldCharType="separate"/>
      </w:r>
      <w:r>
        <w:rPr>
          <w:rFonts w:hint="default"/>
          <w:lang w:val="en-US" w:eastAsia="zh-CN"/>
        </w:rPr>
        <w:t>3.2.1 粉尘</w:t>
      </w:r>
      <w:r>
        <w:tab/>
      </w:r>
      <w:r>
        <w:fldChar w:fldCharType="begin"/>
      </w:r>
      <w:r>
        <w:instrText xml:space="preserve"> PAGEREF _Toc29780 \h </w:instrText>
      </w:r>
      <w:r>
        <w:fldChar w:fldCharType="separate"/>
      </w:r>
      <w:r>
        <w:t>49</w:t>
      </w:r>
      <w:r>
        <w:fldChar w:fldCharType="end"/>
      </w:r>
      <w:r>
        <w:rPr>
          <w:rFonts w:hint="eastAsia"/>
          <w:lang w:val="en-US" w:eastAsia="zh-CN"/>
        </w:rPr>
        <w:fldChar w:fldCharType="end"/>
      </w:r>
    </w:p>
    <w:p w14:paraId="1C203B7D">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_Toc23698 </w:instrText>
      </w:r>
      <w:r>
        <w:rPr>
          <w:rFonts w:hint="eastAsia"/>
          <w:lang w:val="en-US" w:eastAsia="zh-CN"/>
        </w:rPr>
        <w:fldChar w:fldCharType="separate"/>
      </w:r>
      <w:r>
        <w:rPr>
          <w:rFonts w:hint="default"/>
          <w:lang w:val="en-US" w:eastAsia="zh-CN"/>
        </w:rPr>
        <w:t>3.2.2 噪声与振动</w:t>
      </w:r>
      <w:r>
        <w:tab/>
      </w:r>
      <w:r>
        <w:fldChar w:fldCharType="begin"/>
      </w:r>
      <w:r>
        <w:instrText xml:space="preserve"> PAGEREF _Toc23698 \h </w:instrText>
      </w:r>
      <w:r>
        <w:fldChar w:fldCharType="separate"/>
      </w:r>
      <w:r>
        <w:t>49</w:t>
      </w:r>
      <w:r>
        <w:fldChar w:fldCharType="end"/>
      </w:r>
      <w:r>
        <w:rPr>
          <w:rFonts w:hint="eastAsia"/>
          <w:lang w:val="en-US" w:eastAsia="zh-CN"/>
        </w:rPr>
        <w:fldChar w:fldCharType="end"/>
      </w:r>
    </w:p>
    <w:p w14:paraId="61834814">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_Toc1821 </w:instrText>
      </w:r>
      <w:r>
        <w:rPr>
          <w:rFonts w:hint="eastAsia"/>
          <w:lang w:val="en-US" w:eastAsia="zh-CN"/>
        </w:rPr>
        <w:fldChar w:fldCharType="separate"/>
      </w:r>
      <w:r>
        <w:rPr>
          <w:rFonts w:hint="default"/>
          <w:lang w:val="en-US" w:eastAsia="zh-CN"/>
        </w:rPr>
        <w:t>3.</w:t>
      </w:r>
      <w:r>
        <w:rPr>
          <w:rFonts w:hint="eastAsia"/>
          <w:lang w:val="en-US" w:eastAsia="zh-CN"/>
        </w:rPr>
        <w:t>2</w:t>
      </w:r>
      <w:r>
        <w:rPr>
          <w:rFonts w:hint="default"/>
          <w:lang w:val="en-US" w:eastAsia="zh-CN"/>
        </w:rPr>
        <w:t>.</w:t>
      </w:r>
      <w:r>
        <w:rPr>
          <w:rFonts w:hint="eastAsia"/>
          <w:lang w:val="en-US" w:eastAsia="zh-CN"/>
        </w:rPr>
        <w:t xml:space="preserve">3 </w:t>
      </w:r>
      <w:r>
        <w:rPr>
          <w:rFonts w:hint="default"/>
          <w:lang w:val="en-US" w:eastAsia="zh-CN"/>
        </w:rPr>
        <w:t>高低温</w:t>
      </w:r>
      <w:r>
        <w:tab/>
      </w:r>
      <w:r>
        <w:fldChar w:fldCharType="begin"/>
      </w:r>
      <w:r>
        <w:instrText xml:space="preserve"> PAGEREF _Toc1821 \h </w:instrText>
      </w:r>
      <w:r>
        <w:fldChar w:fldCharType="separate"/>
      </w:r>
      <w:r>
        <w:t>50</w:t>
      </w:r>
      <w:r>
        <w:fldChar w:fldCharType="end"/>
      </w:r>
      <w:r>
        <w:rPr>
          <w:rFonts w:hint="eastAsia"/>
          <w:lang w:val="en-US" w:eastAsia="zh-CN"/>
        </w:rPr>
        <w:fldChar w:fldCharType="end"/>
      </w:r>
    </w:p>
    <w:p w14:paraId="15039A36">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_Toc24091 </w:instrText>
      </w:r>
      <w:r>
        <w:rPr>
          <w:rFonts w:hint="eastAsia"/>
          <w:lang w:val="en-US" w:eastAsia="zh-CN"/>
        </w:rPr>
        <w:fldChar w:fldCharType="separate"/>
      </w:r>
      <w:r>
        <w:rPr>
          <w:rFonts w:hint="eastAsia"/>
          <w:lang w:val="en-US" w:eastAsia="zh-CN"/>
        </w:rPr>
        <w:t>3.3 重大危险源辨识</w:t>
      </w:r>
      <w:r>
        <w:tab/>
      </w:r>
      <w:r>
        <w:fldChar w:fldCharType="begin"/>
      </w:r>
      <w:r>
        <w:instrText xml:space="preserve"> PAGEREF _Toc24091 \h </w:instrText>
      </w:r>
      <w:r>
        <w:fldChar w:fldCharType="separate"/>
      </w:r>
      <w:r>
        <w:t>50</w:t>
      </w:r>
      <w:r>
        <w:fldChar w:fldCharType="end"/>
      </w:r>
      <w:r>
        <w:rPr>
          <w:rFonts w:hint="eastAsia"/>
          <w:lang w:val="en-US" w:eastAsia="zh-CN"/>
        </w:rPr>
        <w:fldChar w:fldCharType="end"/>
      </w:r>
    </w:p>
    <w:p w14:paraId="7D146CE8">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_Toc5106 </w:instrText>
      </w:r>
      <w:r>
        <w:rPr>
          <w:rFonts w:hint="eastAsia"/>
          <w:lang w:val="en-US" w:eastAsia="zh-CN"/>
        </w:rPr>
        <w:fldChar w:fldCharType="separate"/>
      </w:r>
      <w:r>
        <w:rPr>
          <w:rFonts w:hint="default"/>
          <w:lang w:val="en-US" w:eastAsia="zh-CN"/>
        </w:rPr>
        <w:t>3.</w:t>
      </w:r>
      <w:r>
        <w:rPr>
          <w:rFonts w:hint="eastAsia"/>
          <w:lang w:val="en-US" w:eastAsia="zh-CN"/>
        </w:rPr>
        <w:t>4</w:t>
      </w:r>
      <w:r>
        <w:rPr>
          <w:rFonts w:hint="default"/>
          <w:lang w:val="en-US" w:eastAsia="zh-CN"/>
        </w:rPr>
        <w:t xml:space="preserve"> 危险、有害因素分析辨识结果</w:t>
      </w:r>
      <w:r>
        <w:tab/>
      </w:r>
      <w:r>
        <w:fldChar w:fldCharType="begin"/>
      </w:r>
      <w:r>
        <w:instrText xml:space="preserve"> PAGEREF _Toc5106 \h </w:instrText>
      </w:r>
      <w:r>
        <w:fldChar w:fldCharType="separate"/>
      </w:r>
      <w:r>
        <w:t>51</w:t>
      </w:r>
      <w:r>
        <w:fldChar w:fldCharType="end"/>
      </w:r>
      <w:r>
        <w:rPr>
          <w:rFonts w:hint="eastAsia"/>
          <w:lang w:val="en-US" w:eastAsia="zh-CN"/>
        </w:rPr>
        <w:fldChar w:fldCharType="end"/>
      </w:r>
    </w:p>
    <w:p w14:paraId="0C2A3F71">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_Toc17899 </w:instrText>
      </w:r>
      <w:r>
        <w:rPr>
          <w:rFonts w:hint="eastAsia"/>
          <w:lang w:val="en-US" w:eastAsia="zh-CN"/>
        </w:rPr>
        <w:fldChar w:fldCharType="separate"/>
      </w:r>
      <w:r>
        <w:rPr>
          <w:rFonts w:hint="default" w:ascii="Times New Roman" w:hAnsi="Times New Roman" w:cs="Times New Roman"/>
          <w:lang w:val="en-US" w:eastAsia="zh-CN"/>
        </w:rPr>
        <w:t>4. 评价方法选择和评价单元划分</w:t>
      </w:r>
      <w:r>
        <w:tab/>
      </w:r>
      <w:r>
        <w:fldChar w:fldCharType="begin"/>
      </w:r>
      <w:r>
        <w:instrText xml:space="preserve"> PAGEREF _Toc17899 \h </w:instrText>
      </w:r>
      <w:r>
        <w:fldChar w:fldCharType="separate"/>
      </w:r>
      <w:r>
        <w:t>52</w:t>
      </w:r>
      <w:r>
        <w:fldChar w:fldCharType="end"/>
      </w:r>
      <w:r>
        <w:rPr>
          <w:rFonts w:hint="eastAsia"/>
          <w:lang w:val="en-US" w:eastAsia="zh-CN"/>
        </w:rPr>
        <w:fldChar w:fldCharType="end"/>
      </w:r>
    </w:p>
    <w:p w14:paraId="5DF8D9FF">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_Toc27058 </w:instrText>
      </w:r>
      <w:r>
        <w:rPr>
          <w:rFonts w:hint="eastAsia"/>
          <w:lang w:val="en-US" w:eastAsia="zh-CN"/>
        </w:rPr>
        <w:fldChar w:fldCharType="separate"/>
      </w:r>
      <w:r>
        <w:rPr>
          <w:rFonts w:hint="eastAsia"/>
          <w:lang w:val="en-US" w:eastAsia="zh-CN"/>
        </w:rPr>
        <w:t>4.1 评价单元划分</w:t>
      </w:r>
      <w:r>
        <w:tab/>
      </w:r>
      <w:r>
        <w:fldChar w:fldCharType="begin"/>
      </w:r>
      <w:r>
        <w:instrText xml:space="preserve"> PAGEREF _Toc27058 \h </w:instrText>
      </w:r>
      <w:r>
        <w:fldChar w:fldCharType="separate"/>
      </w:r>
      <w:r>
        <w:t>52</w:t>
      </w:r>
      <w:r>
        <w:fldChar w:fldCharType="end"/>
      </w:r>
      <w:r>
        <w:rPr>
          <w:rFonts w:hint="eastAsia"/>
          <w:lang w:val="en-US" w:eastAsia="zh-CN"/>
        </w:rPr>
        <w:fldChar w:fldCharType="end"/>
      </w:r>
    </w:p>
    <w:p w14:paraId="58C78300">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_Toc17993 </w:instrText>
      </w:r>
      <w:r>
        <w:rPr>
          <w:rFonts w:hint="eastAsia"/>
          <w:lang w:val="en-US" w:eastAsia="zh-CN"/>
        </w:rPr>
        <w:fldChar w:fldCharType="separate"/>
      </w:r>
      <w:r>
        <w:rPr>
          <w:rFonts w:hint="default"/>
          <w:lang w:val="en-US" w:eastAsia="zh-CN"/>
        </w:rPr>
        <w:t>4.</w:t>
      </w:r>
      <w:r>
        <w:rPr>
          <w:rFonts w:hint="eastAsia"/>
          <w:lang w:val="en-US" w:eastAsia="zh-CN"/>
        </w:rPr>
        <w:t>2</w:t>
      </w:r>
      <w:r>
        <w:rPr>
          <w:rFonts w:hint="default"/>
          <w:lang w:val="en-US" w:eastAsia="zh-CN"/>
        </w:rPr>
        <w:t xml:space="preserve"> 评价方法选择</w:t>
      </w:r>
      <w:r>
        <w:tab/>
      </w:r>
      <w:r>
        <w:fldChar w:fldCharType="begin"/>
      </w:r>
      <w:r>
        <w:instrText xml:space="preserve"> PAGEREF _Toc17993 \h </w:instrText>
      </w:r>
      <w:r>
        <w:fldChar w:fldCharType="separate"/>
      </w:r>
      <w:r>
        <w:t>52</w:t>
      </w:r>
      <w:r>
        <w:fldChar w:fldCharType="end"/>
      </w:r>
      <w:r>
        <w:rPr>
          <w:rFonts w:hint="eastAsia"/>
          <w:lang w:val="en-US" w:eastAsia="zh-CN"/>
        </w:rPr>
        <w:fldChar w:fldCharType="end"/>
      </w:r>
    </w:p>
    <w:p w14:paraId="7DD597D6">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_Toc14493 </w:instrText>
      </w:r>
      <w:r>
        <w:rPr>
          <w:rFonts w:hint="eastAsia"/>
          <w:lang w:val="en-US" w:eastAsia="zh-CN"/>
        </w:rPr>
        <w:fldChar w:fldCharType="separate"/>
      </w:r>
      <w:r>
        <w:rPr>
          <w:rFonts w:hint="default"/>
          <w:lang w:val="en-US" w:eastAsia="zh-CN"/>
        </w:rPr>
        <w:t>4.</w:t>
      </w:r>
      <w:r>
        <w:rPr>
          <w:rFonts w:hint="eastAsia"/>
          <w:lang w:val="en-US" w:eastAsia="zh-CN"/>
        </w:rPr>
        <w:t>3</w:t>
      </w:r>
      <w:r>
        <w:rPr>
          <w:rFonts w:hint="default"/>
          <w:lang w:val="en-US" w:eastAsia="zh-CN"/>
        </w:rPr>
        <w:t xml:space="preserve"> 评价方法简介</w:t>
      </w:r>
      <w:r>
        <w:tab/>
      </w:r>
      <w:r>
        <w:fldChar w:fldCharType="begin"/>
      </w:r>
      <w:r>
        <w:instrText xml:space="preserve"> PAGEREF _Toc14493 \h </w:instrText>
      </w:r>
      <w:r>
        <w:fldChar w:fldCharType="separate"/>
      </w:r>
      <w:r>
        <w:t>53</w:t>
      </w:r>
      <w:r>
        <w:fldChar w:fldCharType="end"/>
      </w:r>
      <w:r>
        <w:rPr>
          <w:rFonts w:hint="eastAsia"/>
          <w:lang w:val="en-US" w:eastAsia="zh-CN"/>
        </w:rPr>
        <w:fldChar w:fldCharType="end"/>
      </w:r>
    </w:p>
    <w:p w14:paraId="058D9FD1">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_Toc12220 </w:instrText>
      </w:r>
      <w:r>
        <w:rPr>
          <w:rFonts w:hint="eastAsia"/>
          <w:lang w:val="en-US" w:eastAsia="zh-CN"/>
        </w:rPr>
        <w:fldChar w:fldCharType="separate"/>
      </w:r>
      <w:r>
        <w:rPr>
          <w:rFonts w:hint="eastAsia"/>
          <w:lang w:val="en-US" w:eastAsia="zh-CN"/>
        </w:rPr>
        <w:t xml:space="preserve">4.3.1 </w:t>
      </w:r>
      <w:r>
        <w:t>安全检查表法</w:t>
      </w:r>
      <w:r>
        <w:tab/>
      </w:r>
      <w:r>
        <w:fldChar w:fldCharType="begin"/>
      </w:r>
      <w:r>
        <w:instrText xml:space="preserve"> PAGEREF _Toc12220 \h </w:instrText>
      </w:r>
      <w:r>
        <w:fldChar w:fldCharType="separate"/>
      </w:r>
      <w:r>
        <w:t>53</w:t>
      </w:r>
      <w:r>
        <w:fldChar w:fldCharType="end"/>
      </w:r>
      <w:r>
        <w:rPr>
          <w:rFonts w:hint="eastAsia"/>
          <w:lang w:val="en-US" w:eastAsia="zh-CN"/>
        </w:rPr>
        <w:fldChar w:fldCharType="end"/>
      </w:r>
    </w:p>
    <w:p w14:paraId="7E6FA7FA">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_Toc5756 </w:instrText>
      </w:r>
      <w:r>
        <w:rPr>
          <w:rFonts w:hint="eastAsia"/>
          <w:lang w:val="en-US" w:eastAsia="zh-CN"/>
        </w:rPr>
        <w:fldChar w:fldCharType="separate"/>
      </w:r>
      <w:r>
        <w:rPr>
          <w:rFonts w:hint="default"/>
          <w:lang w:val="en-US" w:eastAsia="zh-CN"/>
        </w:rPr>
        <w:t>4.</w:t>
      </w:r>
      <w:r>
        <w:rPr>
          <w:rFonts w:hint="eastAsia"/>
          <w:lang w:val="en-US" w:eastAsia="zh-CN"/>
        </w:rPr>
        <w:t>3</w:t>
      </w:r>
      <w:r>
        <w:rPr>
          <w:rFonts w:hint="default"/>
          <w:lang w:val="en-US" w:eastAsia="zh-CN"/>
        </w:rPr>
        <w:t>.2 作业条件危险性分析</w:t>
      </w:r>
      <w:r>
        <w:tab/>
      </w:r>
      <w:r>
        <w:fldChar w:fldCharType="begin"/>
      </w:r>
      <w:r>
        <w:instrText xml:space="preserve"> PAGEREF _Toc5756 \h </w:instrText>
      </w:r>
      <w:r>
        <w:fldChar w:fldCharType="separate"/>
      </w:r>
      <w:r>
        <w:t>53</w:t>
      </w:r>
      <w:r>
        <w:fldChar w:fldCharType="end"/>
      </w:r>
      <w:r>
        <w:rPr>
          <w:rFonts w:hint="eastAsia"/>
          <w:lang w:val="en-US" w:eastAsia="zh-CN"/>
        </w:rPr>
        <w:fldChar w:fldCharType="end"/>
      </w:r>
    </w:p>
    <w:p w14:paraId="4EE8CAF5">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_Toc6798 </w:instrText>
      </w:r>
      <w:r>
        <w:rPr>
          <w:rFonts w:hint="eastAsia"/>
          <w:lang w:val="en-US" w:eastAsia="zh-CN"/>
        </w:rPr>
        <w:fldChar w:fldCharType="separate"/>
      </w:r>
      <w:r>
        <w:rPr>
          <w:rFonts w:hint="default" w:ascii="Times New Roman" w:hAnsi="Times New Roman" w:cs="Times New Roman"/>
          <w:lang w:val="en-US" w:eastAsia="zh-CN"/>
        </w:rPr>
        <w:t>5. 定性定量评价</w:t>
      </w:r>
      <w:r>
        <w:tab/>
      </w:r>
      <w:r>
        <w:fldChar w:fldCharType="begin"/>
      </w:r>
      <w:r>
        <w:instrText xml:space="preserve"> PAGEREF _Toc6798 \h </w:instrText>
      </w:r>
      <w:r>
        <w:fldChar w:fldCharType="separate"/>
      </w:r>
      <w:r>
        <w:t>56</w:t>
      </w:r>
      <w:r>
        <w:fldChar w:fldCharType="end"/>
      </w:r>
      <w:r>
        <w:rPr>
          <w:rFonts w:hint="eastAsia"/>
          <w:lang w:val="en-US" w:eastAsia="zh-CN"/>
        </w:rPr>
        <w:fldChar w:fldCharType="end"/>
      </w:r>
    </w:p>
    <w:p w14:paraId="5BBDC7DD">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_Toc20308 </w:instrText>
      </w:r>
      <w:r>
        <w:rPr>
          <w:rFonts w:hint="eastAsia"/>
          <w:lang w:val="en-US" w:eastAsia="zh-CN"/>
        </w:rPr>
        <w:fldChar w:fldCharType="separate"/>
      </w:r>
      <w:r>
        <w:rPr>
          <w:rFonts w:hint="default"/>
          <w:lang w:val="en-US" w:eastAsia="zh-CN"/>
        </w:rPr>
        <w:t>5.1 安全管理单元</w:t>
      </w:r>
      <w:r>
        <w:tab/>
      </w:r>
      <w:r>
        <w:fldChar w:fldCharType="begin"/>
      </w:r>
      <w:r>
        <w:instrText xml:space="preserve"> PAGEREF _Toc20308 \h </w:instrText>
      </w:r>
      <w:r>
        <w:fldChar w:fldCharType="separate"/>
      </w:r>
      <w:r>
        <w:t>56</w:t>
      </w:r>
      <w:r>
        <w:fldChar w:fldCharType="end"/>
      </w:r>
      <w:r>
        <w:rPr>
          <w:rFonts w:hint="eastAsia"/>
          <w:lang w:val="en-US" w:eastAsia="zh-CN"/>
        </w:rPr>
        <w:fldChar w:fldCharType="end"/>
      </w:r>
    </w:p>
    <w:p w14:paraId="6423398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_Toc28737 </w:instrText>
      </w:r>
      <w:r>
        <w:rPr>
          <w:rFonts w:hint="eastAsia"/>
          <w:lang w:val="en-US" w:eastAsia="zh-CN"/>
        </w:rPr>
        <w:fldChar w:fldCharType="separate"/>
      </w:r>
      <w:r>
        <w:rPr>
          <w:rFonts w:hint="eastAsia"/>
          <w:lang w:val="en-US" w:eastAsia="zh-CN"/>
        </w:rPr>
        <w:t>5.1.1 安全管理安全检查表</w:t>
      </w:r>
      <w:r>
        <w:tab/>
      </w:r>
      <w:r>
        <w:fldChar w:fldCharType="begin"/>
      </w:r>
      <w:r>
        <w:instrText xml:space="preserve"> PAGEREF _Toc28737 \h </w:instrText>
      </w:r>
      <w:r>
        <w:fldChar w:fldCharType="separate"/>
      </w:r>
      <w:r>
        <w:t>56</w:t>
      </w:r>
      <w:r>
        <w:fldChar w:fldCharType="end"/>
      </w:r>
      <w:r>
        <w:rPr>
          <w:rFonts w:hint="eastAsia"/>
          <w:lang w:val="en-US" w:eastAsia="zh-CN"/>
        </w:rPr>
        <w:fldChar w:fldCharType="end"/>
      </w:r>
    </w:p>
    <w:p w14:paraId="397F4CF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_Toc2347 </w:instrText>
      </w:r>
      <w:r>
        <w:rPr>
          <w:rFonts w:hint="eastAsia"/>
          <w:lang w:val="en-US" w:eastAsia="zh-CN"/>
        </w:rPr>
        <w:fldChar w:fldCharType="separate"/>
      </w:r>
      <w:r>
        <w:rPr>
          <w:rFonts w:hint="default"/>
          <w:lang w:val="en-US" w:eastAsia="zh-CN"/>
        </w:rPr>
        <w:t>5.1.2</w:t>
      </w:r>
      <w:r>
        <w:rPr>
          <w:rFonts w:hint="eastAsia"/>
          <w:lang w:val="en-US" w:eastAsia="zh-CN"/>
        </w:rPr>
        <w:t xml:space="preserve"> </w:t>
      </w:r>
      <w:r>
        <w:rPr>
          <w:rFonts w:hint="default"/>
          <w:lang w:val="en-US" w:eastAsia="zh-CN"/>
        </w:rPr>
        <w:t>评价小结</w:t>
      </w:r>
      <w:r>
        <w:tab/>
      </w:r>
      <w:r>
        <w:fldChar w:fldCharType="begin"/>
      </w:r>
      <w:r>
        <w:instrText xml:space="preserve"> PAGEREF _Toc2347 \h </w:instrText>
      </w:r>
      <w:r>
        <w:fldChar w:fldCharType="separate"/>
      </w:r>
      <w:r>
        <w:t>60</w:t>
      </w:r>
      <w:r>
        <w:fldChar w:fldCharType="end"/>
      </w:r>
      <w:r>
        <w:rPr>
          <w:rFonts w:hint="eastAsia"/>
          <w:lang w:val="en-US" w:eastAsia="zh-CN"/>
        </w:rPr>
        <w:fldChar w:fldCharType="end"/>
      </w:r>
    </w:p>
    <w:p w14:paraId="627B8150">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_Toc24329 </w:instrText>
      </w:r>
      <w:r>
        <w:rPr>
          <w:rFonts w:hint="eastAsia"/>
          <w:lang w:val="en-US" w:eastAsia="zh-CN"/>
        </w:rPr>
        <w:fldChar w:fldCharType="separate"/>
      </w:r>
      <w:r>
        <w:rPr>
          <w:rFonts w:hint="eastAsia"/>
          <w:lang w:val="en-US" w:eastAsia="zh-CN"/>
        </w:rPr>
        <w:t>5.2 露天采场单元</w:t>
      </w:r>
      <w:r>
        <w:tab/>
      </w:r>
      <w:r>
        <w:fldChar w:fldCharType="begin"/>
      </w:r>
      <w:r>
        <w:instrText xml:space="preserve"> PAGEREF _Toc24329 \h </w:instrText>
      </w:r>
      <w:r>
        <w:fldChar w:fldCharType="separate"/>
      </w:r>
      <w:r>
        <w:t>60</w:t>
      </w:r>
      <w:r>
        <w:fldChar w:fldCharType="end"/>
      </w:r>
      <w:r>
        <w:rPr>
          <w:rFonts w:hint="eastAsia"/>
          <w:lang w:val="en-US" w:eastAsia="zh-CN"/>
        </w:rPr>
        <w:fldChar w:fldCharType="end"/>
      </w:r>
    </w:p>
    <w:p w14:paraId="31015E0F">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_Toc138 </w:instrText>
      </w:r>
      <w:r>
        <w:rPr>
          <w:rFonts w:hint="eastAsia"/>
          <w:lang w:val="en-US" w:eastAsia="zh-CN"/>
        </w:rPr>
        <w:fldChar w:fldCharType="separate"/>
      </w:r>
      <w:r>
        <w:rPr>
          <w:rFonts w:hint="eastAsia"/>
          <w:lang w:val="en-US" w:eastAsia="zh-CN"/>
        </w:rPr>
        <w:t>5.2.1 露天采场安全检查表</w:t>
      </w:r>
      <w:r>
        <w:tab/>
      </w:r>
      <w:r>
        <w:fldChar w:fldCharType="begin"/>
      </w:r>
      <w:r>
        <w:instrText xml:space="preserve"> PAGEREF _Toc138 \h </w:instrText>
      </w:r>
      <w:r>
        <w:fldChar w:fldCharType="separate"/>
      </w:r>
      <w:r>
        <w:t>60</w:t>
      </w:r>
      <w:r>
        <w:fldChar w:fldCharType="end"/>
      </w:r>
      <w:r>
        <w:rPr>
          <w:rFonts w:hint="eastAsia"/>
          <w:lang w:val="en-US" w:eastAsia="zh-CN"/>
        </w:rPr>
        <w:fldChar w:fldCharType="end"/>
      </w:r>
    </w:p>
    <w:p w14:paraId="0AE47E90">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_Toc25577 </w:instrText>
      </w:r>
      <w:r>
        <w:rPr>
          <w:rFonts w:hint="eastAsia"/>
          <w:lang w:val="en-US" w:eastAsia="zh-CN"/>
        </w:rPr>
        <w:fldChar w:fldCharType="separate"/>
      </w:r>
      <w:r>
        <w:rPr>
          <w:rFonts w:hint="default"/>
          <w:lang w:val="en-US" w:eastAsia="zh-CN"/>
        </w:rPr>
        <w:t>5.</w:t>
      </w:r>
      <w:r>
        <w:rPr>
          <w:rFonts w:hint="eastAsia"/>
          <w:lang w:val="en-US" w:eastAsia="zh-CN"/>
        </w:rPr>
        <w:t>2</w:t>
      </w:r>
      <w:r>
        <w:rPr>
          <w:rFonts w:hint="default"/>
          <w:lang w:val="en-US" w:eastAsia="zh-CN"/>
        </w:rPr>
        <w:t>.2</w:t>
      </w:r>
      <w:r>
        <w:rPr>
          <w:rFonts w:hint="eastAsia"/>
          <w:lang w:val="en-US" w:eastAsia="zh-CN"/>
        </w:rPr>
        <w:t xml:space="preserve"> </w:t>
      </w:r>
      <w:r>
        <w:rPr>
          <w:rFonts w:hint="default"/>
          <w:lang w:val="en-US" w:eastAsia="zh-CN"/>
        </w:rPr>
        <w:t>评价小结</w:t>
      </w:r>
      <w:r>
        <w:tab/>
      </w:r>
      <w:r>
        <w:fldChar w:fldCharType="begin"/>
      </w:r>
      <w:r>
        <w:instrText xml:space="preserve"> PAGEREF _Toc25577 \h </w:instrText>
      </w:r>
      <w:r>
        <w:fldChar w:fldCharType="separate"/>
      </w:r>
      <w:r>
        <w:t>66</w:t>
      </w:r>
      <w:r>
        <w:fldChar w:fldCharType="end"/>
      </w:r>
      <w:r>
        <w:rPr>
          <w:rFonts w:hint="eastAsia"/>
          <w:lang w:val="en-US" w:eastAsia="zh-CN"/>
        </w:rPr>
        <w:fldChar w:fldCharType="end"/>
      </w:r>
    </w:p>
    <w:p w14:paraId="066AE9AD">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_Toc3738 </w:instrText>
      </w:r>
      <w:r>
        <w:rPr>
          <w:rFonts w:hint="eastAsia"/>
          <w:lang w:val="en-US" w:eastAsia="zh-CN"/>
        </w:rPr>
        <w:fldChar w:fldCharType="separate"/>
      </w:r>
      <w:r>
        <w:rPr>
          <w:rFonts w:hint="default"/>
          <w:lang w:val="en-US" w:eastAsia="zh-CN"/>
        </w:rPr>
        <w:t>5.3</w:t>
      </w:r>
      <w:r>
        <w:rPr>
          <w:rFonts w:hint="eastAsia"/>
          <w:lang w:val="en-US" w:eastAsia="zh-CN"/>
        </w:rPr>
        <w:t xml:space="preserve"> </w:t>
      </w:r>
      <w:r>
        <w:rPr>
          <w:rFonts w:hint="default"/>
          <w:lang w:val="en-US" w:eastAsia="zh-CN"/>
        </w:rPr>
        <w:t>边坡管理单元</w:t>
      </w:r>
      <w:r>
        <w:tab/>
      </w:r>
      <w:r>
        <w:fldChar w:fldCharType="begin"/>
      </w:r>
      <w:r>
        <w:instrText xml:space="preserve"> PAGEREF _Toc3738 \h </w:instrText>
      </w:r>
      <w:r>
        <w:fldChar w:fldCharType="separate"/>
      </w:r>
      <w:r>
        <w:t>67</w:t>
      </w:r>
      <w:r>
        <w:fldChar w:fldCharType="end"/>
      </w:r>
      <w:r>
        <w:rPr>
          <w:rFonts w:hint="eastAsia"/>
          <w:lang w:val="en-US" w:eastAsia="zh-CN"/>
        </w:rPr>
        <w:fldChar w:fldCharType="end"/>
      </w:r>
    </w:p>
    <w:p w14:paraId="0D11C929">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_Toc19145 </w:instrText>
      </w:r>
      <w:r>
        <w:rPr>
          <w:rFonts w:hint="eastAsia"/>
          <w:lang w:val="en-US" w:eastAsia="zh-CN"/>
        </w:rPr>
        <w:fldChar w:fldCharType="separate"/>
      </w:r>
      <w:r>
        <w:rPr>
          <w:rFonts w:hint="default"/>
          <w:lang w:val="en-US" w:eastAsia="zh-CN"/>
        </w:rPr>
        <w:t>5.3.1</w:t>
      </w:r>
      <w:r>
        <w:rPr>
          <w:rFonts w:hint="eastAsia"/>
          <w:lang w:val="en-US" w:eastAsia="zh-CN"/>
        </w:rPr>
        <w:t xml:space="preserve"> 边坡管理</w:t>
      </w:r>
      <w:r>
        <w:rPr>
          <w:rFonts w:hint="default"/>
          <w:lang w:val="en-US" w:eastAsia="zh-CN"/>
        </w:rPr>
        <w:t>安全检查表</w:t>
      </w:r>
      <w:r>
        <w:tab/>
      </w:r>
      <w:r>
        <w:fldChar w:fldCharType="begin"/>
      </w:r>
      <w:r>
        <w:instrText xml:space="preserve"> PAGEREF _Toc19145 \h </w:instrText>
      </w:r>
      <w:r>
        <w:fldChar w:fldCharType="separate"/>
      </w:r>
      <w:r>
        <w:t>67</w:t>
      </w:r>
      <w:r>
        <w:fldChar w:fldCharType="end"/>
      </w:r>
      <w:r>
        <w:rPr>
          <w:rFonts w:hint="eastAsia"/>
          <w:lang w:val="en-US" w:eastAsia="zh-CN"/>
        </w:rPr>
        <w:fldChar w:fldCharType="end"/>
      </w:r>
    </w:p>
    <w:p w14:paraId="02FC0475">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_Toc29026 </w:instrText>
      </w:r>
      <w:r>
        <w:rPr>
          <w:rFonts w:hint="eastAsia"/>
          <w:lang w:val="en-US" w:eastAsia="zh-CN"/>
        </w:rPr>
        <w:fldChar w:fldCharType="separate"/>
      </w:r>
      <w:r>
        <w:rPr>
          <w:rFonts w:hint="default"/>
          <w:lang w:val="en-US" w:eastAsia="zh-CN"/>
        </w:rPr>
        <w:t>5.</w:t>
      </w:r>
      <w:r>
        <w:rPr>
          <w:rFonts w:hint="eastAsia"/>
          <w:lang w:val="en-US" w:eastAsia="zh-CN"/>
        </w:rPr>
        <w:t>3</w:t>
      </w:r>
      <w:r>
        <w:rPr>
          <w:rFonts w:hint="default"/>
          <w:lang w:val="en-US" w:eastAsia="zh-CN"/>
        </w:rPr>
        <w:t>.2 评价小结</w:t>
      </w:r>
      <w:r>
        <w:tab/>
      </w:r>
      <w:r>
        <w:fldChar w:fldCharType="begin"/>
      </w:r>
      <w:r>
        <w:instrText xml:space="preserve"> PAGEREF _Toc29026 \h </w:instrText>
      </w:r>
      <w:r>
        <w:fldChar w:fldCharType="separate"/>
      </w:r>
      <w:r>
        <w:t>68</w:t>
      </w:r>
      <w:r>
        <w:fldChar w:fldCharType="end"/>
      </w:r>
      <w:r>
        <w:rPr>
          <w:rFonts w:hint="eastAsia"/>
          <w:lang w:val="en-US" w:eastAsia="zh-CN"/>
        </w:rPr>
        <w:fldChar w:fldCharType="end"/>
      </w:r>
    </w:p>
    <w:p w14:paraId="3EA851C5">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_Toc31829 </w:instrText>
      </w:r>
      <w:r>
        <w:rPr>
          <w:rFonts w:hint="eastAsia"/>
          <w:lang w:val="en-US" w:eastAsia="zh-CN"/>
        </w:rPr>
        <w:fldChar w:fldCharType="separate"/>
      </w:r>
      <w:r>
        <w:rPr>
          <w:rFonts w:hint="eastAsia"/>
          <w:lang w:val="en-US" w:eastAsia="zh-CN"/>
        </w:rPr>
        <w:t>5.4 供配电设施单元</w:t>
      </w:r>
      <w:r>
        <w:tab/>
      </w:r>
      <w:r>
        <w:fldChar w:fldCharType="begin"/>
      </w:r>
      <w:r>
        <w:instrText xml:space="preserve"> PAGEREF _Toc31829 \h </w:instrText>
      </w:r>
      <w:r>
        <w:fldChar w:fldCharType="separate"/>
      </w:r>
      <w:r>
        <w:t>68</w:t>
      </w:r>
      <w:r>
        <w:fldChar w:fldCharType="end"/>
      </w:r>
      <w:r>
        <w:rPr>
          <w:rFonts w:hint="eastAsia"/>
          <w:lang w:val="en-US" w:eastAsia="zh-CN"/>
        </w:rPr>
        <w:fldChar w:fldCharType="end"/>
      </w:r>
    </w:p>
    <w:p w14:paraId="6E381A2A">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_Toc28343 </w:instrText>
      </w:r>
      <w:r>
        <w:rPr>
          <w:rFonts w:hint="eastAsia"/>
          <w:lang w:val="en-US" w:eastAsia="zh-CN"/>
        </w:rPr>
        <w:fldChar w:fldCharType="separate"/>
      </w:r>
      <w:r>
        <w:rPr>
          <w:rFonts w:hint="eastAsia"/>
          <w:lang w:val="en-US" w:eastAsia="zh-CN"/>
        </w:rPr>
        <w:t>5.4.1 供配电设施安全检查表</w:t>
      </w:r>
      <w:r>
        <w:tab/>
      </w:r>
      <w:r>
        <w:fldChar w:fldCharType="begin"/>
      </w:r>
      <w:r>
        <w:instrText xml:space="preserve"> PAGEREF _Toc28343 \h </w:instrText>
      </w:r>
      <w:r>
        <w:fldChar w:fldCharType="separate"/>
      </w:r>
      <w:r>
        <w:t>68</w:t>
      </w:r>
      <w:r>
        <w:fldChar w:fldCharType="end"/>
      </w:r>
      <w:r>
        <w:rPr>
          <w:rFonts w:hint="eastAsia"/>
          <w:lang w:val="en-US" w:eastAsia="zh-CN"/>
        </w:rPr>
        <w:fldChar w:fldCharType="end"/>
      </w:r>
    </w:p>
    <w:p w14:paraId="148B240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_Toc28567 </w:instrText>
      </w:r>
      <w:r>
        <w:rPr>
          <w:rFonts w:hint="eastAsia"/>
          <w:lang w:val="en-US" w:eastAsia="zh-CN"/>
        </w:rPr>
        <w:fldChar w:fldCharType="separate"/>
      </w:r>
      <w:r>
        <w:rPr>
          <w:rFonts w:hint="eastAsia"/>
          <w:lang w:val="en-US" w:eastAsia="zh-CN"/>
        </w:rPr>
        <w:t>5.4.2 评价小结</w:t>
      </w:r>
      <w:r>
        <w:tab/>
      </w:r>
      <w:r>
        <w:fldChar w:fldCharType="begin"/>
      </w:r>
      <w:r>
        <w:instrText xml:space="preserve"> PAGEREF _Toc28567 \h </w:instrText>
      </w:r>
      <w:r>
        <w:fldChar w:fldCharType="separate"/>
      </w:r>
      <w:r>
        <w:t>72</w:t>
      </w:r>
      <w:r>
        <w:fldChar w:fldCharType="end"/>
      </w:r>
      <w:r>
        <w:rPr>
          <w:rFonts w:hint="eastAsia"/>
          <w:lang w:val="en-US" w:eastAsia="zh-CN"/>
        </w:rPr>
        <w:fldChar w:fldCharType="end"/>
      </w:r>
    </w:p>
    <w:p w14:paraId="420161C6">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_Toc28628 </w:instrText>
      </w:r>
      <w:r>
        <w:rPr>
          <w:rFonts w:hint="eastAsia"/>
          <w:lang w:val="en-US" w:eastAsia="zh-CN"/>
        </w:rPr>
        <w:fldChar w:fldCharType="separate"/>
      </w:r>
      <w:r>
        <w:rPr>
          <w:rFonts w:hint="eastAsia"/>
          <w:lang w:val="en-US" w:eastAsia="zh-CN"/>
        </w:rPr>
        <w:t>5.5 防排水单元</w:t>
      </w:r>
      <w:r>
        <w:tab/>
      </w:r>
      <w:r>
        <w:fldChar w:fldCharType="begin"/>
      </w:r>
      <w:r>
        <w:instrText xml:space="preserve"> PAGEREF _Toc28628 \h </w:instrText>
      </w:r>
      <w:r>
        <w:fldChar w:fldCharType="separate"/>
      </w:r>
      <w:r>
        <w:t>72</w:t>
      </w:r>
      <w:r>
        <w:fldChar w:fldCharType="end"/>
      </w:r>
      <w:r>
        <w:rPr>
          <w:rFonts w:hint="eastAsia"/>
          <w:lang w:val="en-US" w:eastAsia="zh-CN"/>
        </w:rPr>
        <w:fldChar w:fldCharType="end"/>
      </w:r>
    </w:p>
    <w:p w14:paraId="3F87EA5F">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_Toc1457 </w:instrText>
      </w:r>
      <w:r>
        <w:rPr>
          <w:rFonts w:hint="eastAsia"/>
          <w:lang w:val="en-US" w:eastAsia="zh-CN"/>
        </w:rPr>
        <w:fldChar w:fldCharType="separate"/>
      </w:r>
      <w:r>
        <w:rPr>
          <w:rFonts w:hint="eastAsia"/>
          <w:lang w:val="en-US" w:eastAsia="zh-CN"/>
        </w:rPr>
        <w:t>5.5.1 防排水安全检查表</w:t>
      </w:r>
      <w:r>
        <w:tab/>
      </w:r>
      <w:r>
        <w:fldChar w:fldCharType="begin"/>
      </w:r>
      <w:r>
        <w:instrText xml:space="preserve"> PAGEREF _Toc1457 \h </w:instrText>
      </w:r>
      <w:r>
        <w:fldChar w:fldCharType="separate"/>
      </w:r>
      <w:r>
        <w:t>72</w:t>
      </w:r>
      <w:r>
        <w:fldChar w:fldCharType="end"/>
      </w:r>
      <w:r>
        <w:rPr>
          <w:rFonts w:hint="eastAsia"/>
          <w:lang w:val="en-US" w:eastAsia="zh-CN"/>
        </w:rPr>
        <w:fldChar w:fldCharType="end"/>
      </w:r>
    </w:p>
    <w:p w14:paraId="0365020C">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_Toc25288 </w:instrText>
      </w:r>
      <w:r>
        <w:rPr>
          <w:rFonts w:hint="eastAsia"/>
          <w:lang w:val="en-US" w:eastAsia="zh-CN"/>
        </w:rPr>
        <w:fldChar w:fldCharType="separate"/>
      </w:r>
      <w:r>
        <w:rPr>
          <w:rFonts w:hint="eastAsia"/>
          <w:lang w:val="en-US" w:eastAsia="zh-CN"/>
        </w:rPr>
        <w:t>5.5.2 评价小结</w:t>
      </w:r>
      <w:r>
        <w:tab/>
      </w:r>
      <w:r>
        <w:fldChar w:fldCharType="begin"/>
      </w:r>
      <w:r>
        <w:instrText xml:space="preserve"> PAGEREF _Toc25288 \h </w:instrText>
      </w:r>
      <w:r>
        <w:fldChar w:fldCharType="separate"/>
      </w:r>
      <w:r>
        <w:t>73</w:t>
      </w:r>
      <w:r>
        <w:fldChar w:fldCharType="end"/>
      </w:r>
      <w:r>
        <w:rPr>
          <w:rFonts w:hint="eastAsia"/>
          <w:lang w:val="en-US" w:eastAsia="zh-CN"/>
        </w:rPr>
        <w:fldChar w:fldCharType="end"/>
      </w:r>
    </w:p>
    <w:p w14:paraId="59BFC76E">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_Toc2088 </w:instrText>
      </w:r>
      <w:r>
        <w:rPr>
          <w:rFonts w:hint="eastAsia"/>
          <w:lang w:val="en-US" w:eastAsia="zh-CN"/>
        </w:rPr>
        <w:fldChar w:fldCharType="separate"/>
      </w:r>
      <w:r>
        <w:rPr>
          <w:rFonts w:hint="eastAsia"/>
          <w:lang w:val="en-US" w:eastAsia="zh-CN"/>
        </w:rPr>
        <w:t>5.6 防灭火单元</w:t>
      </w:r>
      <w:r>
        <w:tab/>
      </w:r>
      <w:r>
        <w:fldChar w:fldCharType="begin"/>
      </w:r>
      <w:r>
        <w:instrText xml:space="preserve"> PAGEREF _Toc2088 \h </w:instrText>
      </w:r>
      <w:r>
        <w:fldChar w:fldCharType="separate"/>
      </w:r>
      <w:r>
        <w:t>74</w:t>
      </w:r>
      <w:r>
        <w:fldChar w:fldCharType="end"/>
      </w:r>
      <w:r>
        <w:rPr>
          <w:rFonts w:hint="eastAsia"/>
          <w:lang w:val="en-US" w:eastAsia="zh-CN"/>
        </w:rPr>
        <w:fldChar w:fldCharType="end"/>
      </w:r>
    </w:p>
    <w:p w14:paraId="3A7E9D18">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_Toc22539 </w:instrText>
      </w:r>
      <w:r>
        <w:rPr>
          <w:rFonts w:hint="eastAsia"/>
          <w:lang w:val="en-US" w:eastAsia="zh-CN"/>
        </w:rPr>
        <w:fldChar w:fldCharType="separate"/>
      </w:r>
      <w:r>
        <w:rPr>
          <w:rFonts w:hint="eastAsia"/>
          <w:lang w:val="en-US" w:eastAsia="zh-CN"/>
        </w:rPr>
        <w:t>5.6.1 防灭火安全检查表</w:t>
      </w:r>
      <w:r>
        <w:tab/>
      </w:r>
      <w:r>
        <w:fldChar w:fldCharType="begin"/>
      </w:r>
      <w:r>
        <w:instrText xml:space="preserve"> PAGEREF _Toc22539 \h </w:instrText>
      </w:r>
      <w:r>
        <w:fldChar w:fldCharType="separate"/>
      </w:r>
      <w:r>
        <w:t>74</w:t>
      </w:r>
      <w:r>
        <w:fldChar w:fldCharType="end"/>
      </w:r>
      <w:r>
        <w:rPr>
          <w:rFonts w:hint="eastAsia"/>
          <w:lang w:val="en-US" w:eastAsia="zh-CN"/>
        </w:rPr>
        <w:fldChar w:fldCharType="end"/>
      </w:r>
    </w:p>
    <w:p w14:paraId="26AED587">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_Toc1677 </w:instrText>
      </w:r>
      <w:r>
        <w:rPr>
          <w:rFonts w:hint="eastAsia"/>
          <w:lang w:val="en-US" w:eastAsia="zh-CN"/>
        </w:rPr>
        <w:fldChar w:fldCharType="separate"/>
      </w:r>
      <w:r>
        <w:rPr>
          <w:rFonts w:hint="eastAsia"/>
          <w:lang w:val="en-US" w:eastAsia="zh-CN"/>
        </w:rPr>
        <w:t>5.6.2 评价小结</w:t>
      </w:r>
      <w:r>
        <w:tab/>
      </w:r>
      <w:r>
        <w:fldChar w:fldCharType="begin"/>
      </w:r>
      <w:r>
        <w:instrText xml:space="preserve"> PAGEREF _Toc1677 \h </w:instrText>
      </w:r>
      <w:r>
        <w:fldChar w:fldCharType="separate"/>
      </w:r>
      <w:r>
        <w:t>74</w:t>
      </w:r>
      <w:r>
        <w:fldChar w:fldCharType="end"/>
      </w:r>
      <w:r>
        <w:rPr>
          <w:rFonts w:hint="eastAsia"/>
          <w:lang w:val="en-US" w:eastAsia="zh-CN"/>
        </w:rPr>
        <w:fldChar w:fldCharType="end"/>
      </w:r>
    </w:p>
    <w:p w14:paraId="742B22EF">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_Toc17912 </w:instrText>
      </w:r>
      <w:r>
        <w:rPr>
          <w:rFonts w:hint="eastAsia"/>
          <w:lang w:val="en-US" w:eastAsia="zh-CN"/>
        </w:rPr>
        <w:fldChar w:fldCharType="separate"/>
      </w:r>
      <w:r>
        <w:rPr>
          <w:rFonts w:hint="eastAsia"/>
          <w:lang w:val="en-US" w:eastAsia="zh-CN"/>
        </w:rPr>
        <w:t>5.7 重大生产安全事故隐患判定</w:t>
      </w:r>
      <w:r>
        <w:tab/>
      </w:r>
      <w:r>
        <w:fldChar w:fldCharType="begin"/>
      </w:r>
      <w:r>
        <w:instrText xml:space="preserve"> PAGEREF _Toc17912 \h </w:instrText>
      </w:r>
      <w:r>
        <w:fldChar w:fldCharType="separate"/>
      </w:r>
      <w:r>
        <w:t>75</w:t>
      </w:r>
      <w:r>
        <w:fldChar w:fldCharType="end"/>
      </w:r>
      <w:r>
        <w:rPr>
          <w:rFonts w:hint="eastAsia"/>
          <w:lang w:val="en-US" w:eastAsia="zh-CN"/>
        </w:rPr>
        <w:fldChar w:fldCharType="end"/>
      </w:r>
    </w:p>
    <w:p w14:paraId="198144CF">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_Toc6362 </w:instrText>
      </w:r>
      <w:r>
        <w:rPr>
          <w:rFonts w:hint="eastAsia"/>
          <w:lang w:val="en-US" w:eastAsia="zh-CN"/>
        </w:rPr>
        <w:fldChar w:fldCharType="separate"/>
      </w:r>
      <w:r>
        <w:rPr>
          <w:rFonts w:hint="eastAsia"/>
          <w:lang w:val="en-US" w:eastAsia="zh-CN"/>
        </w:rPr>
        <w:t>5.8 综合评价单元</w:t>
      </w:r>
      <w:r>
        <w:tab/>
      </w:r>
      <w:r>
        <w:fldChar w:fldCharType="begin"/>
      </w:r>
      <w:r>
        <w:instrText xml:space="preserve"> PAGEREF _Toc6362 \h </w:instrText>
      </w:r>
      <w:r>
        <w:fldChar w:fldCharType="separate"/>
      </w:r>
      <w:r>
        <w:t>76</w:t>
      </w:r>
      <w:r>
        <w:fldChar w:fldCharType="end"/>
      </w:r>
      <w:r>
        <w:rPr>
          <w:rFonts w:hint="eastAsia"/>
          <w:lang w:val="en-US" w:eastAsia="zh-CN"/>
        </w:rPr>
        <w:fldChar w:fldCharType="end"/>
      </w:r>
    </w:p>
    <w:p w14:paraId="115B4629">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_Toc571 </w:instrText>
      </w:r>
      <w:r>
        <w:rPr>
          <w:rFonts w:hint="eastAsia"/>
          <w:lang w:val="en-US" w:eastAsia="zh-CN"/>
        </w:rPr>
        <w:fldChar w:fldCharType="separate"/>
      </w:r>
      <w:r>
        <w:rPr>
          <w:rFonts w:hint="default"/>
          <w:lang w:val="en-US" w:eastAsia="zh-CN"/>
        </w:rPr>
        <w:t>5.8.1</w:t>
      </w:r>
      <w:r>
        <w:rPr>
          <w:rFonts w:hint="eastAsia"/>
          <w:lang w:val="en-US" w:eastAsia="zh-CN"/>
        </w:rPr>
        <w:t xml:space="preserve"> </w:t>
      </w:r>
      <w:r>
        <w:rPr>
          <w:rFonts w:hint="default"/>
          <w:lang w:val="en-US" w:eastAsia="zh-CN"/>
        </w:rPr>
        <w:t>安全检查表</w:t>
      </w:r>
      <w:r>
        <w:tab/>
      </w:r>
      <w:r>
        <w:fldChar w:fldCharType="begin"/>
      </w:r>
      <w:r>
        <w:instrText xml:space="preserve"> PAGEREF _Toc571 \h </w:instrText>
      </w:r>
      <w:r>
        <w:fldChar w:fldCharType="separate"/>
      </w:r>
      <w:r>
        <w:t>76</w:t>
      </w:r>
      <w:r>
        <w:fldChar w:fldCharType="end"/>
      </w:r>
      <w:r>
        <w:rPr>
          <w:rFonts w:hint="eastAsia"/>
          <w:lang w:val="en-US" w:eastAsia="zh-CN"/>
        </w:rPr>
        <w:fldChar w:fldCharType="end"/>
      </w:r>
    </w:p>
    <w:p w14:paraId="205A7068">
      <w:pPr>
        <w:pStyle w:val="10"/>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_Toc14031 </w:instrText>
      </w:r>
      <w:r>
        <w:rPr>
          <w:rFonts w:hint="eastAsia"/>
          <w:lang w:val="en-US" w:eastAsia="zh-CN"/>
        </w:rPr>
        <w:fldChar w:fldCharType="separate"/>
      </w:r>
      <w:r>
        <w:rPr>
          <w:rFonts w:hint="eastAsia"/>
          <w:lang w:val="en-US" w:eastAsia="zh-CN"/>
        </w:rPr>
        <w:t>5.8.2 评价结论</w:t>
      </w:r>
      <w:r>
        <w:tab/>
      </w:r>
      <w:r>
        <w:fldChar w:fldCharType="begin"/>
      </w:r>
      <w:r>
        <w:instrText xml:space="preserve"> PAGEREF _Toc14031 \h </w:instrText>
      </w:r>
      <w:r>
        <w:fldChar w:fldCharType="separate"/>
      </w:r>
      <w:r>
        <w:t>77</w:t>
      </w:r>
      <w:r>
        <w:fldChar w:fldCharType="end"/>
      </w:r>
      <w:r>
        <w:rPr>
          <w:rFonts w:hint="eastAsia"/>
          <w:lang w:val="en-US" w:eastAsia="zh-CN"/>
        </w:rPr>
        <w:fldChar w:fldCharType="end"/>
      </w:r>
    </w:p>
    <w:p w14:paraId="14F3FF04">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_Toc173 </w:instrText>
      </w:r>
      <w:r>
        <w:rPr>
          <w:rFonts w:hint="eastAsia"/>
          <w:lang w:val="en-US" w:eastAsia="zh-CN"/>
        </w:rPr>
        <w:fldChar w:fldCharType="separate"/>
      </w:r>
      <w:r>
        <w:rPr>
          <w:rFonts w:hint="eastAsia"/>
          <w:lang w:val="en-US" w:eastAsia="zh-CN"/>
        </w:rPr>
        <w:t xml:space="preserve">5.9 </w:t>
      </w:r>
      <w:r>
        <w:rPr>
          <w:rFonts w:hint="default"/>
          <w:lang w:val="en-US" w:eastAsia="zh-CN"/>
        </w:rPr>
        <w:t>作业条件危险性分析</w:t>
      </w:r>
      <w:r>
        <w:tab/>
      </w:r>
      <w:r>
        <w:fldChar w:fldCharType="begin"/>
      </w:r>
      <w:r>
        <w:instrText xml:space="preserve"> PAGEREF _Toc173 \h </w:instrText>
      </w:r>
      <w:r>
        <w:fldChar w:fldCharType="separate"/>
      </w:r>
      <w:r>
        <w:t>77</w:t>
      </w:r>
      <w:r>
        <w:fldChar w:fldCharType="end"/>
      </w:r>
      <w:r>
        <w:rPr>
          <w:rFonts w:hint="eastAsia"/>
          <w:lang w:val="en-US" w:eastAsia="zh-CN"/>
        </w:rPr>
        <w:fldChar w:fldCharType="end"/>
      </w:r>
    </w:p>
    <w:p w14:paraId="0E16DE47">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_Toc15305 </w:instrText>
      </w:r>
      <w:r>
        <w:rPr>
          <w:rFonts w:hint="eastAsia"/>
          <w:lang w:val="en-US" w:eastAsia="zh-CN"/>
        </w:rPr>
        <w:fldChar w:fldCharType="separate"/>
      </w:r>
      <w:r>
        <w:rPr>
          <w:rFonts w:hint="default" w:ascii="Times New Roman" w:hAnsi="Times New Roman" w:cs="Times New Roman"/>
          <w:lang w:val="en-US" w:eastAsia="zh-CN"/>
        </w:rPr>
        <w:t>6. 安全对策措施及建议</w:t>
      </w:r>
      <w:r>
        <w:tab/>
      </w:r>
      <w:r>
        <w:fldChar w:fldCharType="begin"/>
      </w:r>
      <w:r>
        <w:instrText xml:space="preserve"> PAGEREF _Toc15305 \h </w:instrText>
      </w:r>
      <w:r>
        <w:fldChar w:fldCharType="separate"/>
      </w:r>
      <w:r>
        <w:t>79</w:t>
      </w:r>
      <w:r>
        <w:fldChar w:fldCharType="end"/>
      </w:r>
      <w:r>
        <w:rPr>
          <w:rFonts w:hint="eastAsia"/>
          <w:lang w:val="en-US" w:eastAsia="zh-CN"/>
        </w:rPr>
        <w:fldChar w:fldCharType="end"/>
      </w:r>
    </w:p>
    <w:p w14:paraId="779B0F18">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_Toc24677 </w:instrText>
      </w:r>
      <w:r>
        <w:rPr>
          <w:rFonts w:hint="eastAsia"/>
          <w:lang w:val="en-US" w:eastAsia="zh-CN"/>
        </w:rPr>
        <w:fldChar w:fldCharType="separate"/>
      </w:r>
      <w:r>
        <w:rPr>
          <w:rFonts w:hint="default"/>
          <w:lang w:val="en-US" w:eastAsia="zh-CN"/>
        </w:rPr>
        <w:t>6.1 安全管理对策措施建议</w:t>
      </w:r>
      <w:r>
        <w:tab/>
      </w:r>
      <w:r>
        <w:fldChar w:fldCharType="begin"/>
      </w:r>
      <w:r>
        <w:instrText xml:space="preserve"> PAGEREF _Toc24677 \h </w:instrText>
      </w:r>
      <w:r>
        <w:fldChar w:fldCharType="separate"/>
      </w:r>
      <w:r>
        <w:t>79</w:t>
      </w:r>
      <w:r>
        <w:fldChar w:fldCharType="end"/>
      </w:r>
      <w:r>
        <w:rPr>
          <w:rFonts w:hint="eastAsia"/>
          <w:lang w:val="en-US" w:eastAsia="zh-CN"/>
        </w:rPr>
        <w:fldChar w:fldCharType="end"/>
      </w:r>
    </w:p>
    <w:p w14:paraId="6EC86B99">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_Toc6906 </w:instrText>
      </w:r>
      <w:r>
        <w:rPr>
          <w:rFonts w:hint="eastAsia"/>
          <w:lang w:val="en-US" w:eastAsia="zh-CN"/>
        </w:rPr>
        <w:fldChar w:fldCharType="separate"/>
      </w:r>
      <w:r>
        <w:rPr>
          <w:rFonts w:hint="default"/>
          <w:lang w:val="en-US" w:eastAsia="zh-CN"/>
        </w:rPr>
        <w:t>6.2 露天开采安全对策措施建议</w:t>
      </w:r>
      <w:r>
        <w:tab/>
      </w:r>
      <w:r>
        <w:fldChar w:fldCharType="begin"/>
      </w:r>
      <w:r>
        <w:instrText xml:space="preserve"> PAGEREF _Toc6906 \h </w:instrText>
      </w:r>
      <w:r>
        <w:fldChar w:fldCharType="separate"/>
      </w:r>
      <w:r>
        <w:t>79</w:t>
      </w:r>
      <w:r>
        <w:fldChar w:fldCharType="end"/>
      </w:r>
      <w:r>
        <w:rPr>
          <w:rFonts w:hint="eastAsia"/>
          <w:lang w:val="en-US" w:eastAsia="zh-CN"/>
        </w:rPr>
        <w:fldChar w:fldCharType="end"/>
      </w:r>
    </w:p>
    <w:p w14:paraId="40BE426E">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_Toc31403 </w:instrText>
      </w:r>
      <w:r>
        <w:rPr>
          <w:rFonts w:hint="eastAsia"/>
          <w:lang w:val="en-US" w:eastAsia="zh-CN"/>
        </w:rPr>
        <w:fldChar w:fldCharType="separate"/>
      </w:r>
      <w:r>
        <w:rPr>
          <w:rFonts w:hint="eastAsia"/>
          <w:lang w:val="en-US" w:eastAsia="zh-CN"/>
        </w:rPr>
        <w:t>6.3 开拓运输单元对策措施</w:t>
      </w:r>
      <w:r>
        <w:tab/>
      </w:r>
      <w:r>
        <w:fldChar w:fldCharType="begin"/>
      </w:r>
      <w:r>
        <w:instrText xml:space="preserve"> PAGEREF _Toc31403 \h </w:instrText>
      </w:r>
      <w:r>
        <w:fldChar w:fldCharType="separate"/>
      </w:r>
      <w:r>
        <w:t>80</w:t>
      </w:r>
      <w:r>
        <w:fldChar w:fldCharType="end"/>
      </w:r>
      <w:r>
        <w:rPr>
          <w:rFonts w:hint="eastAsia"/>
          <w:lang w:val="en-US" w:eastAsia="zh-CN"/>
        </w:rPr>
        <w:fldChar w:fldCharType="end"/>
      </w:r>
    </w:p>
    <w:p w14:paraId="36D3DCDB">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_Toc21303 </w:instrText>
      </w:r>
      <w:r>
        <w:rPr>
          <w:rFonts w:hint="eastAsia"/>
          <w:lang w:val="en-US" w:eastAsia="zh-CN"/>
        </w:rPr>
        <w:fldChar w:fldCharType="separate"/>
      </w:r>
      <w:r>
        <w:rPr>
          <w:rFonts w:hint="eastAsia"/>
          <w:lang w:val="en-US" w:eastAsia="zh-CN"/>
        </w:rPr>
        <w:t>6.4 爆破作业安全对策措施建议</w:t>
      </w:r>
      <w:r>
        <w:tab/>
      </w:r>
      <w:r>
        <w:fldChar w:fldCharType="begin"/>
      </w:r>
      <w:r>
        <w:instrText xml:space="preserve"> PAGEREF _Toc21303 \h </w:instrText>
      </w:r>
      <w:r>
        <w:fldChar w:fldCharType="separate"/>
      </w:r>
      <w:r>
        <w:t>81</w:t>
      </w:r>
      <w:r>
        <w:fldChar w:fldCharType="end"/>
      </w:r>
      <w:r>
        <w:rPr>
          <w:rFonts w:hint="eastAsia"/>
          <w:lang w:val="en-US" w:eastAsia="zh-CN"/>
        </w:rPr>
        <w:fldChar w:fldCharType="end"/>
      </w:r>
    </w:p>
    <w:p w14:paraId="6E765903">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_Toc12523 </w:instrText>
      </w:r>
      <w:r>
        <w:rPr>
          <w:rFonts w:hint="eastAsia"/>
          <w:lang w:val="en-US" w:eastAsia="zh-CN"/>
        </w:rPr>
        <w:fldChar w:fldCharType="separate"/>
      </w:r>
      <w:r>
        <w:rPr>
          <w:rFonts w:hint="eastAsia"/>
          <w:lang w:val="en-US" w:eastAsia="zh-CN"/>
        </w:rPr>
        <w:t>6.5 供配电设施安全对策措施建议</w:t>
      </w:r>
      <w:r>
        <w:tab/>
      </w:r>
      <w:r>
        <w:fldChar w:fldCharType="begin"/>
      </w:r>
      <w:r>
        <w:instrText xml:space="preserve"> PAGEREF _Toc12523 \h </w:instrText>
      </w:r>
      <w:r>
        <w:fldChar w:fldCharType="separate"/>
      </w:r>
      <w:r>
        <w:t>82</w:t>
      </w:r>
      <w:r>
        <w:fldChar w:fldCharType="end"/>
      </w:r>
      <w:r>
        <w:rPr>
          <w:rFonts w:hint="eastAsia"/>
          <w:lang w:val="en-US" w:eastAsia="zh-CN"/>
        </w:rPr>
        <w:fldChar w:fldCharType="end"/>
      </w:r>
    </w:p>
    <w:p w14:paraId="214CE775">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_Toc14137 </w:instrText>
      </w:r>
      <w:r>
        <w:rPr>
          <w:rFonts w:hint="eastAsia"/>
          <w:lang w:val="en-US" w:eastAsia="zh-CN"/>
        </w:rPr>
        <w:fldChar w:fldCharType="separate"/>
      </w:r>
      <w:r>
        <w:rPr>
          <w:rFonts w:hint="eastAsia"/>
          <w:lang w:val="en-US" w:eastAsia="zh-CN"/>
        </w:rPr>
        <w:t>6.6 防排水与防灭火安全对策措施建议</w:t>
      </w:r>
      <w:r>
        <w:tab/>
      </w:r>
      <w:r>
        <w:fldChar w:fldCharType="begin"/>
      </w:r>
      <w:r>
        <w:instrText xml:space="preserve"> PAGEREF _Toc14137 \h </w:instrText>
      </w:r>
      <w:r>
        <w:fldChar w:fldCharType="separate"/>
      </w:r>
      <w:r>
        <w:t>83</w:t>
      </w:r>
      <w:r>
        <w:fldChar w:fldCharType="end"/>
      </w:r>
      <w:r>
        <w:rPr>
          <w:rFonts w:hint="eastAsia"/>
          <w:lang w:val="en-US" w:eastAsia="zh-CN"/>
        </w:rPr>
        <w:fldChar w:fldCharType="end"/>
      </w:r>
    </w:p>
    <w:p w14:paraId="4EE8CEE2">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_Toc1467 </w:instrText>
      </w:r>
      <w:r>
        <w:rPr>
          <w:rFonts w:hint="eastAsia"/>
          <w:lang w:val="en-US" w:eastAsia="zh-CN"/>
        </w:rPr>
        <w:fldChar w:fldCharType="separate"/>
      </w:r>
      <w:r>
        <w:rPr>
          <w:rFonts w:hint="default" w:ascii="Times New Roman" w:hAnsi="Times New Roman" w:cs="Times New Roman"/>
          <w:lang w:val="en-US" w:eastAsia="zh-CN"/>
        </w:rPr>
        <w:t>7. 评价结论</w:t>
      </w:r>
      <w:r>
        <w:tab/>
      </w:r>
      <w:r>
        <w:fldChar w:fldCharType="begin"/>
      </w:r>
      <w:r>
        <w:instrText xml:space="preserve"> PAGEREF _Toc1467 \h </w:instrText>
      </w:r>
      <w:r>
        <w:fldChar w:fldCharType="separate"/>
      </w:r>
      <w:r>
        <w:t>84</w:t>
      </w:r>
      <w:r>
        <w:fldChar w:fldCharType="end"/>
      </w:r>
      <w:r>
        <w:rPr>
          <w:rFonts w:hint="eastAsia"/>
          <w:lang w:val="en-US" w:eastAsia="zh-CN"/>
        </w:rPr>
        <w:fldChar w:fldCharType="end"/>
      </w:r>
    </w:p>
    <w:p w14:paraId="214EAD52">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_Toc30436 </w:instrText>
      </w:r>
      <w:r>
        <w:rPr>
          <w:rFonts w:hint="eastAsia"/>
          <w:lang w:val="en-US" w:eastAsia="zh-CN"/>
        </w:rPr>
        <w:fldChar w:fldCharType="separate"/>
      </w:r>
      <w:r>
        <w:rPr>
          <w:rFonts w:hint="default"/>
          <w:lang w:val="en-US" w:eastAsia="zh-CN"/>
        </w:rPr>
        <w:t>7.1</w:t>
      </w:r>
      <w:r>
        <w:rPr>
          <w:rFonts w:hint="eastAsia"/>
          <w:lang w:val="en-US" w:eastAsia="zh-CN"/>
        </w:rPr>
        <w:t xml:space="preserve"> </w:t>
      </w:r>
      <w:r>
        <w:rPr>
          <w:rFonts w:hint="default"/>
          <w:lang w:val="en-US" w:eastAsia="zh-CN"/>
        </w:rPr>
        <w:t>矿山存在的主要危险、有害因素</w:t>
      </w:r>
      <w:r>
        <w:tab/>
      </w:r>
      <w:r>
        <w:fldChar w:fldCharType="begin"/>
      </w:r>
      <w:r>
        <w:instrText xml:space="preserve"> PAGEREF _Toc30436 \h </w:instrText>
      </w:r>
      <w:r>
        <w:fldChar w:fldCharType="separate"/>
      </w:r>
      <w:r>
        <w:t>84</w:t>
      </w:r>
      <w:r>
        <w:fldChar w:fldCharType="end"/>
      </w:r>
      <w:r>
        <w:rPr>
          <w:rFonts w:hint="eastAsia"/>
          <w:lang w:val="en-US" w:eastAsia="zh-CN"/>
        </w:rPr>
        <w:fldChar w:fldCharType="end"/>
      </w:r>
    </w:p>
    <w:p w14:paraId="23900C48">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_Toc28708 </w:instrText>
      </w:r>
      <w:r>
        <w:rPr>
          <w:rFonts w:hint="eastAsia"/>
          <w:lang w:val="en-US" w:eastAsia="zh-CN"/>
        </w:rPr>
        <w:fldChar w:fldCharType="separate"/>
      </w:r>
      <w:r>
        <w:rPr>
          <w:rFonts w:hint="eastAsia"/>
          <w:lang w:val="en-US" w:eastAsia="zh-CN"/>
        </w:rPr>
        <w:t>7.2 各单元评价结果</w:t>
      </w:r>
      <w:r>
        <w:tab/>
      </w:r>
      <w:r>
        <w:fldChar w:fldCharType="begin"/>
      </w:r>
      <w:r>
        <w:instrText xml:space="preserve"> PAGEREF _Toc28708 \h </w:instrText>
      </w:r>
      <w:r>
        <w:fldChar w:fldCharType="separate"/>
      </w:r>
      <w:r>
        <w:t>84</w:t>
      </w:r>
      <w:r>
        <w:fldChar w:fldCharType="end"/>
      </w:r>
      <w:r>
        <w:rPr>
          <w:rFonts w:hint="eastAsia"/>
          <w:lang w:val="en-US" w:eastAsia="zh-CN"/>
        </w:rPr>
        <w:fldChar w:fldCharType="end"/>
      </w:r>
    </w:p>
    <w:p w14:paraId="03ED7347">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_Toc4989 </w:instrText>
      </w:r>
      <w:r>
        <w:rPr>
          <w:rFonts w:hint="eastAsia"/>
          <w:lang w:val="en-US" w:eastAsia="zh-CN"/>
        </w:rPr>
        <w:fldChar w:fldCharType="separate"/>
      </w:r>
      <w:r>
        <w:rPr>
          <w:rFonts w:hint="default"/>
          <w:lang w:val="en-US" w:eastAsia="zh-CN"/>
        </w:rPr>
        <w:t>7.</w:t>
      </w:r>
      <w:r>
        <w:rPr>
          <w:rFonts w:hint="eastAsia"/>
          <w:lang w:val="en-US" w:eastAsia="zh-CN"/>
        </w:rPr>
        <w:t>3</w:t>
      </w:r>
      <w:r>
        <w:rPr>
          <w:rFonts w:hint="default"/>
          <w:lang w:val="en-US" w:eastAsia="zh-CN"/>
        </w:rPr>
        <w:t xml:space="preserve"> 评价结论</w:t>
      </w:r>
      <w:r>
        <w:tab/>
      </w:r>
      <w:r>
        <w:fldChar w:fldCharType="begin"/>
      </w:r>
      <w:r>
        <w:instrText xml:space="preserve"> PAGEREF _Toc4989 \h </w:instrText>
      </w:r>
      <w:r>
        <w:fldChar w:fldCharType="separate"/>
      </w:r>
      <w:r>
        <w:t>85</w:t>
      </w:r>
      <w:r>
        <w:fldChar w:fldCharType="end"/>
      </w:r>
      <w:r>
        <w:rPr>
          <w:rFonts w:hint="eastAsia"/>
          <w:lang w:val="en-US" w:eastAsia="zh-CN"/>
        </w:rPr>
        <w:fldChar w:fldCharType="end"/>
      </w:r>
    </w:p>
    <w:p w14:paraId="29EE0CC0">
      <w:pPr>
        <w:pStyle w:val="13"/>
        <w:keepNext w:val="0"/>
        <w:keepLines w:val="0"/>
        <w:pageBreakBefore w:val="0"/>
        <w:widowControl w:val="0"/>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_Toc1927 </w:instrText>
      </w:r>
      <w:r>
        <w:rPr>
          <w:rFonts w:hint="eastAsia"/>
          <w:lang w:val="en-US" w:eastAsia="zh-CN"/>
        </w:rPr>
        <w:fldChar w:fldCharType="separate"/>
      </w:r>
      <w:r>
        <w:rPr>
          <w:rFonts w:hint="default" w:ascii="Times New Roman" w:hAnsi="Times New Roman" w:cs="Times New Roman"/>
          <w:lang w:val="en-US" w:eastAsia="zh-CN"/>
        </w:rPr>
        <w:t xml:space="preserve">8. </w:t>
      </w:r>
      <w:r>
        <w:rPr>
          <w:rFonts w:hint="eastAsia" w:ascii="Times New Roman" w:hAnsi="Times New Roman" w:cs="Times New Roman"/>
          <w:lang w:val="en-US" w:eastAsia="zh-CN"/>
        </w:rPr>
        <w:t>附图附件</w:t>
      </w:r>
      <w:r>
        <w:tab/>
      </w:r>
      <w:r>
        <w:fldChar w:fldCharType="begin"/>
      </w:r>
      <w:r>
        <w:instrText xml:space="preserve"> PAGEREF _Toc1927 \h </w:instrText>
      </w:r>
      <w:r>
        <w:fldChar w:fldCharType="separate"/>
      </w:r>
      <w:r>
        <w:t>86</w:t>
      </w:r>
      <w:r>
        <w:fldChar w:fldCharType="end"/>
      </w:r>
      <w:r>
        <w:rPr>
          <w:rFonts w:hint="eastAsia"/>
          <w:lang w:val="en-US" w:eastAsia="zh-CN"/>
        </w:rPr>
        <w:fldChar w:fldCharType="end"/>
      </w:r>
    </w:p>
    <w:p w14:paraId="24AAE7B5">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_Toc153 </w:instrText>
      </w:r>
      <w:r>
        <w:rPr>
          <w:rFonts w:hint="eastAsia"/>
          <w:lang w:val="en-US" w:eastAsia="zh-CN"/>
        </w:rPr>
        <w:fldChar w:fldCharType="separate"/>
      </w:r>
      <w:r>
        <w:rPr>
          <w:rFonts w:hint="eastAsia"/>
          <w:lang w:val="en-US" w:eastAsia="zh-CN"/>
        </w:rPr>
        <w:t>8.1 附图</w:t>
      </w:r>
      <w:r>
        <w:tab/>
      </w:r>
      <w:r>
        <w:fldChar w:fldCharType="begin"/>
      </w:r>
      <w:r>
        <w:instrText xml:space="preserve"> PAGEREF _Toc153 \h </w:instrText>
      </w:r>
      <w:r>
        <w:fldChar w:fldCharType="separate"/>
      </w:r>
      <w:r>
        <w:t>86</w:t>
      </w:r>
      <w:r>
        <w:fldChar w:fldCharType="end"/>
      </w:r>
      <w:r>
        <w:rPr>
          <w:rFonts w:hint="eastAsia"/>
          <w:lang w:val="en-US" w:eastAsia="zh-CN"/>
        </w:rPr>
        <w:fldChar w:fldCharType="end"/>
      </w:r>
    </w:p>
    <w:p w14:paraId="6C14E0D0">
      <w:pPr>
        <w:pStyle w:val="14"/>
        <w:keepNext w:val="0"/>
        <w:keepLines w:val="0"/>
        <w:pageBreakBefore w:val="0"/>
        <w:widowControl w:val="0"/>
        <w:tabs>
          <w:tab w:val="right" w:leader="dot" w:pos="9072"/>
        </w:tabs>
        <w:kinsoku/>
        <w:wordWrap/>
        <w:overflowPunct/>
        <w:topLinePunct w:val="0"/>
        <w:autoSpaceDE/>
        <w:autoSpaceDN/>
        <w:bidi w:val="0"/>
        <w:adjustRightInd/>
        <w:snapToGrid/>
        <w:spacing w:line="288" w:lineRule="auto"/>
        <w:textAlignment w:val="auto"/>
      </w:pPr>
      <w:r>
        <w:rPr>
          <w:rFonts w:hint="eastAsia"/>
          <w:lang w:val="en-US" w:eastAsia="zh-CN"/>
        </w:rPr>
        <w:fldChar w:fldCharType="begin"/>
      </w:r>
      <w:r>
        <w:rPr>
          <w:rFonts w:hint="eastAsia"/>
          <w:lang w:val="en-US" w:eastAsia="zh-CN"/>
        </w:rPr>
        <w:instrText xml:space="preserve"> HYPERLINK \l _Toc1922 </w:instrText>
      </w:r>
      <w:r>
        <w:rPr>
          <w:rFonts w:hint="eastAsia"/>
          <w:lang w:val="en-US" w:eastAsia="zh-CN"/>
        </w:rPr>
        <w:fldChar w:fldCharType="separate"/>
      </w:r>
      <w:r>
        <w:rPr>
          <w:rFonts w:hint="eastAsia"/>
          <w:lang w:val="en-US" w:eastAsia="zh-CN"/>
        </w:rPr>
        <w:t>8.2 附件</w:t>
      </w:r>
      <w:r>
        <w:tab/>
      </w:r>
      <w:r>
        <w:fldChar w:fldCharType="begin"/>
      </w:r>
      <w:r>
        <w:instrText xml:space="preserve"> PAGEREF _Toc1922 \h </w:instrText>
      </w:r>
      <w:r>
        <w:fldChar w:fldCharType="separate"/>
      </w:r>
      <w:r>
        <w:t>86</w:t>
      </w:r>
      <w:r>
        <w:fldChar w:fldCharType="end"/>
      </w:r>
      <w:r>
        <w:rPr>
          <w:rFonts w:hint="eastAsia"/>
          <w:lang w:val="en-US" w:eastAsia="zh-CN"/>
        </w:rPr>
        <w:fldChar w:fldCharType="end"/>
      </w:r>
    </w:p>
    <w:p w14:paraId="3DB0CEC6">
      <w:pPr>
        <w:bidi w:val="0"/>
        <w:rPr>
          <w:rFonts w:hint="eastAsia"/>
          <w:lang w:val="en-US" w:eastAsia="zh-CN"/>
        </w:rPr>
      </w:pPr>
      <w:r>
        <w:rPr>
          <w:rFonts w:hint="eastAsia"/>
          <w:lang w:val="en-US" w:eastAsia="zh-CN"/>
        </w:rPr>
        <w:fldChar w:fldCharType="end"/>
      </w:r>
    </w:p>
    <w:p w14:paraId="647FC42F">
      <w:pPr>
        <w:keepNext w:val="0"/>
        <w:keepLines w:val="0"/>
        <w:pageBreakBefore w:val="0"/>
        <w:kinsoku/>
        <w:wordWrap/>
        <w:overflowPunct/>
        <w:topLinePunct w:val="0"/>
        <w:autoSpaceDE/>
        <w:autoSpaceDN/>
        <w:bidi w:val="0"/>
        <w:adjustRightInd/>
        <w:snapToGrid/>
        <w:spacing w:line="300" w:lineRule="auto"/>
        <w:ind w:firstLine="0" w:firstLineChars="0"/>
        <w:textAlignment w:val="auto"/>
        <w:rPr>
          <w:color w:val="auto"/>
        </w:rPr>
      </w:pPr>
      <w:r>
        <w:rPr>
          <w:color w:val="auto"/>
        </w:rPr>
        <w:br w:type="page"/>
      </w:r>
    </w:p>
    <w:p w14:paraId="5A58A2C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lang w:eastAsia="zh-CN"/>
        </w:rPr>
        <w:sectPr>
          <w:headerReference r:id="rId5" w:type="default"/>
          <w:footerReference r:id="rId6" w:type="default"/>
          <w:pgSz w:w="11906" w:h="16839"/>
          <w:pgMar w:top="1417" w:right="1417" w:bottom="1417" w:left="1417" w:header="850" w:footer="992" w:gutter="0"/>
          <w:pgNumType w:fmt="upperRoman" w:start="1"/>
          <w:cols w:space="425" w:num="1"/>
          <w:rtlGutter w:val="0"/>
          <w:docGrid w:linePitch="312" w:charSpace="0"/>
        </w:sectPr>
      </w:pPr>
    </w:p>
    <w:p w14:paraId="2FAD46FF">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弋阳海螺水泥有限责任公司</w:t>
      </w:r>
    </w:p>
    <w:p w14:paraId="5C85D01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江西省弋阳县曹溪二矿区制碱用灰岩矿</w:t>
      </w:r>
    </w:p>
    <w:p w14:paraId="09246871">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b/>
          <w:bCs/>
          <w:color w:val="auto"/>
          <w:sz w:val="32"/>
          <w:szCs w:val="32"/>
        </w:rPr>
      </w:pPr>
      <w:r>
        <w:rPr>
          <w:rFonts w:hint="eastAsia" w:ascii="宋体" w:hAnsi="宋体"/>
          <w:b/>
          <w:bCs/>
          <w:color w:val="auto"/>
          <w:sz w:val="32"/>
          <w:szCs w:val="32"/>
        </w:rPr>
        <w:t>安全现状评价报告</w:t>
      </w:r>
    </w:p>
    <w:p w14:paraId="456666A9">
      <w:pPr>
        <w:pStyle w:val="2"/>
        <w:numPr>
          <w:ilvl w:val="0"/>
          <w:numId w:val="1"/>
        </w:numPr>
        <w:bidi w:val="0"/>
        <w:ind w:left="0" w:leftChars="0" w:firstLine="0" w:firstLineChars="0"/>
        <w:rPr>
          <w:rFonts w:hint="eastAsia"/>
          <w:color w:val="auto"/>
        </w:rPr>
      </w:pPr>
      <w:bookmarkStart w:id="3" w:name="_Toc17873"/>
      <w:bookmarkStart w:id="4" w:name="_Toc57620327"/>
      <w:bookmarkStart w:id="5" w:name="_Toc28683"/>
      <w:bookmarkStart w:id="6" w:name="_Toc4742"/>
      <w:bookmarkStart w:id="7" w:name="_Toc22"/>
      <w:bookmarkStart w:id="8" w:name="_Toc23817"/>
      <w:bookmarkStart w:id="9" w:name="_Toc30359"/>
      <w:bookmarkStart w:id="10" w:name="_Toc3451"/>
      <w:bookmarkStart w:id="11" w:name="_Toc18615"/>
      <w:bookmarkStart w:id="12" w:name="_Toc18786"/>
      <w:r>
        <w:rPr>
          <w:rFonts w:hint="eastAsia"/>
          <w:color w:val="auto"/>
          <w:lang w:val="en-US" w:eastAsia="zh-CN"/>
        </w:rPr>
        <w:t>评价</w:t>
      </w:r>
      <w:r>
        <w:rPr>
          <w:rFonts w:hint="eastAsia"/>
          <w:color w:val="auto"/>
        </w:rPr>
        <w:t>概述</w:t>
      </w:r>
      <w:bookmarkEnd w:id="3"/>
      <w:bookmarkEnd w:id="4"/>
      <w:bookmarkEnd w:id="5"/>
      <w:bookmarkEnd w:id="6"/>
      <w:bookmarkEnd w:id="7"/>
      <w:bookmarkEnd w:id="8"/>
      <w:bookmarkEnd w:id="9"/>
      <w:bookmarkEnd w:id="10"/>
      <w:bookmarkEnd w:id="11"/>
      <w:bookmarkEnd w:id="12"/>
    </w:p>
    <w:p w14:paraId="2A02EB2B">
      <w:pPr>
        <w:pStyle w:val="3"/>
        <w:bidi w:val="0"/>
        <w:rPr>
          <w:rFonts w:hint="eastAsia"/>
          <w:color w:val="auto"/>
        </w:rPr>
      </w:pPr>
      <w:bookmarkStart w:id="13" w:name="_Toc21198"/>
      <w:bookmarkStart w:id="14" w:name="_Toc21858"/>
      <w:bookmarkStart w:id="15" w:name="_Toc5933"/>
      <w:bookmarkStart w:id="16" w:name="_Toc23599"/>
      <w:bookmarkStart w:id="17" w:name="_Toc26891"/>
      <w:bookmarkStart w:id="18" w:name="_Toc23104"/>
      <w:bookmarkStart w:id="19" w:name="_Toc27850"/>
      <w:bookmarkStart w:id="20" w:name="_Toc23352"/>
      <w:r>
        <w:rPr>
          <w:rFonts w:hint="eastAsia"/>
          <w:color w:val="auto"/>
        </w:rPr>
        <w:t>1.1</w:t>
      </w:r>
      <w:r>
        <w:rPr>
          <w:rFonts w:hint="eastAsia"/>
          <w:color w:val="auto"/>
          <w:lang w:val="en-US" w:eastAsia="zh-CN"/>
        </w:rPr>
        <w:t xml:space="preserve"> </w:t>
      </w:r>
      <w:bookmarkEnd w:id="13"/>
      <w:bookmarkEnd w:id="14"/>
      <w:bookmarkEnd w:id="15"/>
      <w:bookmarkEnd w:id="16"/>
      <w:r>
        <w:rPr>
          <w:rFonts w:hint="eastAsia"/>
          <w:color w:val="auto"/>
        </w:rPr>
        <w:t>评价对象和范围</w:t>
      </w:r>
      <w:bookmarkEnd w:id="17"/>
      <w:bookmarkEnd w:id="18"/>
      <w:bookmarkEnd w:id="19"/>
      <w:bookmarkEnd w:id="20"/>
    </w:p>
    <w:p w14:paraId="13CC5B72">
      <w:pPr>
        <w:pStyle w:val="4"/>
        <w:bidi w:val="0"/>
        <w:rPr>
          <w:rFonts w:hint="eastAsia"/>
          <w:color w:val="auto"/>
        </w:rPr>
      </w:pPr>
      <w:bookmarkStart w:id="21" w:name="_Toc31576"/>
      <w:bookmarkStart w:id="22" w:name="_Toc20054"/>
      <w:bookmarkStart w:id="23" w:name="_Toc3150"/>
      <w:bookmarkStart w:id="24" w:name="_Toc9539"/>
      <w:bookmarkStart w:id="25" w:name="_Toc20968"/>
      <w:bookmarkStart w:id="26" w:name="_Toc11469"/>
      <w:bookmarkStart w:id="27" w:name="_Toc22933"/>
      <w:bookmarkStart w:id="28" w:name="_Toc23256"/>
      <w:r>
        <w:rPr>
          <w:rFonts w:hint="eastAsia"/>
          <w:color w:val="auto"/>
        </w:rPr>
        <w:t>1.1.1</w:t>
      </w:r>
      <w:r>
        <w:rPr>
          <w:rFonts w:hint="eastAsia"/>
          <w:color w:val="auto"/>
          <w:lang w:val="en-US" w:eastAsia="zh-CN"/>
        </w:rPr>
        <w:t xml:space="preserve"> </w:t>
      </w:r>
      <w:bookmarkEnd w:id="21"/>
      <w:bookmarkEnd w:id="22"/>
      <w:bookmarkEnd w:id="23"/>
      <w:bookmarkEnd w:id="24"/>
      <w:r>
        <w:rPr>
          <w:rFonts w:hint="eastAsia"/>
          <w:color w:val="auto"/>
        </w:rPr>
        <w:t>评价对象</w:t>
      </w:r>
      <w:bookmarkEnd w:id="25"/>
      <w:bookmarkEnd w:id="26"/>
      <w:bookmarkEnd w:id="27"/>
      <w:bookmarkEnd w:id="28"/>
    </w:p>
    <w:p w14:paraId="3168DA61">
      <w:pPr>
        <w:bidi w:val="0"/>
        <w:rPr>
          <w:rFonts w:hint="default"/>
          <w:color w:val="auto"/>
          <w:lang w:val="en-US" w:eastAsia="zh-CN"/>
        </w:rPr>
      </w:pPr>
      <w:r>
        <w:rPr>
          <w:rFonts w:hint="default"/>
          <w:color w:val="auto"/>
          <w:lang w:val="en-US" w:eastAsia="zh-CN"/>
        </w:rPr>
        <w:t>弋阳海螺水泥有限责任公司江西省弋阳县曹溪二矿区制碱用灰岩矿（以下简称：曹溪二矿）。</w:t>
      </w:r>
    </w:p>
    <w:p w14:paraId="2F39DC1A">
      <w:pPr>
        <w:pStyle w:val="4"/>
        <w:bidi w:val="0"/>
        <w:rPr>
          <w:rFonts w:hint="default"/>
          <w:color w:val="auto"/>
          <w:lang w:val="en-US" w:eastAsia="zh-CN"/>
        </w:rPr>
      </w:pPr>
      <w:bookmarkStart w:id="29" w:name="_Toc4404"/>
      <w:bookmarkStart w:id="30" w:name="_Toc29350"/>
      <w:bookmarkStart w:id="31" w:name="_Toc12047"/>
      <w:bookmarkStart w:id="32" w:name="_Toc2227"/>
      <w:r>
        <w:rPr>
          <w:rFonts w:hint="default"/>
          <w:color w:val="auto"/>
          <w:lang w:val="en-US" w:eastAsia="zh-CN"/>
        </w:rPr>
        <w:t>1.1.2 评价范围</w:t>
      </w:r>
      <w:bookmarkEnd w:id="29"/>
      <w:bookmarkEnd w:id="30"/>
      <w:bookmarkEnd w:id="31"/>
      <w:bookmarkEnd w:id="32"/>
    </w:p>
    <w:p w14:paraId="08307A9D">
      <w:pPr>
        <w:rPr>
          <w:rFonts w:hint="default"/>
          <w:color w:val="auto"/>
          <w:lang w:val="en-US" w:eastAsia="zh-CN"/>
        </w:rPr>
      </w:pPr>
      <w:r>
        <w:rPr>
          <w:rFonts w:hint="eastAsia"/>
          <w:color w:val="auto"/>
          <w:lang w:val="en-US" w:eastAsia="zh-CN"/>
        </w:rPr>
        <w:t>1. 平面范围：</w:t>
      </w:r>
      <w:r>
        <w:rPr>
          <w:rFonts w:hint="default"/>
          <w:color w:val="auto"/>
          <w:lang w:val="en-US" w:eastAsia="zh-CN"/>
        </w:rPr>
        <w:t>曹溪二矿采矿许可证核定的矿区范围</w:t>
      </w:r>
      <w:r>
        <w:rPr>
          <w:rFonts w:hint="eastAsia"/>
          <w:color w:val="auto"/>
          <w:lang w:val="en-US" w:eastAsia="zh-CN"/>
        </w:rPr>
        <w:t>，</w:t>
      </w:r>
      <w:r>
        <w:rPr>
          <w:rFonts w:hint="default"/>
          <w:color w:val="auto"/>
          <w:lang w:val="en-US" w:eastAsia="zh-CN"/>
        </w:rPr>
        <w:t>包含</w:t>
      </w:r>
      <w:r>
        <w:rPr>
          <w:rFonts w:hint="eastAsia"/>
          <w:color w:val="auto"/>
          <w:lang w:val="en-US" w:eastAsia="zh-CN"/>
        </w:rPr>
        <w:t>：</w:t>
      </w:r>
      <w:r>
        <w:rPr>
          <w:rFonts w:hint="default"/>
          <w:color w:val="auto"/>
          <w:lang w:val="en-US" w:eastAsia="zh-CN"/>
        </w:rPr>
        <w:t>矿山开拓运输、采剥作业、爆破作业、供配电、防排水、防灭火等矿山生产、辅助系统的安全设施和矿山安全管理。</w:t>
      </w:r>
    </w:p>
    <w:p w14:paraId="15C3DE67">
      <w:pPr>
        <w:rPr>
          <w:rFonts w:hint="default"/>
          <w:color w:val="auto"/>
          <w:lang w:val="en-US" w:eastAsia="zh-CN"/>
        </w:rPr>
      </w:pPr>
      <w:r>
        <w:rPr>
          <w:rFonts w:hint="eastAsia"/>
          <w:color w:val="auto"/>
          <w:lang w:val="en-US" w:eastAsia="zh-CN"/>
        </w:rPr>
        <w:t>2. 高程范围：</w:t>
      </w:r>
      <w:r>
        <w:rPr>
          <w:rFonts w:hint="default"/>
          <w:color w:val="auto"/>
          <w:lang w:val="en-US" w:eastAsia="zh-CN"/>
        </w:rPr>
        <w:t>+</w:t>
      </w:r>
      <w:r>
        <w:rPr>
          <w:rFonts w:hint="eastAsia"/>
          <w:color w:val="auto"/>
          <w:lang w:val="en-US" w:eastAsia="zh-CN"/>
        </w:rPr>
        <w:t>329</w:t>
      </w:r>
      <w:r>
        <w:rPr>
          <w:rFonts w:hint="default"/>
          <w:color w:val="auto"/>
          <w:lang w:val="en-US" w:eastAsia="zh-CN"/>
        </w:rPr>
        <w:t>m～+100m标高。</w:t>
      </w:r>
    </w:p>
    <w:p w14:paraId="6C1BDF28">
      <w:pPr>
        <w:rPr>
          <w:rFonts w:hint="eastAsia"/>
          <w:color w:val="auto"/>
          <w:lang w:val="en-US" w:eastAsia="zh-CN"/>
        </w:rPr>
      </w:pPr>
      <w:r>
        <w:rPr>
          <w:rFonts w:hint="eastAsia"/>
          <w:color w:val="auto"/>
          <w:lang w:val="en-US" w:eastAsia="zh-CN"/>
        </w:rPr>
        <w:t>3. 评价范围不包括：环境影响、职业病危害、破碎系统及其供配电设施、皮带输送系统以及对应的供配电设施、炸药库等。</w:t>
      </w:r>
    </w:p>
    <w:p w14:paraId="444797FD">
      <w:pPr>
        <w:pStyle w:val="3"/>
        <w:bidi w:val="0"/>
        <w:rPr>
          <w:rFonts w:hint="default"/>
          <w:color w:val="auto"/>
          <w:lang w:val="en-US" w:eastAsia="zh-CN"/>
        </w:rPr>
      </w:pPr>
      <w:bookmarkStart w:id="33" w:name="_Toc1256"/>
      <w:bookmarkStart w:id="34" w:name="_Toc9504"/>
      <w:bookmarkStart w:id="35" w:name="_Toc14820"/>
      <w:bookmarkStart w:id="36" w:name="_Toc1810"/>
      <w:r>
        <w:rPr>
          <w:rFonts w:hint="default"/>
          <w:color w:val="auto"/>
          <w:lang w:val="en-US" w:eastAsia="zh-CN"/>
        </w:rPr>
        <w:t>1.2 评价目的和内容</w:t>
      </w:r>
      <w:bookmarkEnd w:id="33"/>
      <w:bookmarkEnd w:id="34"/>
      <w:bookmarkEnd w:id="35"/>
      <w:bookmarkEnd w:id="36"/>
    </w:p>
    <w:p w14:paraId="4B8B1D58">
      <w:pPr>
        <w:pStyle w:val="4"/>
        <w:bidi w:val="0"/>
        <w:rPr>
          <w:rFonts w:hint="default"/>
          <w:color w:val="auto"/>
          <w:lang w:val="en-US" w:eastAsia="zh-CN"/>
        </w:rPr>
      </w:pPr>
      <w:bookmarkStart w:id="37" w:name="_Toc19607"/>
      <w:bookmarkStart w:id="38" w:name="_Toc3535"/>
      <w:bookmarkStart w:id="39" w:name="_Toc23068"/>
      <w:bookmarkStart w:id="40" w:name="_Toc29611"/>
      <w:r>
        <w:rPr>
          <w:rFonts w:hint="default"/>
          <w:color w:val="auto"/>
          <w:lang w:val="en-US" w:eastAsia="zh-CN"/>
        </w:rPr>
        <w:t>1.2.1</w:t>
      </w:r>
      <w:r>
        <w:rPr>
          <w:rFonts w:hint="eastAsia"/>
          <w:color w:val="auto"/>
          <w:lang w:val="en-US" w:eastAsia="zh-CN"/>
        </w:rPr>
        <w:t xml:space="preserve"> </w:t>
      </w:r>
      <w:r>
        <w:rPr>
          <w:rFonts w:hint="default"/>
          <w:color w:val="auto"/>
          <w:lang w:val="en-US" w:eastAsia="zh-CN"/>
        </w:rPr>
        <w:t>评价目的</w:t>
      </w:r>
      <w:bookmarkEnd w:id="37"/>
      <w:bookmarkEnd w:id="38"/>
      <w:bookmarkEnd w:id="39"/>
      <w:bookmarkEnd w:id="40"/>
    </w:p>
    <w:p w14:paraId="5911CCDE">
      <w:pPr>
        <w:rPr>
          <w:rFonts w:hint="default"/>
          <w:color w:val="auto"/>
          <w:lang w:val="en-US" w:eastAsia="zh-CN"/>
        </w:rPr>
      </w:pPr>
      <w:r>
        <w:rPr>
          <w:rFonts w:hint="default"/>
          <w:color w:val="auto"/>
          <w:lang w:val="en-US" w:eastAsia="zh-CN"/>
        </w:rPr>
        <w:t>为了贯彻</w:t>
      </w:r>
      <w:r>
        <w:rPr>
          <w:rFonts w:hint="eastAsia"/>
          <w:color w:val="auto"/>
          <w:lang w:val="en-US" w:eastAsia="zh-CN"/>
        </w:rPr>
        <w:t>“</w:t>
      </w:r>
      <w:r>
        <w:rPr>
          <w:rFonts w:hint="default"/>
          <w:color w:val="auto"/>
          <w:lang w:val="en-US" w:eastAsia="zh-CN"/>
        </w:rPr>
        <w:t>安全第一、预防为主、综合治理</w:t>
      </w:r>
      <w:r>
        <w:rPr>
          <w:rFonts w:hint="eastAsia"/>
          <w:color w:val="auto"/>
          <w:lang w:val="en-US" w:eastAsia="zh-CN"/>
        </w:rPr>
        <w:t>”</w:t>
      </w:r>
      <w:r>
        <w:rPr>
          <w:rFonts w:hint="default"/>
          <w:color w:val="auto"/>
          <w:lang w:val="en-US" w:eastAsia="zh-CN"/>
        </w:rPr>
        <w:t>的安全生产方针，在评价项目生命周期内的生产运行期，通过对矿山的生产设备设施、安全装置实际运行状况及现场管理状况的调查、分析，运用安全系统工程的方法，进行危险、有害因素的识别及其危险度的评价，查找系统生产运行中存在的安全事故隐患并判定其危险程度，提出合理可行的安全对策措施及建议，指导危险源监控和事故预防，以达到最低事故率，最少损失和最优的安全投资效益，确保矿山在安全设施、保护装置方面符合国家的有关法律法规、规章标准及其他要求。</w:t>
      </w:r>
    </w:p>
    <w:p w14:paraId="3220BEED">
      <w:pPr>
        <w:rPr>
          <w:rFonts w:hint="default"/>
          <w:color w:val="auto"/>
          <w:lang w:val="en-US" w:eastAsia="zh-CN"/>
        </w:rPr>
      </w:pPr>
      <w:r>
        <w:rPr>
          <w:rFonts w:hint="default"/>
          <w:color w:val="auto"/>
          <w:lang w:val="en-US" w:eastAsia="zh-CN"/>
        </w:rPr>
        <w:t>本次评价是对曹溪二矿的主要生产系统的安全设施进行危险、有害因素的识别及其危险度的评价，对矿山安全管理、安全设备设施进行符合性评价，提出合理可行的安全对策措施及建议，促进矿山本质安全化建设，也为矿山安全生产许可证延期换证提供技术依据。</w:t>
      </w:r>
    </w:p>
    <w:p w14:paraId="35484B61">
      <w:pPr>
        <w:pStyle w:val="4"/>
        <w:bidi w:val="0"/>
        <w:rPr>
          <w:rFonts w:hint="default"/>
          <w:color w:val="auto"/>
          <w:lang w:val="en-US" w:eastAsia="zh-CN"/>
        </w:rPr>
      </w:pPr>
      <w:bookmarkStart w:id="41" w:name="_Toc3585"/>
      <w:bookmarkStart w:id="42" w:name="_Toc32654"/>
      <w:bookmarkStart w:id="43" w:name="_Toc20430"/>
      <w:bookmarkStart w:id="44" w:name="_Toc16389"/>
      <w:r>
        <w:rPr>
          <w:rFonts w:hint="default"/>
          <w:color w:val="auto"/>
          <w:lang w:val="en-US" w:eastAsia="zh-CN"/>
        </w:rPr>
        <w:t>1.2.2</w:t>
      </w:r>
      <w:r>
        <w:rPr>
          <w:rFonts w:hint="eastAsia"/>
          <w:color w:val="auto"/>
          <w:lang w:val="en-US" w:eastAsia="zh-CN"/>
        </w:rPr>
        <w:t xml:space="preserve"> </w:t>
      </w:r>
      <w:r>
        <w:rPr>
          <w:rFonts w:hint="default"/>
          <w:color w:val="auto"/>
          <w:lang w:val="en-US" w:eastAsia="zh-CN"/>
        </w:rPr>
        <w:t>评价内容</w:t>
      </w:r>
      <w:bookmarkEnd w:id="41"/>
      <w:bookmarkEnd w:id="42"/>
      <w:bookmarkEnd w:id="43"/>
      <w:bookmarkEnd w:id="44"/>
    </w:p>
    <w:p w14:paraId="787C5EA7">
      <w:pPr>
        <w:rPr>
          <w:rFonts w:hint="default"/>
          <w:color w:val="auto"/>
          <w:lang w:val="en-US" w:eastAsia="zh-CN"/>
        </w:rPr>
      </w:pPr>
      <w:r>
        <w:rPr>
          <w:rFonts w:hint="default"/>
          <w:color w:val="auto"/>
          <w:lang w:val="en-US" w:eastAsia="zh-CN"/>
        </w:rPr>
        <w:t>通过对曹溪二矿安全生产方面资料收集以及现场安全状况的检查调研，对如下内容进行评价：</w:t>
      </w:r>
    </w:p>
    <w:p w14:paraId="42F14C2D">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识别评价项目生产中的危险、有害因素，确定其危险度；</w:t>
      </w:r>
    </w:p>
    <w:p w14:paraId="2EC52761">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评价安全管理模式对确保安全生产的适应性，评价安全生产责任制、安全管理机构及安全管理人员、安全生产制度等安全管理相关内容是否满足安全生产法律法规和技术标准的要求及其落实执行情况，说明现行企业安全管理模式是否满足安全生产的要求；</w:t>
      </w:r>
    </w:p>
    <w:p w14:paraId="0D6D0002">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评价各生产系统和辅助系统及其生产工艺采用的设施、设备是否满足安全生产法律法规和技术标准的要求；</w:t>
      </w:r>
    </w:p>
    <w:p w14:paraId="00D317DF">
      <w:pPr>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评价矿山对可能产生的危险、有害因素，制订的安全措施的针对性、适应性、有效性；</w:t>
      </w:r>
    </w:p>
    <w:p w14:paraId="536548C9">
      <w:pPr>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评价安全生产保障体系的系统性、充分性和有效性，明确其是否满足实现安全生产的要求；</w:t>
      </w:r>
    </w:p>
    <w:p w14:paraId="7B711AC2">
      <w:pPr>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对评价项目可能产生的危险、有害因素提出合理可行的安全对策措施及建议。</w:t>
      </w:r>
    </w:p>
    <w:p w14:paraId="283EC647">
      <w:pPr>
        <w:pStyle w:val="3"/>
        <w:bidi w:val="0"/>
        <w:rPr>
          <w:rFonts w:hint="default"/>
          <w:lang w:val="en-US" w:eastAsia="zh-CN"/>
        </w:rPr>
      </w:pPr>
      <w:bookmarkStart w:id="45" w:name="_Toc28392"/>
      <w:bookmarkStart w:id="46" w:name="_Toc2233"/>
      <w:bookmarkStart w:id="47" w:name="_Toc15387"/>
      <w:bookmarkStart w:id="48" w:name="_Toc22401"/>
      <w:r>
        <w:rPr>
          <w:rFonts w:hint="default"/>
          <w:lang w:val="en-US" w:eastAsia="zh-CN"/>
        </w:rPr>
        <w:t>1.3 评价依据</w:t>
      </w:r>
      <w:bookmarkEnd w:id="45"/>
      <w:bookmarkEnd w:id="46"/>
      <w:bookmarkEnd w:id="47"/>
      <w:bookmarkEnd w:id="48"/>
    </w:p>
    <w:p w14:paraId="504021F3">
      <w:pPr>
        <w:pStyle w:val="4"/>
        <w:bidi w:val="0"/>
        <w:rPr>
          <w:rFonts w:hint="default"/>
          <w:color w:val="auto"/>
          <w:lang w:val="en-US" w:eastAsia="zh-CN"/>
        </w:rPr>
      </w:pPr>
      <w:bookmarkStart w:id="49" w:name="_Toc25667"/>
      <w:bookmarkStart w:id="50" w:name="_Toc19155"/>
      <w:bookmarkStart w:id="51" w:name="_Toc23992"/>
      <w:bookmarkStart w:id="52" w:name="_Toc20784"/>
      <w:r>
        <w:rPr>
          <w:rFonts w:hint="default"/>
          <w:color w:val="auto"/>
          <w:lang w:val="en-US" w:eastAsia="zh-CN"/>
        </w:rPr>
        <w:t>1.3.1 法律、法规</w:t>
      </w:r>
      <w:bookmarkEnd w:id="49"/>
      <w:bookmarkEnd w:id="50"/>
      <w:bookmarkEnd w:id="51"/>
      <w:bookmarkEnd w:id="52"/>
    </w:p>
    <w:p w14:paraId="70E73DA3">
      <w:pPr>
        <w:bidi w:val="0"/>
        <w:rPr>
          <w:rFonts w:hint="default"/>
          <w:lang w:val="en-US" w:eastAsia="zh-CN"/>
        </w:rPr>
      </w:pPr>
      <w:r>
        <w:rPr>
          <w:rFonts w:hint="default"/>
          <w:lang w:val="en-US" w:eastAsia="zh-CN"/>
        </w:rPr>
        <w:t>《中华人民共和国矿产资源法》（主席令〔1986〕36号发布，依次经主席令〔1996〕74号、主席令〔2009〕18号、主席令〔2024〕36号修正，自1986年10月1日起施行）</w:t>
      </w:r>
    </w:p>
    <w:p w14:paraId="0E255994">
      <w:pPr>
        <w:bidi w:val="0"/>
        <w:rPr>
          <w:rFonts w:hint="default"/>
          <w:color w:val="auto"/>
          <w:lang w:val="en-US" w:eastAsia="zh-CN"/>
        </w:rPr>
      </w:pPr>
      <w:r>
        <w:rPr>
          <w:rFonts w:hint="default"/>
          <w:lang w:val="en-US" w:eastAsia="zh-CN"/>
        </w:rPr>
        <w:t>《中华人民共和国环境保护法》（主席令〔1989〕22号发布，经主席令〔2014〕9号修正，自1989年</w:t>
      </w:r>
      <w:r>
        <w:rPr>
          <w:rFonts w:hint="default"/>
          <w:color w:val="auto"/>
          <w:lang w:val="en-US" w:eastAsia="zh-CN"/>
        </w:rPr>
        <w:t>12月26日起施行）</w:t>
      </w:r>
    </w:p>
    <w:p w14:paraId="708C007E">
      <w:pPr>
        <w:rPr>
          <w:rFonts w:hint="default"/>
          <w:color w:val="auto"/>
          <w:lang w:val="en-US" w:eastAsia="zh-CN"/>
        </w:rPr>
      </w:pPr>
      <w:r>
        <w:rPr>
          <w:rFonts w:hint="default"/>
          <w:color w:val="auto"/>
          <w:lang w:val="en-US" w:eastAsia="zh-CN"/>
        </w:rPr>
        <w:t>《中华人民共和国水土保持法》（主席令〔1991〕49号发布，依次经主席令〔2009〕18号、主席令〔2010〕39号修正，自1991年6月29日起施行）</w:t>
      </w:r>
    </w:p>
    <w:p w14:paraId="6BAA863B">
      <w:pPr>
        <w:rPr>
          <w:rFonts w:hint="default"/>
          <w:color w:val="auto"/>
          <w:lang w:val="en-US" w:eastAsia="zh-CN"/>
        </w:rPr>
      </w:pPr>
      <w:r>
        <w:rPr>
          <w:rFonts w:hint="default"/>
          <w:color w:val="auto"/>
          <w:lang w:val="en-US" w:eastAsia="zh-CN"/>
        </w:rPr>
        <w:t>《中华人民共和国矿山安全法》（主席令〔1992〕65号发布，经主席令〔2009〕18号修正，自1993年5月1日起施行）</w:t>
      </w:r>
    </w:p>
    <w:p w14:paraId="08EACA4C">
      <w:pPr>
        <w:rPr>
          <w:rFonts w:hint="default"/>
          <w:color w:val="auto"/>
          <w:lang w:val="en-US" w:eastAsia="zh-CN"/>
        </w:rPr>
      </w:pPr>
      <w:r>
        <w:rPr>
          <w:rFonts w:hint="default"/>
          <w:color w:val="auto"/>
          <w:lang w:val="en-US" w:eastAsia="zh-CN"/>
        </w:rPr>
        <w:t>《中华人民共和国劳动法》（主席令〔1994〕28号发布，依次经主席令〔2009〕18号、主席令〔2018〕24号修正，自1995年1月1日起施行）</w:t>
      </w:r>
    </w:p>
    <w:p w14:paraId="77FB47D0">
      <w:pPr>
        <w:rPr>
          <w:rFonts w:hint="default"/>
          <w:color w:val="auto"/>
          <w:lang w:val="en-US" w:eastAsia="zh-CN"/>
        </w:rPr>
      </w:pPr>
      <w:r>
        <w:rPr>
          <w:rFonts w:hint="default"/>
          <w:color w:val="auto"/>
          <w:lang w:val="en-US" w:eastAsia="zh-CN"/>
        </w:rPr>
        <w:t>《中华人民共和国固体废物污染环境防治法》（主席令〔1995〕58号发布，依次经主席令〔2004〕31号、主席令〔2013〕5号、主席令〔2015〕23号、主席令〔2016〕57号、主席令〔2020〕43号修正，自1996年4月1日起施行）</w:t>
      </w:r>
    </w:p>
    <w:p w14:paraId="04602642">
      <w:pPr>
        <w:rPr>
          <w:rFonts w:hint="default"/>
          <w:color w:val="auto"/>
          <w:lang w:val="en-US" w:eastAsia="zh-CN"/>
        </w:rPr>
      </w:pPr>
      <w:r>
        <w:rPr>
          <w:rFonts w:hint="default"/>
          <w:color w:val="auto"/>
          <w:lang w:val="en-US" w:eastAsia="zh-CN"/>
        </w:rPr>
        <w:t>《中华人民共和国防洪法》（主席令〔1997〕第88号发布，依次经主席令〔2009〕第18号、主席令〔2015〕第23号、主席令〔2016〕第48号修正，自1998年1月1日起施行）</w:t>
      </w:r>
    </w:p>
    <w:p w14:paraId="3AF43C7A">
      <w:pPr>
        <w:rPr>
          <w:rFonts w:hint="default"/>
          <w:color w:val="auto"/>
          <w:lang w:val="en-US" w:eastAsia="zh-CN"/>
        </w:rPr>
      </w:pPr>
      <w:r>
        <w:rPr>
          <w:rFonts w:hint="default"/>
          <w:color w:val="auto"/>
          <w:lang w:val="en-US" w:eastAsia="zh-CN"/>
        </w:rPr>
        <w:t>《中华人民共和国防震减灾法》（主席令〔1997〕94号发布，经主席令〔2008〕7号修正，自1997年12月29日起施行）</w:t>
      </w:r>
    </w:p>
    <w:p w14:paraId="68348A06">
      <w:pPr>
        <w:rPr>
          <w:rFonts w:hint="default"/>
          <w:color w:val="auto"/>
          <w:lang w:val="en-US" w:eastAsia="zh-CN"/>
        </w:rPr>
      </w:pPr>
      <w:r>
        <w:rPr>
          <w:rFonts w:hint="default"/>
          <w:color w:val="auto"/>
          <w:lang w:val="en-US" w:eastAsia="zh-CN"/>
        </w:rPr>
        <w:t>《中华人民共和国消防法》（主席令〔1998〕4号发布，依次经主席令〔2008〕6号、主席令〔2019〕29号、主席令〔2021〕81号修正，自1998年9月1日起施行）</w:t>
      </w:r>
    </w:p>
    <w:p w14:paraId="7F747879">
      <w:pPr>
        <w:rPr>
          <w:rFonts w:hint="default"/>
          <w:color w:val="auto"/>
          <w:lang w:val="en-US" w:eastAsia="zh-CN"/>
        </w:rPr>
      </w:pPr>
      <w:r>
        <w:rPr>
          <w:rFonts w:hint="default"/>
          <w:color w:val="auto"/>
          <w:lang w:val="en-US" w:eastAsia="zh-CN"/>
        </w:rPr>
        <w:t>《中华人民共和国气象法》（主席令〔1999〕23号发布，依次经主席令〔2009〕18号、主席令〔2014〕14号、主席令〔2016〕57号修正，自2000年1月1日起实施）</w:t>
      </w:r>
    </w:p>
    <w:p w14:paraId="0D908B68">
      <w:pPr>
        <w:rPr>
          <w:rFonts w:hint="default"/>
          <w:color w:val="auto"/>
          <w:lang w:val="en-US" w:eastAsia="zh-CN"/>
        </w:rPr>
      </w:pPr>
      <w:r>
        <w:rPr>
          <w:rFonts w:hint="default"/>
          <w:color w:val="auto"/>
          <w:lang w:val="en-US" w:eastAsia="zh-CN"/>
        </w:rPr>
        <w:t>《中华人民共和国职业病防治法》（主席令〔2001〕60号发布，依次经主席令〔2011〕52号、主席令〔2016〕48号、主席令〔2017〕81号、主席令〔2018〕24号修正，自2002年5月1日起施行）</w:t>
      </w:r>
    </w:p>
    <w:p w14:paraId="71105959">
      <w:pPr>
        <w:rPr>
          <w:rFonts w:hint="default"/>
          <w:color w:val="auto"/>
          <w:lang w:val="en-US" w:eastAsia="zh-CN"/>
        </w:rPr>
      </w:pPr>
      <w:r>
        <w:rPr>
          <w:rFonts w:hint="default"/>
          <w:color w:val="auto"/>
          <w:lang w:val="en-US" w:eastAsia="zh-CN"/>
        </w:rPr>
        <w:t>《中华人民共和国安全生产法》（主席令〔2002〕70号发布，依次经主席令〔2009〕18号、主席令〔2014〕13号、主席令〔2021〕88号修正，自2002年11月1日起施行）</w:t>
      </w:r>
    </w:p>
    <w:p w14:paraId="496348E8">
      <w:pPr>
        <w:rPr>
          <w:rFonts w:hint="default"/>
          <w:color w:val="auto"/>
          <w:lang w:val="en-US" w:eastAsia="zh-CN"/>
        </w:rPr>
      </w:pPr>
      <w:r>
        <w:rPr>
          <w:rFonts w:hint="default"/>
          <w:color w:val="auto"/>
          <w:lang w:val="en-US" w:eastAsia="zh-CN"/>
        </w:rPr>
        <w:t>《中华人民共和国突发事件应对法》（主席令〔2007〕69号发布，经主席令〔2024〕25号修正，自2007年11月1日起施行）</w:t>
      </w:r>
    </w:p>
    <w:p w14:paraId="194E20E2">
      <w:pPr>
        <w:rPr>
          <w:rFonts w:hint="default"/>
          <w:color w:val="auto"/>
          <w:lang w:val="en-US" w:eastAsia="zh-CN"/>
        </w:rPr>
      </w:pPr>
      <w:r>
        <w:rPr>
          <w:rFonts w:hint="default"/>
          <w:color w:val="auto"/>
          <w:lang w:val="en-US" w:eastAsia="zh-CN"/>
        </w:rPr>
        <w:t>《中华人民共和国特种设备安全法》（主席令〔2013〕4号发布，自2014年1月1日起实施）</w:t>
      </w:r>
    </w:p>
    <w:p w14:paraId="0461FF7D">
      <w:pPr>
        <w:rPr>
          <w:rFonts w:hint="default"/>
          <w:color w:val="auto"/>
          <w:lang w:val="en-US" w:eastAsia="zh-CN"/>
        </w:rPr>
      </w:pPr>
      <w:r>
        <w:rPr>
          <w:rFonts w:hint="default"/>
          <w:color w:val="auto"/>
          <w:lang w:val="en-US" w:eastAsia="zh-CN"/>
        </w:rPr>
        <w:t>《中华人民共和国尘肺病防治条例》（国发〔1987〕105号发布，自1987年12月3日起实施）</w:t>
      </w:r>
    </w:p>
    <w:p w14:paraId="2FF3B695">
      <w:pPr>
        <w:rPr>
          <w:rFonts w:hint="default"/>
          <w:color w:val="auto"/>
          <w:lang w:val="en-US" w:eastAsia="zh-CN"/>
        </w:rPr>
      </w:pPr>
      <w:r>
        <w:rPr>
          <w:rFonts w:hint="default"/>
          <w:color w:val="auto"/>
          <w:lang w:val="en-US" w:eastAsia="zh-CN"/>
        </w:rPr>
        <w:t>《建设工程质量管理条例》（国务院令〔2000〕279号发布，依次经国务院令〔2017〕687号、国务院令〔2019〕714号修正，自2000年1月30日起施行）</w:t>
      </w:r>
    </w:p>
    <w:p w14:paraId="4F82FFF8">
      <w:pPr>
        <w:rPr>
          <w:rFonts w:hint="default"/>
          <w:color w:val="auto"/>
          <w:lang w:val="en-US" w:eastAsia="zh-CN"/>
        </w:rPr>
      </w:pPr>
      <w:r>
        <w:rPr>
          <w:rFonts w:hint="default"/>
          <w:color w:val="auto"/>
          <w:lang w:val="en-US" w:eastAsia="zh-CN"/>
        </w:rPr>
        <w:t>《建设工程勘察设计管理条例》（国务院令〔2000〕293号发布，依次经国务院令〔2015〕662号、国务院令〔2017〕687号修正，自2000年9月25日起施行）</w:t>
      </w:r>
    </w:p>
    <w:p w14:paraId="36410008">
      <w:pPr>
        <w:rPr>
          <w:rFonts w:hint="default"/>
          <w:color w:val="auto"/>
          <w:lang w:val="en-US" w:eastAsia="zh-CN"/>
        </w:rPr>
      </w:pPr>
      <w:r>
        <w:rPr>
          <w:rFonts w:hint="default"/>
          <w:color w:val="auto"/>
          <w:lang w:val="en-US" w:eastAsia="zh-CN"/>
        </w:rPr>
        <w:t>《特种设备</w:t>
      </w:r>
      <w:r>
        <w:rPr>
          <w:rFonts w:hint="eastAsia"/>
          <w:color w:val="auto"/>
          <w:lang w:val="en-US" w:eastAsia="zh-CN"/>
        </w:rPr>
        <w:t>安全</w:t>
      </w:r>
      <w:r>
        <w:rPr>
          <w:rFonts w:hint="default"/>
          <w:color w:val="auto"/>
          <w:lang w:val="en-US" w:eastAsia="zh-CN"/>
        </w:rPr>
        <w:t>监察条例》（国务院令〔2003〕373号发布，经国务院令〔2009〕549号修正，自2003年6月1日起施行）</w:t>
      </w:r>
    </w:p>
    <w:p w14:paraId="22FEBE6C">
      <w:pPr>
        <w:rPr>
          <w:rFonts w:hint="default"/>
          <w:color w:val="auto"/>
          <w:lang w:val="en-US" w:eastAsia="zh-CN"/>
        </w:rPr>
      </w:pPr>
      <w:r>
        <w:rPr>
          <w:rFonts w:hint="default"/>
          <w:color w:val="auto"/>
          <w:lang w:val="en-US" w:eastAsia="zh-CN"/>
        </w:rPr>
        <w:t>《工伤保险条例》（国务院令〔2003〕375号发布，经国务院令〔2010〕586号修正，自2004年1月1日起施行）</w:t>
      </w:r>
    </w:p>
    <w:p w14:paraId="3556DE4B">
      <w:pPr>
        <w:rPr>
          <w:rFonts w:hint="default"/>
          <w:color w:val="auto"/>
          <w:lang w:val="en-US" w:eastAsia="zh-CN"/>
        </w:rPr>
      </w:pPr>
      <w:r>
        <w:rPr>
          <w:rFonts w:hint="default"/>
          <w:color w:val="auto"/>
          <w:lang w:val="en-US" w:eastAsia="zh-CN"/>
        </w:rPr>
        <w:t>《建设工程安全生产管理条例》（国务院令〔2003〕393号发布，自2004年2月1日起施行）</w:t>
      </w:r>
    </w:p>
    <w:p w14:paraId="75B24184">
      <w:pPr>
        <w:rPr>
          <w:rFonts w:hint="default"/>
          <w:color w:val="auto"/>
          <w:lang w:val="en-US" w:eastAsia="zh-CN"/>
        </w:rPr>
      </w:pPr>
      <w:r>
        <w:rPr>
          <w:rFonts w:hint="default"/>
          <w:color w:val="auto"/>
          <w:lang w:val="en-US" w:eastAsia="zh-CN"/>
        </w:rPr>
        <w:t>《地质灾害防治条例》（国务院令〔2003〕394号发布，自2004年3月1日起施行）</w:t>
      </w:r>
    </w:p>
    <w:p w14:paraId="78473E17">
      <w:pPr>
        <w:rPr>
          <w:rFonts w:hint="default"/>
          <w:color w:val="auto"/>
          <w:lang w:val="en-US" w:eastAsia="zh-CN"/>
        </w:rPr>
      </w:pPr>
      <w:r>
        <w:rPr>
          <w:rFonts w:hint="default"/>
          <w:color w:val="auto"/>
          <w:lang w:val="en-US" w:eastAsia="zh-CN"/>
        </w:rPr>
        <w:t>《安全生产许可证条例》（国务院令〔2004〕397号发布，依次经国务院令〔2013〕638号、国务院令〔2014〕653号修正，自2004年1月13日起施行）</w:t>
      </w:r>
    </w:p>
    <w:p w14:paraId="387C412B">
      <w:pPr>
        <w:rPr>
          <w:rFonts w:hint="default"/>
          <w:color w:val="auto"/>
          <w:lang w:val="en-US" w:eastAsia="zh-CN"/>
        </w:rPr>
      </w:pPr>
      <w:r>
        <w:rPr>
          <w:rFonts w:hint="default"/>
          <w:color w:val="auto"/>
          <w:lang w:val="en-US" w:eastAsia="zh-CN"/>
        </w:rPr>
        <w:t>《劳动保障监察条例》（国务院令〔2004〕423号发布，自2004年12月1日起施行）</w:t>
      </w:r>
    </w:p>
    <w:p w14:paraId="4BC24A40">
      <w:pPr>
        <w:rPr>
          <w:rFonts w:hint="default"/>
          <w:color w:val="auto"/>
          <w:lang w:val="en-US" w:eastAsia="zh-CN"/>
        </w:rPr>
      </w:pPr>
      <w:r>
        <w:rPr>
          <w:rFonts w:hint="default"/>
          <w:color w:val="auto"/>
          <w:lang w:val="en-US" w:eastAsia="zh-CN"/>
        </w:rPr>
        <w:t>《民用爆炸物品安全管理条例》（国务院令〔2006〕466号发布，经国务院令〔2014〕653号修正，自2006年9月1日起施行）</w:t>
      </w:r>
    </w:p>
    <w:p w14:paraId="4077BA12">
      <w:pPr>
        <w:rPr>
          <w:rFonts w:hint="default"/>
          <w:color w:val="auto"/>
          <w:lang w:val="en-US" w:eastAsia="zh-CN"/>
        </w:rPr>
      </w:pPr>
      <w:r>
        <w:rPr>
          <w:rFonts w:hint="default"/>
          <w:color w:val="auto"/>
          <w:lang w:val="en-US" w:eastAsia="zh-CN"/>
        </w:rPr>
        <w:t>《生产安全事故报告和调查处理条例》（国务院令〔2007〕493号发布，自2007年6月1日起施行）</w:t>
      </w:r>
    </w:p>
    <w:p w14:paraId="06FA3843">
      <w:pPr>
        <w:rPr>
          <w:rFonts w:hint="default"/>
          <w:color w:val="auto"/>
          <w:lang w:val="en-US" w:eastAsia="zh-CN"/>
        </w:rPr>
      </w:pPr>
      <w:r>
        <w:rPr>
          <w:rFonts w:hint="default"/>
          <w:color w:val="auto"/>
          <w:lang w:val="en-US" w:eastAsia="zh-CN"/>
        </w:rPr>
        <w:t>《气象灾害防御条例》（国务院令〔2010〕570号发布，经国务院令〔2017〕687号修正，自2010年4月1日起施行）</w:t>
      </w:r>
    </w:p>
    <w:p w14:paraId="4067B140">
      <w:pPr>
        <w:rPr>
          <w:rFonts w:hint="default"/>
          <w:color w:val="auto"/>
          <w:lang w:val="en-US" w:eastAsia="zh-CN"/>
        </w:rPr>
      </w:pPr>
      <w:r>
        <w:rPr>
          <w:rFonts w:hint="default"/>
          <w:color w:val="auto"/>
          <w:lang w:val="en-US" w:eastAsia="zh-CN"/>
        </w:rPr>
        <w:t>《特种作业人员安全技术培训考核管理规定》（国家安监总局令〔2010〕第30号发布，经国家安监总局令〔2013〕第63号、〔2015〕第80号修正</w:t>
      </w:r>
      <w:r>
        <w:rPr>
          <w:rFonts w:hint="eastAsia"/>
          <w:color w:val="auto"/>
          <w:lang w:val="en-US" w:eastAsia="zh-CN"/>
        </w:rPr>
        <w:t>，应急管理部令第</w:t>
      </w:r>
      <w:r>
        <w:rPr>
          <w:rFonts w:hint="default"/>
          <w:color w:val="auto"/>
          <w:lang w:val="en-US" w:eastAsia="zh-CN"/>
        </w:rPr>
        <w:t>〔20</w:t>
      </w:r>
      <w:r>
        <w:rPr>
          <w:rFonts w:hint="eastAsia"/>
          <w:color w:val="auto"/>
          <w:lang w:val="en-US" w:eastAsia="zh-CN"/>
        </w:rPr>
        <w:t>25</w:t>
      </w:r>
      <w:r>
        <w:rPr>
          <w:rFonts w:hint="default"/>
          <w:color w:val="auto"/>
          <w:lang w:val="en-US" w:eastAsia="zh-CN"/>
        </w:rPr>
        <w:t>〕</w:t>
      </w:r>
      <w:r>
        <w:rPr>
          <w:rFonts w:hint="eastAsia"/>
          <w:color w:val="auto"/>
          <w:lang w:val="en-US" w:eastAsia="zh-CN"/>
        </w:rPr>
        <w:t>19号修订</w:t>
      </w:r>
      <w:r>
        <w:rPr>
          <w:rFonts w:hint="default"/>
          <w:color w:val="auto"/>
          <w:lang w:val="en-US" w:eastAsia="zh-CN"/>
        </w:rPr>
        <w:t>，自20</w:t>
      </w:r>
      <w:r>
        <w:rPr>
          <w:rFonts w:hint="eastAsia"/>
          <w:color w:val="auto"/>
          <w:lang w:val="en-US" w:eastAsia="zh-CN"/>
        </w:rPr>
        <w:t>26</w:t>
      </w:r>
      <w:r>
        <w:rPr>
          <w:rFonts w:hint="default"/>
          <w:color w:val="auto"/>
          <w:lang w:val="en-US" w:eastAsia="zh-CN"/>
        </w:rPr>
        <w:t>年</w:t>
      </w:r>
      <w:r>
        <w:rPr>
          <w:rFonts w:hint="eastAsia"/>
          <w:color w:val="auto"/>
          <w:lang w:val="en-US" w:eastAsia="zh-CN"/>
        </w:rPr>
        <w:t>6</w:t>
      </w:r>
      <w:r>
        <w:rPr>
          <w:rFonts w:hint="default"/>
          <w:color w:val="auto"/>
          <w:lang w:val="en-US" w:eastAsia="zh-CN"/>
        </w:rPr>
        <w:t>月1日起施行）</w:t>
      </w:r>
    </w:p>
    <w:p w14:paraId="18CC4CA3">
      <w:pPr>
        <w:rPr>
          <w:rFonts w:hint="default"/>
          <w:color w:val="auto"/>
          <w:lang w:val="en-US" w:eastAsia="zh-CN"/>
        </w:rPr>
      </w:pPr>
      <w:r>
        <w:rPr>
          <w:rFonts w:hint="default"/>
          <w:color w:val="auto"/>
          <w:lang w:val="en-US" w:eastAsia="zh-CN"/>
        </w:rPr>
        <w:t>《女职工劳动保护特别规定》（国务院令〔2012〕619号发布，自2012年4月28日起施行）</w:t>
      </w:r>
    </w:p>
    <w:p w14:paraId="4958FE3A">
      <w:pPr>
        <w:rPr>
          <w:rFonts w:hint="default"/>
          <w:color w:val="auto"/>
          <w:lang w:val="en-US" w:eastAsia="zh-CN"/>
        </w:rPr>
      </w:pPr>
      <w:r>
        <w:rPr>
          <w:rFonts w:hint="default"/>
          <w:color w:val="auto"/>
          <w:lang w:val="en-US" w:eastAsia="zh-CN"/>
        </w:rPr>
        <w:t>《生产安全事故应急条例》（国务院令〔2019〕708号发布，自2019年4月1日起施行）</w:t>
      </w:r>
    </w:p>
    <w:p w14:paraId="12C97A05">
      <w:pPr>
        <w:rPr>
          <w:rFonts w:hint="default"/>
          <w:color w:val="auto"/>
          <w:lang w:val="en-US" w:eastAsia="zh-CN"/>
        </w:rPr>
      </w:pPr>
      <w:r>
        <w:rPr>
          <w:rFonts w:hint="default"/>
          <w:color w:val="auto"/>
          <w:lang w:val="en-US" w:eastAsia="zh-CN"/>
        </w:rPr>
        <w:t>《矿山救援规程》（应急管理部令</w:t>
      </w:r>
      <w:r>
        <w:rPr>
          <w:rFonts w:hint="eastAsia" w:ascii="Times New Roman" w:eastAsia="宋体"/>
          <w:color w:val="auto"/>
          <w:lang w:val="en-US" w:eastAsia="zh-CN"/>
        </w:rPr>
        <w:t>〔</w:t>
      </w:r>
      <w:r>
        <w:rPr>
          <w:rFonts w:hint="default"/>
          <w:color w:val="auto"/>
          <w:lang w:val="en-US" w:eastAsia="zh-CN"/>
        </w:rPr>
        <w:t>2024</w:t>
      </w:r>
      <w:r>
        <w:rPr>
          <w:rFonts w:hint="eastAsia" w:ascii="Times New Roman" w:eastAsia="宋体"/>
          <w:color w:val="auto"/>
          <w:lang w:val="en-US" w:eastAsia="zh-CN"/>
        </w:rPr>
        <w:t>〕</w:t>
      </w:r>
      <w:r>
        <w:rPr>
          <w:rFonts w:hint="default"/>
          <w:color w:val="auto"/>
          <w:lang w:val="en-US" w:eastAsia="zh-CN"/>
        </w:rPr>
        <w:t>第16号，2024年4月28日）</w:t>
      </w:r>
    </w:p>
    <w:p w14:paraId="681348BB">
      <w:pPr>
        <w:rPr>
          <w:rFonts w:hint="default"/>
          <w:color w:val="auto"/>
          <w:lang w:val="en-US" w:eastAsia="zh-CN"/>
        </w:rPr>
      </w:pPr>
      <w:r>
        <w:rPr>
          <w:rFonts w:hint="default"/>
          <w:color w:val="auto"/>
          <w:lang w:val="en-US" w:eastAsia="zh-CN"/>
        </w:rPr>
        <w:t>《江西省消防条例》（赣人常〔1995〕19次发布，依次经赣人常〔1997〕27次、赣人常〔1999〕27号、赣人常〔2001〕75号、赣人常〔2010〕57号、赣人常〔2011〕89号、赣人常〔2018〕15号、赣人常〔2020〕81号修正，自1996年1月1日起施行）</w:t>
      </w:r>
    </w:p>
    <w:p w14:paraId="3A68A7EE">
      <w:pPr>
        <w:rPr>
          <w:rFonts w:hint="default"/>
          <w:color w:val="auto"/>
          <w:lang w:val="en-US" w:eastAsia="zh-CN"/>
        </w:rPr>
      </w:pPr>
      <w:r>
        <w:rPr>
          <w:rFonts w:hint="default"/>
          <w:color w:val="auto"/>
          <w:lang w:val="en-US" w:eastAsia="zh-CN"/>
        </w:rPr>
        <w:t>《江西省矿产资源开采管理条例》（1999年10月23日江西省第九届人民代表大会常务委员会第十二次会议通过，2011年12月1日江西省第十一届人民代表大会常务委员会第二十八次会议修正，2014年5月29日江西省第十二届人民代表大会常务委员会第十一次会议修正，自2000年1月1日起施行）</w:t>
      </w:r>
    </w:p>
    <w:p w14:paraId="2DBE3051">
      <w:pPr>
        <w:rPr>
          <w:rFonts w:hint="default"/>
          <w:color w:val="auto"/>
          <w:lang w:val="en-US" w:eastAsia="zh-CN"/>
        </w:rPr>
      </w:pPr>
      <w:r>
        <w:rPr>
          <w:rFonts w:hint="default"/>
          <w:color w:val="auto"/>
          <w:lang w:val="en-US" w:eastAsia="zh-CN"/>
        </w:rPr>
        <w:t>《江西省安全生产条例》（赣人常〔2007〕95号发布，经赣人常〔2017〕137号、赣人常〔2019〕44号、赣人常〔2023〕10号修正，自2007年5月1日起施行）</w:t>
      </w:r>
    </w:p>
    <w:p w14:paraId="607737C8">
      <w:pPr>
        <w:pStyle w:val="4"/>
        <w:bidi w:val="0"/>
        <w:rPr>
          <w:rFonts w:hint="default"/>
          <w:color w:val="auto"/>
          <w:lang w:val="en-US" w:eastAsia="zh-CN"/>
        </w:rPr>
      </w:pPr>
      <w:bookmarkStart w:id="53" w:name="_Toc6468"/>
      <w:bookmarkStart w:id="54" w:name="_Toc22098"/>
      <w:bookmarkStart w:id="55" w:name="_Toc13280"/>
      <w:bookmarkStart w:id="56" w:name="_Toc24335"/>
      <w:r>
        <w:rPr>
          <w:rFonts w:hint="default"/>
          <w:color w:val="auto"/>
          <w:lang w:val="en-US" w:eastAsia="zh-CN"/>
        </w:rPr>
        <w:t>1.3.2 规章、规范性文件</w:t>
      </w:r>
      <w:bookmarkEnd w:id="53"/>
      <w:bookmarkEnd w:id="54"/>
      <w:bookmarkEnd w:id="55"/>
      <w:bookmarkEnd w:id="56"/>
    </w:p>
    <w:p w14:paraId="6B2C90D3">
      <w:pPr>
        <w:rPr>
          <w:rFonts w:hint="default"/>
          <w:color w:val="auto"/>
          <w:lang w:val="en-US" w:eastAsia="zh-CN"/>
        </w:rPr>
      </w:pPr>
      <w:r>
        <w:rPr>
          <w:rFonts w:hint="default"/>
          <w:color w:val="auto"/>
          <w:lang w:val="en-US" w:eastAsia="zh-CN"/>
        </w:rPr>
        <w:t>《安全生产事故隐患排查治理暂行规定》（国家安监总局令〔2007〕第16号，自2008年2月1日起施行）</w:t>
      </w:r>
    </w:p>
    <w:p w14:paraId="2EB70B98">
      <w:pPr>
        <w:rPr>
          <w:rFonts w:hint="default"/>
          <w:color w:val="auto"/>
          <w:lang w:val="en-US" w:eastAsia="zh-CN"/>
        </w:rPr>
      </w:pPr>
      <w:r>
        <w:rPr>
          <w:rFonts w:hint="default"/>
          <w:color w:val="auto"/>
          <w:lang w:val="en-US" w:eastAsia="zh-CN"/>
        </w:rPr>
        <w:t>《生产安全事故信息报告和处置办法》（国家安监总局令〔2009〕第21号，自2009年7月1日起施行）</w:t>
      </w:r>
    </w:p>
    <w:p w14:paraId="0B5ED9D6">
      <w:pPr>
        <w:rPr>
          <w:rFonts w:hint="default"/>
          <w:color w:val="auto"/>
          <w:lang w:val="en-US" w:eastAsia="zh-CN"/>
        </w:rPr>
      </w:pPr>
      <w:r>
        <w:rPr>
          <w:rFonts w:hint="default"/>
          <w:color w:val="auto"/>
          <w:lang w:val="en-US" w:eastAsia="zh-CN"/>
        </w:rPr>
        <w:t>《国务院关于进一步加强企业安全生产工作的通知》（国发〔2010〕23号，2010年7月19日）</w:t>
      </w:r>
    </w:p>
    <w:p w14:paraId="484CED26">
      <w:pPr>
        <w:rPr>
          <w:rFonts w:hint="default"/>
          <w:color w:val="auto"/>
          <w:lang w:val="en-US" w:eastAsia="zh-CN"/>
        </w:rPr>
      </w:pPr>
      <w:r>
        <w:rPr>
          <w:rFonts w:hint="default"/>
          <w:color w:val="auto"/>
          <w:lang w:val="en-US" w:eastAsia="zh-CN"/>
        </w:rPr>
        <w:t>《国务院关于坚持科学发展安全发展促进安全生产形势持续稳定好转的意见》（国发〔2011〕40号</w:t>
      </w:r>
      <w:r>
        <w:rPr>
          <w:rFonts w:hint="eastAsia"/>
          <w:color w:val="auto"/>
          <w:lang w:val="en-US" w:eastAsia="zh-CN"/>
        </w:rPr>
        <w:t>，2011年11月26日</w:t>
      </w:r>
      <w:r>
        <w:rPr>
          <w:rFonts w:hint="default"/>
          <w:color w:val="auto"/>
          <w:lang w:val="en-US" w:eastAsia="zh-CN"/>
        </w:rPr>
        <w:t>）</w:t>
      </w:r>
    </w:p>
    <w:p w14:paraId="6EADC70E">
      <w:pPr>
        <w:rPr>
          <w:rFonts w:hint="default"/>
          <w:color w:val="auto"/>
          <w:lang w:val="en-US" w:eastAsia="zh-CN"/>
        </w:rPr>
      </w:pPr>
      <w:r>
        <w:rPr>
          <w:rFonts w:hint="default"/>
          <w:color w:val="auto"/>
          <w:lang w:val="en-US" w:eastAsia="zh-CN"/>
        </w:rPr>
        <w:t>《部分工业行业淘汰落后生产工艺装备和产品指导目录（2010年本）》（工产业〔2010〕第122号，2010年10月13日）</w:t>
      </w:r>
    </w:p>
    <w:p w14:paraId="64D7801D">
      <w:pPr>
        <w:rPr>
          <w:rFonts w:hint="default"/>
          <w:color w:val="auto"/>
          <w:lang w:val="en-US" w:eastAsia="zh-CN"/>
        </w:rPr>
      </w:pPr>
      <w:r>
        <w:rPr>
          <w:rFonts w:hint="default"/>
          <w:color w:val="auto"/>
          <w:lang w:val="en-US" w:eastAsia="zh-CN"/>
        </w:rPr>
        <w:t>《国务院关于加强地质灾害防治工作的决定》（国发〔2011〕20号，2011年6月13日）</w:t>
      </w:r>
    </w:p>
    <w:p w14:paraId="7B3BF697">
      <w:pPr>
        <w:rPr>
          <w:rFonts w:hint="default"/>
          <w:color w:val="auto"/>
          <w:lang w:val="en-US" w:eastAsia="zh-CN"/>
        </w:rPr>
      </w:pPr>
      <w:r>
        <w:rPr>
          <w:rFonts w:hint="default"/>
          <w:color w:val="auto"/>
          <w:lang w:val="en-US" w:eastAsia="zh-CN"/>
        </w:rPr>
        <w:t>《国务院关于坚持科学发展安全发展促进安全生产形势持续稳定好转的意见》（国发〔2011〕40号，2011年11月26日）</w:t>
      </w:r>
    </w:p>
    <w:p w14:paraId="2AFD8B0E">
      <w:pPr>
        <w:rPr>
          <w:rFonts w:hint="default"/>
          <w:color w:val="auto"/>
          <w:lang w:val="en-US" w:eastAsia="zh-CN"/>
        </w:rPr>
      </w:pPr>
      <w:r>
        <w:rPr>
          <w:rFonts w:hint="default"/>
          <w:color w:val="auto"/>
          <w:lang w:val="en-US" w:eastAsia="zh-CN"/>
        </w:rPr>
        <w:t>《关于认真学习贯彻〈国务院关于坚持科学发展安全发展促进安全生产形势持续稳定好转的意见〉的通知》（安委办〔2011〕48号，2011年12月6日）</w:t>
      </w:r>
    </w:p>
    <w:p w14:paraId="76265494">
      <w:pPr>
        <w:rPr>
          <w:rFonts w:hint="default"/>
          <w:color w:val="auto"/>
          <w:lang w:val="en-US" w:eastAsia="zh-CN"/>
        </w:rPr>
      </w:pPr>
      <w:r>
        <w:rPr>
          <w:rFonts w:hint="default"/>
          <w:color w:val="auto"/>
          <w:lang w:val="en-US" w:eastAsia="zh-CN"/>
        </w:rPr>
        <w:t>《非煤矿山外包工程安全管理暂行办法》（国家安监总局令</w:t>
      </w:r>
      <w:r>
        <w:rPr>
          <w:rFonts w:hint="eastAsia" w:ascii="Times New Roman" w:eastAsia="宋体"/>
          <w:color w:val="auto"/>
          <w:lang w:val="en-US" w:eastAsia="zh-CN"/>
        </w:rPr>
        <w:t>〔</w:t>
      </w:r>
      <w:r>
        <w:rPr>
          <w:rFonts w:hint="default"/>
          <w:color w:val="auto"/>
          <w:lang w:val="en-US" w:eastAsia="zh-CN"/>
        </w:rPr>
        <w:t>2013</w:t>
      </w:r>
      <w:r>
        <w:rPr>
          <w:rFonts w:hint="eastAsia" w:ascii="Times New Roman" w:eastAsia="宋体"/>
          <w:color w:val="auto"/>
          <w:lang w:val="en-US" w:eastAsia="zh-CN"/>
        </w:rPr>
        <w:t>〕</w:t>
      </w:r>
      <w:r>
        <w:rPr>
          <w:rFonts w:hint="default"/>
          <w:color w:val="auto"/>
          <w:lang w:val="en-US" w:eastAsia="zh-CN"/>
        </w:rPr>
        <w:t>第62号发布，经国家安监总局令</w:t>
      </w:r>
      <w:r>
        <w:rPr>
          <w:rFonts w:hint="eastAsia" w:ascii="Times New Roman" w:eastAsia="宋体"/>
          <w:color w:val="auto"/>
          <w:lang w:val="en-US" w:eastAsia="zh-CN"/>
        </w:rPr>
        <w:t>〔</w:t>
      </w:r>
      <w:r>
        <w:rPr>
          <w:rFonts w:hint="default"/>
          <w:color w:val="auto"/>
          <w:lang w:val="en-US" w:eastAsia="zh-CN"/>
        </w:rPr>
        <w:t>2015</w:t>
      </w:r>
      <w:r>
        <w:rPr>
          <w:rFonts w:hint="eastAsia" w:ascii="Times New Roman" w:eastAsia="宋体"/>
          <w:color w:val="auto"/>
          <w:lang w:val="en-US" w:eastAsia="zh-CN"/>
        </w:rPr>
        <w:t>〕</w:t>
      </w:r>
      <w:r>
        <w:rPr>
          <w:rFonts w:hint="default"/>
          <w:color w:val="auto"/>
          <w:lang w:val="en-US" w:eastAsia="zh-CN"/>
        </w:rPr>
        <w:t>第78号修正，自2013年10月1日起施行）</w:t>
      </w:r>
    </w:p>
    <w:p w14:paraId="2AA9CED8">
      <w:pPr>
        <w:rPr>
          <w:rFonts w:hint="default"/>
          <w:color w:val="auto"/>
          <w:lang w:val="en-US" w:eastAsia="zh-CN"/>
        </w:rPr>
      </w:pPr>
      <w:r>
        <w:rPr>
          <w:rFonts w:hint="default"/>
          <w:color w:val="auto"/>
          <w:lang w:val="en-US" w:eastAsia="zh-CN"/>
        </w:rPr>
        <w:t>《国家安全监管总局关于发布金属非金属矿山禁止使用的设备及工艺目录（第一批）的通知》（安监总管一〔2013〕101号，2013年9月6日）</w:t>
      </w:r>
    </w:p>
    <w:p w14:paraId="66DAD3EF">
      <w:pPr>
        <w:rPr>
          <w:rFonts w:hint="default"/>
          <w:color w:val="auto"/>
          <w:lang w:val="en-US" w:eastAsia="zh-CN"/>
        </w:rPr>
      </w:pPr>
      <w:r>
        <w:rPr>
          <w:rFonts w:hint="default"/>
          <w:color w:val="auto"/>
          <w:lang w:val="en-US" w:eastAsia="zh-CN"/>
        </w:rPr>
        <w:t>《国家安全监管总局关于发布金属非金属矿山禁止使用的设备及工艺目录（第二批）的通知》（安监总管一〔2015〕13号，2015年2月13日）</w:t>
      </w:r>
    </w:p>
    <w:p w14:paraId="60B822B8">
      <w:pPr>
        <w:rPr>
          <w:rFonts w:hint="default"/>
          <w:color w:val="auto"/>
          <w:lang w:val="en-US" w:eastAsia="zh-CN"/>
        </w:rPr>
      </w:pPr>
      <w:r>
        <w:rPr>
          <w:rFonts w:hint="default"/>
          <w:color w:val="auto"/>
          <w:lang w:val="en-US" w:eastAsia="zh-CN"/>
        </w:rPr>
        <w:t>《金属非金属矿山建设项目安全设施目录（试行）》（国家安监总局令〔2015〕第75号，2015年7月1日）</w:t>
      </w:r>
    </w:p>
    <w:p w14:paraId="0528081E">
      <w:pPr>
        <w:rPr>
          <w:rFonts w:hint="default"/>
          <w:color w:val="auto"/>
          <w:lang w:val="en-US" w:eastAsia="zh-CN"/>
        </w:rPr>
      </w:pPr>
      <w:r>
        <w:rPr>
          <w:rFonts w:hint="default"/>
          <w:color w:val="auto"/>
          <w:lang w:val="en-US" w:eastAsia="zh-CN"/>
        </w:rPr>
        <w:t>《非煤矿矿山企业安全生产许可证实施办法》（国家安监总局令〔2004〕9号发布，经安监总局令〔2009〕20号、安监总局令〔2015〕78号修正，自2004年5月17日起施行）</w:t>
      </w:r>
    </w:p>
    <w:p w14:paraId="5B8304E9">
      <w:pPr>
        <w:rPr>
          <w:rFonts w:hint="default"/>
          <w:color w:val="auto"/>
          <w:lang w:val="en-US" w:eastAsia="zh-CN"/>
        </w:rPr>
      </w:pPr>
      <w:r>
        <w:rPr>
          <w:rFonts w:hint="default"/>
          <w:color w:val="auto"/>
          <w:lang w:val="en-US" w:eastAsia="zh-CN"/>
        </w:rPr>
        <w:t>《安全生产培训管理办法》（国家安监总局令〔2004〕第20号发布，经国家安监总局令〔2012〕第44号、〔2013〕63号、〔2015〕第80号修正，自2005年2月1日起施行）</w:t>
      </w:r>
    </w:p>
    <w:p w14:paraId="377C0F6B">
      <w:pPr>
        <w:rPr>
          <w:rFonts w:hint="default"/>
          <w:color w:val="auto"/>
          <w:lang w:val="en-US" w:eastAsia="zh-CN"/>
        </w:rPr>
      </w:pPr>
      <w:r>
        <w:rPr>
          <w:rFonts w:hint="default"/>
          <w:color w:val="auto"/>
          <w:lang w:val="en-US" w:eastAsia="zh-CN"/>
        </w:rPr>
        <w:t>《生产经营单位安全培训规定》（国家安监总局令</w:t>
      </w:r>
      <w:r>
        <w:rPr>
          <w:rFonts w:hint="eastAsia"/>
          <w:color w:val="auto"/>
          <w:lang w:val="en-US" w:eastAsia="zh-CN"/>
        </w:rPr>
        <w:t>〔</w:t>
      </w:r>
      <w:r>
        <w:rPr>
          <w:rFonts w:hint="default"/>
          <w:color w:val="auto"/>
          <w:lang w:val="en-US" w:eastAsia="zh-CN"/>
        </w:rPr>
        <w:t>2006</w:t>
      </w:r>
      <w:r>
        <w:rPr>
          <w:rFonts w:hint="eastAsia"/>
          <w:color w:val="auto"/>
          <w:lang w:val="en-US" w:eastAsia="zh-CN"/>
        </w:rPr>
        <w:t>〕</w:t>
      </w:r>
      <w:r>
        <w:rPr>
          <w:rFonts w:hint="default"/>
          <w:color w:val="auto"/>
          <w:lang w:val="en-US" w:eastAsia="zh-CN"/>
        </w:rPr>
        <w:t>第3号公布，经国家安监总局令</w:t>
      </w:r>
      <w:r>
        <w:rPr>
          <w:rFonts w:hint="eastAsia"/>
          <w:color w:val="auto"/>
          <w:lang w:val="en-US" w:eastAsia="zh-CN"/>
        </w:rPr>
        <w:t>〔</w:t>
      </w:r>
      <w:r>
        <w:rPr>
          <w:rFonts w:hint="default"/>
          <w:color w:val="auto"/>
          <w:lang w:val="en-US" w:eastAsia="zh-CN"/>
        </w:rPr>
        <w:t>2013</w:t>
      </w:r>
      <w:r>
        <w:rPr>
          <w:rFonts w:hint="eastAsia"/>
          <w:color w:val="auto"/>
          <w:lang w:val="en-US" w:eastAsia="zh-CN"/>
        </w:rPr>
        <w:t>〕</w:t>
      </w:r>
      <w:r>
        <w:rPr>
          <w:rFonts w:hint="default"/>
          <w:color w:val="auto"/>
          <w:lang w:val="en-US" w:eastAsia="zh-CN"/>
        </w:rPr>
        <w:t>63号、</w:t>
      </w:r>
      <w:r>
        <w:rPr>
          <w:rFonts w:hint="eastAsia"/>
          <w:color w:val="auto"/>
          <w:lang w:val="en-US" w:eastAsia="zh-CN"/>
        </w:rPr>
        <w:t>〔</w:t>
      </w:r>
      <w:r>
        <w:rPr>
          <w:rFonts w:hint="default"/>
          <w:color w:val="auto"/>
          <w:lang w:val="en-US" w:eastAsia="zh-CN"/>
        </w:rPr>
        <w:t>2015</w:t>
      </w:r>
      <w:r>
        <w:rPr>
          <w:rFonts w:hint="eastAsia"/>
          <w:color w:val="auto"/>
          <w:lang w:val="en-US" w:eastAsia="zh-CN"/>
        </w:rPr>
        <w:t>〕</w:t>
      </w:r>
      <w:r>
        <w:rPr>
          <w:rFonts w:hint="default"/>
          <w:color w:val="auto"/>
          <w:lang w:val="en-US" w:eastAsia="zh-CN"/>
        </w:rPr>
        <w:t>80号修正，自2006年3月1日起施行）</w:t>
      </w:r>
    </w:p>
    <w:p w14:paraId="6EF11C24">
      <w:pPr>
        <w:rPr>
          <w:rFonts w:hint="default"/>
          <w:color w:val="auto"/>
          <w:lang w:val="en-US" w:eastAsia="zh-CN"/>
        </w:rPr>
      </w:pPr>
      <w:r>
        <w:rPr>
          <w:rFonts w:hint="default"/>
          <w:color w:val="auto"/>
          <w:lang w:val="en-US" w:eastAsia="zh-CN"/>
        </w:rPr>
        <w:t>《国务院安委会办公室关于实施遏制重特大事故工作指南构建双重预防机制的意见》（安委办〔2016〕11号，2016年10月9日）</w:t>
      </w:r>
    </w:p>
    <w:p w14:paraId="3CFDE04D">
      <w:pPr>
        <w:rPr>
          <w:rFonts w:hint="default"/>
          <w:color w:val="auto"/>
          <w:lang w:val="en-US" w:eastAsia="zh-CN"/>
        </w:rPr>
      </w:pPr>
      <w:r>
        <w:rPr>
          <w:rFonts w:hint="default"/>
          <w:color w:val="auto"/>
          <w:lang w:val="en-US" w:eastAsia="zh-CN"/>
        </w:rPr>
        <w:t>《国家安全监管总局办公厅关于修改用人单位劳动防护用品管理规范的通知》（安监总厅安健〔2018〕3号，2018年1月15日）</w:t>
      </w:r>
    </w:p>
    <w:p w14:paraId="1F9DEF0F">
      <w:pPr>
        <w:rPr>
          <w:rFonts w:hint="default"/>
          <w:color w:val="auto"/>
          <w:lang w:val="en-US" w:eastAsia="zh-CN"/>
        </w:rPr>
      </w:pPr>
      <w:r>
        <w:rPr>
          <w:rFonts w:hint="default"/>
          <w:color w:val="auto"/>
          <w:lang w:val="en-US" w:eastAsia="zh-CN"/>
        </w:rPr>
        <w:t>《生产安全事故应急预案管理办法》（国家安监总局令〔2009〕第17号发布，经国家安监总局令〔2016〕第88号、应急管理部令〔2019〕第2号修正，自2009年5月1日起施行）</w:t>
      </w:r>
    </w:p>
    <w:p w14:paraId="399FFF80">
      <w:pPr>
        <w:rPr>
          <w:rFonts w:hint="default"/>
          <w:color w:val="auto"/>
          <w:lang w:val="en-US" w:eastAsia="zh-CN"/>
        </w:rPr>
      </w:pPr>
      <w:r>
        <w:rPr>
          <w:rFonts w:hint="default"/>
          <w:color w:val="auto"/>
          <w:lang w:val="en-US" w:eastAsia="zh-CN"/>
        </w:rPr>
        <w:t>《工作场所职业卫生管理规定》（国家卫健委令</w:t>
      </w:r>
      <w:r>
        <w:rPr>
          <w:rFonts w:hint="eastAsia" w:ascii="Times New Roman" w:eastAsia="宋体"/>
          <w:color w:val="auto"/>
          <w:lang w:val="en-US" w:eastAsia="zh-CN"/>
        </w:rPr>
        <w:t>〔</w:t>
      </w:r>
      <w:r>
        <w:rPr>
          <w:rFonts w:hint="default"/>
          <w:color w:val="auto"/>
          <w:lang w:val="en-US" w:eastAsia="zh-CN"/>
        </w:rPr>
        <w:t>2020</w:t>
      </w:r>
      <w:r>
        <w:rPr>
          <w:rFonts w:hint="eastAsia" w:ascii="Times New Roman" w:eastAsia="宋体"/>
          <w:color w:val="auto"/>
          <w:lang w:val="en-US" w:eastAsia="zh-CN"/>
        </w:rPr>
        <w:t>〕</w:t>
      </w:r>
      <w:r>
        <w:rPr>
          <w:rFonts w:hint="default"/>
          <w:color w:val="auto"/>
          <w:lang w:val="en-US" w:eastAsia="zh-CN"/>
        </w:rPr>
        <w:t>第5号，自2021年2月1日起施行）</w:t>
      </w:r>
    </w:p>
    <w:p w14:paraId="1FA186BE">
      <w:pPr>
        <w:rPr>
          <w:rFonts w:hint="default"/>
          <w:color w:val="auto"/>
          <w:lang w:val="en-US" w:eastAsia="zh-CN"/>
        </w:rPr>
      </w:pPr>
      <w:r>
        <w:rPr>
          <w:rFonts w:hint="default"/>
          <w:color w:val="auto"/>
          <w:lang w:val="en-US" w:eastAsia="zh-CN"/>
        </w:rPr>
        <w:t>《国务院安委会办公室关于加强矿山安全生产工作的紧急通知》（安委办〔2021〕3号，2021年2月24日）</w:t>
      </w:r>
    </w:p>
    <w:p w14:paraId="7F4F51E8">
      <w:pPr>
        <w:rPr>
          <w:rFonts w:hint="default"/>
          <w:color w:val="auto"/>
          <w:lang w:val="en-US" w:eastAsia="zh-CN"/>
        </w:rPr>
      </w:pPr>
      <w:r>
        <w:rPr>
          <w:rFonts w:hint="default"/>
          <w:color w:val="auto"/>
          <w:lang w:val="en-US" w:eastAsia="zh-CN"/>
        </w:rPr>
        <w:t>《国家矿山安全监察局关于印发〈关于加强非煤矿山安全生产工作的指导意见〉的通知》（矿安〔2022〕4号，2022年2月8日）</w:t>
      </w:r>
    </w:p>
    <w:p w14:paraId="722BF4D9">
      <w:pPr>
        <w:rPr>
          <w:rFonts w:hint="default"/>
          <w:color w:val="auto"/>
          <w:lang w:val="en-US" w:eastAsia="zh-CN"/>
        </w:rPr>
      </w:pPr>
      <w:r>
        <w:rPr>
          <w:rFonts w:hint="default"/>
          <w:color w:val="auto"/>
          <w:lang w:val="en-US" w:eastAsia="zh-CN"/>
        </w:rPr>
        <w:t>《国家矿山安全监察局关于印发〈金属非金属矿山重大事故隐患判定标准〉的通知》（矿安〔2022〕88号，2022年7月8日）</w:t>
      </w:r>
    </w:p>
    <w:p w14:paraId="4F13BC11">
      <w:pPr>
        <w:rPr>
          <w:rFonts w:hint="default"/>
          <w:color w:val="auto"/>
          <w:lang w:val="en-US" w:eastAsia="zh-CN"/>
        </w:rPr>
      </w:pPr>
      <w:r>
        <w:rPr>
          <w:rFonts w:hint="default"/>
          <w:color w:val="auto"/>
          <w:lang w:val="en-US" w:eastAsia="zh-CN"/>
        </w:rPr>
        <w:t>《财政部 应急部关于印发〈企业安全生产费用提取和使用管理办法〉的通知》（财资〔2022〕136号，2022年11月21日）</w:t>
      </w:r>
    </w:p>
    <w:p w14:paraId="740EAE49">
      <w:pPr>
        <w:rPr>
          <w:rFonts w:hint="default"/>
          <w:color w:val="auto"/>
          <w:lang w:val="en-US" w:eastAsia="zh-CN"/>
        </w:rPr>
      </w:pPr>
      <w:r>
        <w:rPr>
          <w:rFonts w:hint="default"/>
          <w:color w:val="auto"/>
          <w:lang w:val="en-US" w:eastAsia="zh-CN"/>
        </w:rPr>
        <w:t>《国家矿山安全监察局关于印发〈矿山生产安全事故报告和调查处理办法〉的通知》（矿安〔2023〕7号，2023年1月17日）</w:t>
      </w:r>
    </w:p>
    <w:p w14:paraId="38FD0D43">
      <w:pPr>
        <w:rPr>
          <w:rFonts w:hint="default"/>
          <w:color w:val="auto"/>
          <w:lang w:val="en-US" w:eastAsia="zh-CN"/>
        </w:rPr>
      </w:pPr>
      <w:r>
        <w:rPr>
          <w:rFonts w:hint="eastAsia"/>
          <w:color w:val="auto"/>
          <w:lang w:val="en-US" w:eastAsia="zh-CN"/>
        </w:rPr>
        <w:t>《国家矿山安全监察局关于做好非煤矿山灾害情况发生重大变化及时报告和出现事故征兆等紧急情况及时撤人工作的通知》（</w:t>
      </w:r>
      <w:r>
        <w:rPr>
          <w:rFonts w:hint="default"/>
          <w:color w:val="auto"/>
          <w:lang w:val="en-US" w:eastAsia="zh-CN"/>
        </w:rPr>
        <w:t>矿安〔2023〕</w:t>
      </w:r>
      <w:r>
        <w:rPr>
          <w:rFonts w:hint="eastAsia"/>
          <w:color w:val="auto"/>
          <w:lang w:val="en-US" w:eastAsia="zh-CN"/>
        </w:rPr>
        <w:t>60</w:t>
      </w:r>
      <w:r>
        <w:rPr>
          <w:rFonts w:hint="default"/>
          <w:color w:val="auto"/>
          <w:lang w:val="en-US" w:eastAsia="zh-CN"/>
        </w:rPr>
        <w:t>号，2023年</w:t>
      </w:r>
      <w:r>
        <w:rPr>
          <w:rFonts w:hint="eastAsia"/>
          <w:color w:val="auto"/>
          <w:lang w:val="en-US" w:eastAsia="zh-CN"/>
        </w:rPr>
        <w:t>6</w:t>
      </w:r>
      <w:r>
        <w:rPr>
          <w:rFonts w:hint="default"/>
          <w:color w:val="auto"/>
          <w:lang w:val="en-US" w:eastAsia="zh-CN"/>
        </w:rPr>
        <w:t>月</w:t>
      </w:r>
      <w:r>
        <w:rPr>
          <w:rFonts w:hint="eastAsia"/>
          <w:color w:val="auto"/>
          <w:lang w:val="en-US" w:eastAsia="zh-CN"/>
        </w:rPr>
        <w:t>21</w:t>
      </w:r>
      <w:r>
        <w:rPr>
          <w:rFonts w:hint="default"/>
          <w:color w:val="auto"/>
          <w:lang w:val="en-US" w:eastAsia="zh-CN"/>
        </w:rPr>
        <w:t>日</w:t>
      </w:r>
      <w:r>
        <w:rPr>
          <w:rFonts w:hint="eastAsia"/>
          <w:color w:val="auto"/>
          <w:lang w:val="en-US" w:eastAsia="zh-CN"/>
        </w:rPr>
        <w:t>）</w:t>
      </w:r>
    </w:p>
    <w:p w14:paraId="7A54FA13">
      <w:pPr>
        <w:rPr>
          <w:rFonts w:hint="default"/>
          <w:color w:val="auto"/>
          <w:lang w:val="en-US" w:eastAsia="zh-CN"/>
        </w:rPr>
      </w:pPr>
      <w:r>
        <w:rPr>
          <w:rFonts w:hint="eastAsia"/>
          <w:color w:val="auto"/>
          <w:lang w:val="en-US" w:eastAsia="zh-CN"/>
        </w:rPr>
        <w:t>《国家矿山安全监察局关于开展露天矿山边坡监测系统建设及联网工作的通知》（</w:t>
      </w:r>
      <w:r>
        <w:rPr>
          <w:rFonts w:hint="default"/>
          <w:color w:val="auto"/>
          <w:lang w:val="en-US" w:eastAsia="zh-CN"/>
        </w:rPr>
        <w:t>矿安〔2023〕1</w:t>
      </w:r>
      <w:r>
        <w:rPr>
          <w:rFonts w:hint="eastAsia"/>
          <w:color w:val="auto"/>
          <w:lang w:val="en-US" w:eastAsia="zh-CN"/>
        </w:rPr>
        <w:t>19</w:t>
      </w:r>
      <w:r>
        <w:rPr>
          <w:rFonts w:hint="default"/>
          <w:color w:val="auto"/>
          <w:lang w:val="en-US" w:eastAsia="zh-CN"/>
        </w:rPr>
        <w:t>号，2023年</w:t>
      </w:r>
      <w:r>
        <w:rPr>
          <w:rFonts w:hint="eastAsia"/>
          <w:color w:val="auto"/>
          <w:lang w:val="en-US" w:eastAsia="zh-CN"/>
        </w:rPr>
        <w:t>8</w:t>
      </w:r>
      <w:r>
        <w:rPr>
          <w:rFonts w:hint="default"/>
          <w:color w:val="auto"/>
          <w:lang w:val="en-US" w:eastAsia="zh-CN"/>
        </w:rPr>
        <w:t>月</w:t>
      </w:r>
      <w:r>
        <w:rPr>
          <w:rFonts w:hint="eastAsia"/>
          <w:color w:val="auto"/>
          <w:lang w:val="en-US" w:eastAsia="zh-CN"/>
        </w:rPr>
        <w:t>30</w:t>
      </w:r>
      <w:r>
        <w:rPr>
          <w:rFonts w:hint="default"/>
          <w:color w:val="auto"/>
          <w:lang w:val="en-US" w:eastAsia="zh-CN"/>
        </w:rPr>
        <w:t>日</w:t>
      </w:r>
      <w:r>
        <w:rPr>
          <w:rFonts w:hint="eastAsia"/>
          <w:color w:val="auto"/>
          <w:lang w:val="en-US" w:eastAsia="zh-CN"/>
        </w:rPr>
        <w:t>）</w:t>
      </w:r>
    </w:p>
    <w:p w14:paraId="06746873">
      <w:pPr>
        <w:rPr>
          <w:rFonts w:hint="default"/>
          <w:color w:val="auto"/>
          <w:lang w:val="en-US" w:eastAsia="zh-CN"/>
        </w:rPr>
      </w:pPr>
      <w:r>
        <w:rPr>
          <w:rFonts w:hint="default"/>
          <w:color w:val="auto"/>
          <w:lang w:val="en-US" w:eastAsia="zh-CN"/>
        </w:rPr>
        <w:t>《中共中央办公厅</w:t>
      </w:r>
      <w:r>
        <w:rPr>
          <w:rFonts w:hint="eastAsia"/>
          <w:color w:val="auto"/>
          <w:lang w:val="en-US" w:eastAsia="zh-CN"/>
        </w:rPr>
        <w:t xml:space="preserve"> </w:t>
      </w:r>
      <w:r>
        <w:rPr>
          <w:rFonts w:hint="default"/>
          <w:color w:val="auto"/>
          <w:lang w:val="en-US" w:eastAsia="zh-CN"/>
        </w:rPr>
        <w:t>国务院办公厅关于进一步加强矿山安全生产工作的意见》（厅字〔2023〕21号，2023年</w:t>
      </w:r>
      <w:r>
        <w:rPr>
          <w:rFonts w:hint="eastAsia"/>
          <w:color w:val="auto"/>
          <w:lang w:val="en-US" w:eastAsia="zh-CN"/>
        </w:rPr>
        <w:t>9</w:t>
      </w:r>
      <w:r>
        <w:rPr>
          <w:rFonts w:hint="default"/>
          <w:color w:val="auto"/>
          <w:lang w:val="en-US" w:eastAsia="zh-CN"/>
        </w:rPr>
        <w:t>月</w:t>
      </w:r>
      <w:r>
        <w:rPr>
          <w:rFonts w:hint="eastAsia"/>
          <w:color w:val="auto"/>
          <w:lang w:val="en-US" w:eastAsia="zh-CN"/>
        </w:rPr>
        <w:t>6</w:t>
      </w:r>
      <w:r>
        <w:rPr>
          <w:rFonts w:hint="default"/>
          <w:color w:val="auto"/>
          <w:lang w:val="en-US" w:eastAsia="zh-CN"/>
        </w:rPr>
        <w:t>日）</w:t>
      </w:r>
    </w:p>
    <w:p w14:paraId="52FE3881">
      <w:pPr>
        <w:rPr>
          <w:rFonts w:hint="default"/>
          <w:color w:val="auto"/>
          <w:lang w:val="en-US" w:eastAsia="zh-CN"/>
        </w:rPr>
      </w:pPr>
      <w:r>
        <w:rPr>
          <w:rFonts w:hint="default"/>
          <w:color w:val="auto"/>
          <w:lang w:val="en-US" w:eastAsia="zh-CN"/>
        </w:rPr>
        <w:t>《国家矿山安全监察局关于印发〈矿山建设项目安全设施重大变更范围〉的通知》（矿安〔2023〕147号，2023年11月14日）</w:t>
      </w:r>
    </w:p>
    <w:p w14:paraId="6768D8E3">
      <w:pPr>
        <w:rPr>
          <w:rFonts w:hint="default"/>
          <w:color w:val="auto"/>
          <w:lang w:val="en-US" w:eastAsia="zh-CN"/>
        </w:rPr>
      </w:pPr>
      <w:r>
        <w:rPr>
          <w:rFonts w:hint="default"/>
          <w:color w:val="auto"/>
          <w:lang w:val="en-US" w:eastAsia="zh-CN"/>
        </w:rPr>
        <w:t>《国务院安全生产委员会印发〈关于防范遏制矿山领域重特大生产安全事故的硬措施〉的通知》（安委〔2024〕1号，2024年1月19日）</w:t>
      </w:r>
    </w:p>
    <w:p w14:paraId="7B2226A4">
      <w:pPr>
        <w:rPr>
          <w:rFonts w:hint="default"/>
          <w:color w:val="auto"/>
          <w:lang w:val="en-US" w:eastAsia="zh-CN"/>
        </w:rPr>
      </w:pPr>
      <w:r>
        <w:rPr>
          <w:rFonts w:hint="default"/>
          <w:color w:val="auto"/>
          <w:lang w:val="en-US" w:eastAsia="zh-CN"/>
        </w:rPr>
        <w:t>《矿山安全生产治本攻坚三年行动方案（2024-2026年）》（国家矿山安全监察局，2024年2月4日）</w:t>
      </w:r>
    </w:p>
    <w:p w14:paraId="1E450FF1">
      <w:pPr>
        <w:rPr>
          <w:rFonts w:hint="default"/>
          <w:color w:val="auto"/>
          <w:lang w:val="en-US" w:eastAsia="zh-CN"/>
        </w:rPr>
      </w:pPr>
      <w:r>
        <w:rPr>
          <w:rFonts w:hint="default"/>
          <w:color w:val="auto"/>
          <w:lang w:val="en-US" w:eastAsia="zh-CN"/>
        </w:rPr>
        <w:t>《国家矿山安全监察局关于印发〈金属非金属矿山重大事故隐患判定标准补充情形〉的通知》（矿安〔2024〕41号，2024年4月23日）</w:t>
      </w:r>
    </w:p>
    <w:p w14:paraId="70B7E5B9">
      <w:pPr>
        <w:rPr>
          <w:rFonts w:hint="default"/>
          <w:color w:val="auto"/>
          <w:lang w:val="en-US" w:eastAsia="zh-CN"/>
        </w:rPr>
      </w:pPr>
      <w:r>
        <w:rPr>
          <w:rFonts w:hint="default"/>
          <w:color w:val="auto"/>
          <w:lang w:val="en-US" w:eastAsia="zh-CN"/>
        </w:rPr>
        <w:t>《国家矿山安全监察局关于进一步加强非煤矿山安全生产行政许可工作的通知》（矿安〔2024〕70号，2024年6月28日）</w:t>
      </w:r>
    </w:p>
    <w:p w14:paraId="115739A0">
      <w:pPr>
        <w:rPr>
          <w:rFonts w:hint="default"/>
          <w:color w:val="auto"/>
          <w:lang w:val="en-US" w:eastAsia="zh-CN"/>
        </w:rPr>
      </w:pPr>
      <w:r>
        <w:rPr>
          <w:rFonts w:hint="default"/>
          <w:color w:val="auto"/>
          <w:lang w:val="en-US" w:eastAsia="zh-CN"/>
        </w:rPr>
        <w:t>《国家矿山安全监察局关于加强汛期矿山安全防范工作的通知》（矿安〔2024〕75号，2024年7月16日）</w:t>
      </w:r>
    </w:p>
    <w:p w14:paraId="144FB9AB">
      <w:pPr>
        <w:rPr>
          <w:rFonts w:hint="default"/>
          <w:color w:val="auto"/>
          <w:lang w:val="en-US" w:eastAsia="zh-CN"/>
        </w:rPr>
      </w:pPr>
      <w:r>
        <w:rPr>
          <w:rFonts w:hint="default"/>
          <w:color w:val="auto"/>
          <w:lang w:val="en-US" w:eastAsia="zh-CN"/>
        </w:rPr>
        <w:t>《国家矿山安全监察局综合司关于进一步加强矿山隐蔽致灾因素普查工作的通知》（矿安综函〔2024〕259号，2024年10月23日）</w:t>
      </w:r>
    </w:p>
    <w:p w14:paraId="18F00ABF">
      <w:pPr>
        <w:rPr>
          <w:rFonts w:hint="eastAsia"/>
          <w:color w:val="auto"/>
          <w:lang w:val="en-US" w:eastAsia="zh-CN"/>
        </w:rPr>
      </w:pPr>
      <w:r>
        <w:rPr>
          <w:rFonts w:hint="eastAsia"/>
          <w:color w:val="auto"/>
          <w:lang w:val="en-US" w:eastAsia="zh-CN"/>
        </w:rPr>
        <w:t>《</w:t>
      </w:r>
      <w:r>
        <w:rPr>
          <w:rFonts w:hint="default"/>
          <w:color w:val="auto"/>
          <w:lang w:val="en-US" w:eastAsia="zh-CN"/>
        </w:rPr>
        <w:t>关于印发</w:t>
      </w:r>
      <w:r>
        <w:rPr>
          <w:rFonts w:hint="eastAsia" w:ascii="宋体" w:hAnsi="宋体" w:eastAsia="宋体" w:cs="宋体"/>
          <w:color w:val="auto"/>
          <w:lang w:val="en-US" w:eastAsia="zh-CN"/>
        </w:rPr>
        <w:t>&lt;</w:t>
      </w:r>
      <w:r>
        <w:rPr>
          <w:rFonts w:hint="default"/>
          <w:color w:val="auto"/>
          <w:lang w:val="en-US" w:eastAsia="zh-CN"/>
        </w:rPr>
        <w:t>安全生产责任保险实施办法</w:t>
      </w:r>
      <w:r>
        <w:rPr>
          <w:rFonts w:hint="eastAsia" w:ascii="宋体" w:hAnsi="宋体" w:eastAsia="宋体" w:cs="宋体"/>
          <w:color w:val="auto"/>
          <w:lang w:val="en-US" w:eastAsia="zh-CN"/>
        </w:rPr>
        <w:t>&gt;</w:t>
      </w:r>
      <w:r>
        <w:rPr>
          <w:rFonts w:hint="default"/>
          <w:color w:val="auto"/>
          <w:lang w:val="en-US" w:eastAsia="zh-CN"/>
        </w:rPr>
        <w:t>的通知》</w:t>
      </w:r>
      <w:r>
        <w:rPr>
          <w:rFonts w:hint="eastAsia"/>
          <w:color w:val="auto"/>
          <w:lang w:val="en-US" w:eastAsia="zh-CN"/>
        </w:rPr>
        <w:t>（</w:t>
      </w:r>
      <w:r>
        <w:rPr>
          <w:rFonts w:hint="default"/>
          <w:color w:val="auto"/>
          <w:lang w:val="en-US" w:eastAsia="zh-CN"/>
        </w:rPr>
        <w:t>应急〔2025〕27号</w:t>
      </w:r>
      <w:r>
        <w:rPr>
          <w:rFonts w:hint="eastAsia"/>
          <w:color w:val="auto"/>
          <w:lang w:val="en-US" w:eastAsia="zh-CN"/>
        </w:rPr>
        <w:t>，2025年3月29日）</w:t>
      </w:r>
    </w:p>
    <w:p w14:paraId="5444F970">
      <w:pPr>
        <w:rPr>
          <w:rFonts w:hint="eastAsia"/>
          <w:color w:val="auto"/>
          <w:lang w:val="en-US" w:eastAsia="zh-CN"/>
        </w:rPr>
      </w:pPr>
      <w:r>
        <w:rPr>
          <w:rFonts w:hint="eastAsia"/>
          <w:color w:val="auto"/>
          <w:lang w:val="en-US" w:eastAsia="zh-CN"/>
        </w:rPr>
        <w:t>《国家矿山安全监察局综合司关于明确矿山“五职”矿长和“五科”相关人员范围及相关要求的通知》（矿安综</w:t>
      </w:r>
      <w:r>
        <w:rPr>
          <w:rFonts w:hint="default"/>
          <w:color w:val="auto"/>
          <w:lang w:val="en-US" w:eastAsia="zh-CN"/>
        </w:rPr>
        <w:t>〔2025〕</w:t>
      </w:r>
      <w:r>
        <w:rPr>
          <w:rFonts w:hint="eastAsia"/>
          <w:color w:val="auto"/>
          <w:lang w:val="en-US" w:eastAsia="zh-CN"/>
        </w:rPr>
        <w:t>12号，2025年7月1日）</w:t>
      </w:r>
    </w:p>
    <w:p w14:paraId="74EA6885">
      <w:pPr>
        <w:rPr>
          <w:rFonts w:hint="default"/>
          <w:color w:val="FF0000"/>
          <w:lang w:val="en-US" w:eastAsia="zh-CN"/>
        </w:rPr>
      </w:pPr>
      <w:r>
        <w:rPr>
          <w:rFonts w:hint="default"/>
          <w:color w:val="FF0000"/>
          <w:lang w:val="en-US" w:eastAsia="zh-CN"/>
        </w:rPr>
        <w:t>《特种作业人员安全技术培训考核管理规定》（</w:t>
      </w:r>
      <w:r>
        <w:rPr>
          <w:rFonts w:hint="eastAsia"/>
          <w:color w:val="FF0000"/>
          <w:lang w:val="en-US" w:eastAsia="zh-CN"/>
        </w:rPr>
        <w:t>应急部令</w:t>
      </w:r>
      <w:r>
        <w:rPr>
          <w:rFonts w:hint="default"/>
          <w:color w:val="FF0000"/>
          <w:lang w:val="en-US" w:eastAsia="zh-CN"/>
        </w:rPr>
        <w:t>〔20</w:t>
      </w:r>
      <w:r>
        <w:rPr>
          <w:rFonts w:hint="eastAsia"/>
          <w:color w:val="FF0000"/>
          <w:lang w:val="en-US" w:eastAsia="zh-CN"/>
        </w:rPr>
        <w:t>25</w:t>
      </w:r>
      <w:r>
        <w:rPr>
          <w:rFonts w:hint="default"/>
          <w:color w:val="FF0000"/>
          <w:lang w:val="en-US" w:eastAsia="zh-CN"/>
        </w:rPr>
        <w:t>〕第</w:t>
      </w:r>
      <w:r>
        <w:rPr>
          <w:rFonts w:hint="eastAsia"/>
          <w:color w:val="FF0000"/>
          <w:lang w:val="en-US" w:eastAsia="zh-CN"/>
        </w:rPr>
        <w:t>19</w:t>
      </w:r>
      <w:r>
        <w:rPr>
          <w:rFonts w:hint="default"/>
          <w:color w:val="FF0000"/>
          <w:lang w:val="en-US" w:eastAsia="zh-CN"/>
        </w:rPr>
        <w:t>号，自2026年6月1日起施行）</w:t>
      </w:r>
    </w:p>
    <w:p w14:paraId="41A31A03">
      <w:pPr>
        <w:rPr>
          <w:rFonts w:hint="eastAsia" w:eastAsia="宋体"/>
          <w:color w:val="auto"/>
          <w:lang w:val="en-US" w:eastAsia="zh-CN"/>
        </w:rPr>
      </w:pPr>
      <w:r>
        <w:rPr>
          <w:rFonts w:hint="default"/>
          <w:color w:val="auto"/>
          <w:lang w:val="en-US" w:eastAsia="zh-CN"/>
        </w:rPr>
        <w:t>《江西省人民政府关于进一步加强企业安全生产工作的实施意见》（赣府发〔2010〕32号）</w:t>
      </w:r>
    </w:p>
    <w:p w14:paraId="36C4DB02">
      <w:pPr>
        <w:rPr>
          <w:rFonts w:hint="default" w:ascii="Times New Roman" w:hAnsi="Times New Roman" w:eastAsia="宋体"/>
          <w:color w:val="FF0000"/>
          <w:lang w:val="en-US" w:eastAsia="zh-CN"/>
        </w:rPr>
      </w:pPr>
      <w:r>
        <w:rPr>
          <w:rFonts w:hint="default" w:ascii="Times New Roman" w:hAnsi="Times New Roman" w:eastAsia="宋体"/>
          <w:color w:val="FF0000"/>
          <w:lang w:val="en-US" w:eastAsia="zh-CN"/>
        </w:rPr>
        <w:t>《江西省非煤矿矿山企业安全生产许可证实施办法》（赣政令〔2011〕189号发布，经赣政令〔2019〕241号</w:t>
      </w:r>
      <w:r>
        <w:rPr>
          <w:rFonts w:hint="eastAsia"/>
          <w:color w:val="FF0000"/>
          <w:lang w:val="en-US" w:eastAsia="zh-CN"/>
        </w:rPr>
        <w:t>、</w:t>
      </w:r>
      <w:r>
        <w:rPr>
          <w:rFonts w:hint="default" w:ascii="Times New Roman" w:hAnsi="Times New Roman" w:eastAsia="宋体"/>
          <w:color w:val="FF0000"/>
          <w:lang w:val="en-US" w:eastAsia="zh-CN"/>
        </w:rPr>
        <w:t>〔20</w:t>
      </w:r>
      <w:r>
        <w:rPr>
          <w:rFonts w:hint="eastAsia"/>
          <w:color w:val="FF0000"/>
          <w:lang w:val="en-US" w:eastAsia="zh-CN"/>
        </w:rPr>
        <w:t>25</w:t>
      </w:r>
      <w:r>
        <w:rPr>
          <w:rFonts w:hint="default" w:ascii="Times New Roman" w:hAnsi="Times New Roman" w:eastAsia="宋体"/>
          <w:color w:val="FF0000"/>
          <w:lang w:val="en-US" w:eastAsia="zh-CN"/>
        </w:rPr>
        <w:t>〕2</w:t>
      </w:r>
      <w:r>
        <w:rPr>
          <w:rFonts w:hint="eastAsia"/>
          <w:color w:val="FF0000"/>
          <w:lang w:val="en-US" w:eastAsia="zh-CN"/>
        </w:rPr>
        <w:t>73</w:t>
      </w:r>
      <w:r>
        <w:rPr>
          <w:rFonts w:hint="default" w:ascii="Times New Roman" w:hAnsi="Times New Roman" w:eastAsia="宋体"/>
          <w:color w:val="FF0000"/>
          <w:lang w:val="en-US" w:eastAsia="zh-CN"/>
        </w:rPr>
        <w:t>号修正，自2011年3月1日起施行）</w:t>
      </w:r>
    </w:p>
    <w:p w14:paraId="0B7E7E62">
      <w:pPr>
        <w:rPr>
          <w:rFonts w:hint="default"/>
          <w:color w:val="FF0000"/>
          <w:lang w:val="en-US" w:eastAsia="zh-CN"/>
        </w:rPr>
      </w:pPr>
      <w:r>
        <w:rPr>
          <w:rFonts w:hint="default"/>
          <w:color w:val="FF0000"/>
          <w:lang w:val="en-US" w:eastAsia="zh-CN"/>
        </w:rPr>
        <w:t>《江西省雷电灾害防御办法》（赣政令〔2012〕197号发布，依次经赣政令〔2015〕219号、赣政令〔2017〕227号、赣政令〔2019〕241号、赣政令〔2023〕261号修正，自2012年3月1日起施行）</w:t>
      </w:r>
    </w:p>
    <w:p w14:paraId="622EB8EC">
      <w:pPr>
        <w:rPr>
          <w:rFonts w:hint="default"/>
          <w:color w:val="auto"/>
          <w:lang w:val="en-US" w:eastAsia="zh-CN"/>
        </w:rPr>
      </w:pPr>
      <w:r>
        <w:rPr>
          <w:rFonts w:hint="default"/>
          <w:color w:val="auto"/>
          <w:lang w:val="en-US" w:eastAsia="zh-CN"/>
        </w:rPr>
        <w:t>《江西省安委会关于加强生产经营单位事故隐患排查治理工作的指导意见》（赣安〔2014〕32号，2014年12月18日）</w:t>
      </w:r>
    </w:p>
    <w:p w14:paraId="1CEAFD5D">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《江西省安监局关于印发江西省非煤矿山领域防范遏制重特大事故工作方案的通知》（赣安监管一字〔2016〕70号，2016年7月7日）</w:t>
      </w:r>
    </w:p>
    <w:p w14:paraId="741DC5A8">
      <w:pPr>
        <w:ind w:firstLine="8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《江西省安全生产委员会关于在全省高危行业领域实施安全生产责任保险制度的指导意见》（赣安〔2017〕22号，2017年10月26日）</w:t>
      </w:r>
    </w:p>
    <w:p w14:paraId="2B8B04E7">
      <w:pPr>
        <w:rPr>
          <w:rFonts w:hint="default"/>
          <w:color w:val="FF0000"/>
          <w:lang w:val="en-US" w:eastAsia="zh-CN"/>
        </w:rPr>
      </w:pPr>
      <w:r>
        <w:rPr>
          <w:rFonts w:hint="default"/>
          <w:color w:val="FF0000"/>
          <w:lang w:val="en-US" w:eastAsia="zh-CN"/>
        </w:rPr>
        <w:t>《江西省生产安全事故隐患排查治理办法》（赣政令〔2018〕238号发布，经赣政令〔2021〕250号修正，自2018年12月1日起施行）</w:t>
      </w:r>
    </w:p>
    <w:p w14:paraId="3E86EFB5">
      <w:pPr>
        <w:rPr>
          <w:rFonts w:hint="default"/>
          <w:color w:val="auto"/>
          <w:lang w:val="en-US" w:eastAsia="zh-CN"/>
        </w:rPr>
      </w:pPr>
      <w:r>
        <w:rPr>
          <w:rFonts w:hint="default"/>
          <w:color w:val="auto"/>
          <w:lang w:val="en-US" w:eastAsia="zh-CN"/>
        </w:rPr>
        <w:t>《江西省安全生产培训考核实施细则（暂行）》（赣应急字〔2021〕108号，2021年7月1日）</w:t>
      </w:r>
    </w:p>
    <w:p w14:paraId="112B1072">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《江西省应急管理厅关于做好〈中共中央办公厅 国务院办公厅关于进步加强矿山安全生产工作的意见〉学习宣传贯彻工作的通知》（赣应急字〔2023〕16号，2023年11月17日）</w:t>
      </w:r>
    </w:p>
    <w:p w14:paraId="00F08A0E">
      <w:pPr>
        <w:pStyle w:val="4"/>
        <w:bidi w:val="0"/>
        <w:rPr>
          <w:rFonts w:hint="default"/>
          <w:color w:val="auto"/>
          <w:lang w:val="en-US" w:eastAsia="zh-CN"/>
        </w:rPr>
      </w:pPr>
      <w:bookmarkStart w:id="57" w:name="_Toc21706"/>
      <w:bookmarkStart w:id="58" w:name="_Toc3129"/>
      <w:bookmarkStart w:id="59" w:name="_Toc16037"/>
      <w:bookmarkStart w:id="60" w:name="_Toc18855"/>
      <w:r>
        <w:rPr>
          <w:rFonts w:hint="default"/>
          <w:color w:val="auto"/>
          <w:lang w:val="en-US" w:eastAsia="zh-CN"/>
        </w:rPr>
        <w:t>1.3.3 标准、规范</w:t>
      </w:r>
      <w:bookmarkEnd w:id="57"/>
      <w:bookmarkEnd w:id="58"/>
      <w:bookmarkEnd w:id="59"/>
      <w:bookmarkEnd w:id="60"/>
    </w:p>
    <w:p w14:paraId="1487118E">
      <w:pPr>
        <w:rPr>
          <w:rFonts w:hint="default"/>
          <w:color w:val="auto"/>
          <w:lang w:val="en-US" w:eastAsia="zh-CN"/>
        </w:rPr>
      </w:pPr>
      <w:r>
        <w:rPr>
          <w:rFonts w:hint="default"/>
          <w:color w:val="auto"/>
          <w:lang w:val="en-US" w:eastAsia="zh-CN"/>
        </w:rPr>
        <w:t>《建筑灭火器配置设计规范》</w:t>
      </w:r>
      <w:r>
        <w:rPr>
          <w:rFonts w:hint="eastAsia"/>
          <w:color w:val="auto"/>
          <w:lang w:val="en-US" w:eastAsia="zh-CN"/>
        </w:rPr>
        <w:t xml:space="preserve">                       </w:t>
      </w:r>
      <w:r>
        <w:rPr>
          <w:rFonts w:hint="default"/>
          <w:color w:val="auto"/>
          <w:lang w:val="en-US" w:eastAsia="zh-CN"/>
        </w:rPr>
        <w:t>GB50140-2005</w:t>
      </w:r>
    </w:p>
    <w:p w14:paraId="6392B357">
      <w:pPr>
        <w:rPr>
          <w:rFonts w:hint="default"/>
          <w:color w:val="auto"/>
          <w:lang w:val="en-US" w:eastAsia="zh-CN"/>
        </w:rPr>
      </w:pPr>
      <w:r>
        <w:rPr>
          <w:rFonts w:hint="default"/>
          <w:color w:val="auto"/>
          <w:lang w:val="en-US" w:eastAsia="zh-CN"/>
        </w:rPr>
        <w:t>《供配电系统设计规范》</w:t>
      </w:r>
      <w:r>
        <w:rPr>
          <w:rFonts w:hint="eastAsia"/>
          <w:color w:val="auto"/>
          <w:lang w:val="en-US" w:eastAsia="zh-CN"/>
        </w:rPr>
        <w:t xml:space="preserve">                           </w:t>
      </w:r>
      <w:r>
        <w:rPr>
          <w:rFonts w:hint="default"/>
          <w:color w:val="auto"/>
          <w:lang w:val="en-US" w:eastAsia="zh-CN"/>
        </w:rPr>
        <w:t>GB50052-2009</w:t>
      </w:r>
    </w:p>
    <w:p w14:paraId="11E91C59">
      <w:pPr>
        <w:bidi w:val="0"/>
        <w:rPr>
          <w:rFonts w:hint="default"/>
          <w:color w:val="auto"/>
          <w:lang w:val="en-US" w:eastAsia="zh-CN"/>
        </w:rPr>
      </w:pPr>
      <w:r>
        <w:rPr>
          <w:rFonts w:hint="eastAsia"/>
          <w:color w:val="auto"/>
          <w:lang w:val="en-US" w:eastAsia="zh-CN"/>
        </w:rPr>
        <w:t>《建筑物防雷设计规范》                           GB50057-2010</w:t>
      </w:r>
    </w:p>
    <w:p w14:paraId="76E97C21">
      <w:pPr>
        <w:rPr>
          <w:rFonts w:hint="default"/>
          <w:color w:val="auto"/>
          <w:lang w:val="en-US" w:eastAsia="zh-CN"/>
        </w:rPr>
      </w:pPr>
      <w:r>
        <w:rPr>
          <w:rFonts w:hint="default"/>
          <w:color w:val="auto"/>
          <w:lang w:val="en-US" w:eastAsia="zh-CN"/>
        </w:rPr>
        <w:t>《低压配电设计规范》</w:t>
      </w:r>
      <w:r>
        <w:rPr>
          <w:rFonts w:hint="eastAsia"/>
          <w:color w:val="auto"/>
          <w:lang w:val="en-US" w:eastAsia="zh-CN"/>
        </w:rPr>
        <w:t xml:space="preserve">                             </w:t>
      </w:r>
      <w:r>
        <w:rPr>
          <w:rFonts w:hint="default"/>
          <w:color w:val="auto"/>
          <w:lang w:val="en-US" w:eastAsia="zh-CN"/>
        </w:rPr>
        <w:t>GB50054-2011</w:t>
      </w:r>
    </w:p>
    <w:p w14:paraId="6A7F76A5">
      <w:pPr>
        <w:bidi w:val="0"/>
        <w:rPr>
          <w:rFonts w:hint="eastAsia"/>
          <w:color w:val="auto"/>
          <w:lang w:val="en-US" w:eastAsia="zh-CN"/>
        </w:rPr>
      </w:pPr>
      <w:r>
        <w:rPr>
          <w:rFonts w:hint="eastAsia"/>
          <w:color w:val="auto"/>
          <w:lang w:val="en-US" w:eastAsia="zh-CN"/>
        </w:rPr>
        <w:t>《工业企业总平面设计规范》                       GB50187-2012</w:t>
      </w:r>
    </w:p>
    <w:p w14:paraId="5FE605E1">
      <w:pPr>
        <w:bidi w:val="0"/>
        <w:rPr>
          <w:rFonts w:hint="eastAsia"/>
          <w:color w:val="auto"/>
          <w:lang w:val="en-US" w:eastAsia="zh-CN"/>
        </w:rPr>
      </w:pPr>
      <w:r>
        <w:rPr>
          <w:rFonts w:hint="eastAsia"/>
          <w:color w:val="auto"/>
          <w:lang w:val="en-US" w:eastAsia="zh-CN"/>
        </w:rPr>
        <w:t>《建筑设计防火规范（2018年版）》                 GB50016-2014</w:t>
      </w:r>
    </w:p>
    <w:p w14:paraId="18126928">
      <w:pPr>
        <w:rPr>
          <w:rFonts w:hint="default"/>
          <w:color w:val="auto"/>
          <w:lang w:val="en-US" w:eastAsia="zh-CN"/>
        </w:rPr>
      </w:pPr>
      <w:r>
        <w:rPr>
          <w:rFonts w:hint="default"/>
          <w:color w:val="auto"/>
          <w:lang w:val="en-US" w:eastAsia="zh-CN"/>
        </w:rPr>
        <w:t>《中国地震动参数区划图》</w:t>
      </w:r>
      <w:r>
        <w:rPr>
          <w:rFonts w:hint="eastAsia"/>
          <w:color w:val="auto"/>
          <w:lang w:val="en-US" w:eastAsia="zh-CN"/>
        </w:rPr>
        <w:t xml:space="preserve">                         </w:t>
      </w:r>
      <w:r>
        <w:rPr>
          <w:rFonts w:hint="default"/>
          <w:color w:val="auto"/>
          <w:lang w:val="en-US" w:eastAsia="zh-CN"/>
        </w:rPr>
        <w:t>GB18306-2015</w:t>
      </w:r>
    </w:p>
    <w:p w14:paraId="2C9928A0">
      <w:pPr>
        <w:rPr>
          <w:rFonts w:hint="default"/>
          <w:color w:val="auto"/>
          <w:lang w:val="en-US" w:eastAsia="zh-CN"/>
        </w:rPr>
      </w:pPr>
      <w:r>
        <w:rPr>
          <w:rFonts w:hint="default"/>
          <w:color w:val="auto"/>
          <w:lang w:val="en-US" w:eastAsia="zh-CN"/>
        </w:rPr>
        <w:t>《爆破安全规程》</w:t>
      </w:r>
      <w:r>
        <w:rPr>
          <w:rFonts w:hint="eastAsia"/>
          <w:color w:val="auto"/>
          <w:lang w:val="en-US" w:eastAsia="zh-CN"/>
        </w:rPr>
        <w:t xml:space="preserve">                        </w:t>
      </w:r>
      <w:r>
        <w:rPr>
          <w:rFonts w:hint="default"/>
          <w:color w:val="auto"/>
          <w:lang w:val="en-US" w:eastAsia="zh-CN"/>
        </w:rPr>
        <w:t>GB6722-2014/XG1-2016</w:t>
      </w:r>
    </w:p>
    <w:p w14:paraId="0F45196F">
      <w:pPr>
        <w:rPr>
          <w:rFonts w:hint="default"/>
          <w:color w:val="auto"/>
          <w:lang w:val="en-US" w:eastAsia="zh-CN"/>
        </w:rPr>
      </w:pPr>
      <w:r>
        <w:rPr>
          <w:rFonts w:hint="default"/>
          <w:color w:val="auto"/>
          <w:lang w:val="en-US" w:eastAsia="zh-CN"/>
        </w:rPr>
        <w:t>《危险化学品重大危险源辨识》</w:t>
      </w:r>
      <w:r>
        <w:rPr>
          <w:rFonts w:hint="eastAsia"/>
          <w:color w:val="auto"/>
          <w:lang w:val="en-US" w:eastAsia="zh-CN"/>
        </w:rPr>
        <w:t xml:space="preserve">                     </w:t>
      </w:r>
      <w:r>
        <w:rPr>
          <w:rFonts w:hint="default"/>
          <w:color w:val="auto"/>
          <w:lang w:val="en-US" w:eastAsia="zh-CN"/>
        </w:rPr>
        <w:t>GB18218-2018</w:t>
      </w:r>
    </w:p>
    <w:p w14:paraId="7C70C24D">
      <w:pPr>
        <w:rPr>
          <w:rFonts w:hint="default"/>
          <w:color w:val="auto"/>
          <w:lang w:val="en-US" w:eastAsia="zh-CN"/>
        </w:rPr>
      </w:pPr>
      <w:r>
        <w:rPr>
          <w:rFonts w:hint="default"/>
          <w:color w:val="auto"/>
          <w:lang w:val="en-US" w:eastAsia="zh-CN"/>
        </w:rPr>
        <w:t>《金属非金属矿山安全规程》</w:t>
      </w:r>
      <w:r>
        <w:rPr>
          <w:rFonts w:hint="eastAsia"/>
          <w:color w:val="auto"/>
          <w:lang w:val="en-US" w:eastAsia="zh-CN"/>
        </w:rPr>
        <w:t xml:space="preserve">                       </w:t>
      </w:r>
      <w:r>
        <w:rPr>
          <w:rFonts w:hint="default"/>
          <w:color w:val="auto"/>
          <w:lang w:val="en-US" w:eastAsia="zh-CN"/>
        </w:rPr>
        <w:t>GB16423-2020</w:t>
      </w:r>
    </w:p>
    <w:p w14:paraId="31CF0ADC">
      <w:pPr>
        <w:rPr>
          <w:rFonts w:hint="default"/>
          <w:color w:val="auto"/>
          <w:lang w:val="en-US" w:eastAsia="zh-CN"/>
        </w:rPr>
      </w:pPr>
      <w:r>
        <w:rPr>
          <w:rFonts w:hint="default"/>
          <w:color w:val="auto"/>
          <w:lang w:val="en-US" w:eastAsia="zh-CN"/>
        </w:rPr>
        <w:t>《矿山电力设计标准》</w:t>
      </w:r>
      <w:r>
        <w:rPr>
          <w:rFonts w:hint="eastAsia"/>
          <w:color w:val="auto"/>
          <w:lang w:val="en-US" w:eastAsia="zh-CN"/>
        </w:rPr>
        <w:t xml:space="preserve">                             </w:t>
      </w:r>
      <w:r>
        <w:rPr>
          <w:rFonts w:hint="default"/>
          <w:color w:val="auto"/>
          <w:lang w:val="en-US" w:eastAsia="zh-CN"/>
        </w:rPr>
        <w:t>GB50070-2020</w:t>
      </w:r>
    </w:p>
    <w:p w14:paraId="52F5161E">
      <w:pPr>
        <w:rPr>
          <w:rFonts w:hint="default"/>
          <w:color w:val="auto"/>
          <w:lang w:val="en-US" w:eastAsia="zh-CN"/>
        </w:rPr>
      </w:pPr>
      <w:r>
        <w:rPr>
          <w:rFonts w:hint="default"/>
          <w:color w:val="auto"/>
          <w:lang w:val="en-US" w:eastAsia="zh-CN"/>
        </w:rPr>
        <w:t>《个体防护装备配备规范 第1部分：总则》</w:t>
      </w:r>
      <w:r>
        <w:rPr>
          <w:rFonts w:hint="eastAsia"/>
          <w:color w:val="auto"/>
          <w:lang w:val="en-US" w:eastAsia="zh-CN"/>
        </w:rPr>
        <w:t xml:space="preserve">          </w:t>
      </w:r>
      <w:r>
        <w:rPr>
          <w:rFonts w:hint="default"/>
          <w:color w:val="auto"/>
          <w:lang w:val="en-US" w:eastAsia="zh-CN"/>
        </w:rPr>
        <w:t>GB39800.1-2020</w:t>
      </w:r>
    </w:p>
    <w:p w14:paraId="70180C14">
      <w:pPr>
        <w:rPr>
          <w:rFonts w:hint="default"/>
          <w:color w:val="auto"/>
          <w:lang w:val="en-US" w:eastAsia="zh-CN"/>
        </w:rPr>
      </w:pPr>
      <w:r>
        <w:rPr>
          <w:rFonts w:hint="default"/>
          <w:color w:val="auto"/>
          <w:lang w:val="en-US" w:eastAsia="zh-CN"/>
        </w:rPr>
        <w:t>《个体防护装备配备规范 第4部分：非煤矿山》</w:t>
      </w:r>
      <w:r>
        <w:rPr>
          <w:rFonts w:hint="eastAsia"/>
          <w:color w:val="auto"/>
          <w:lang w:val="en-US" w:eastAsia="zh-CN"/>
        </w:rPr>
        <w:t xml:space="preserve">      </w:t>
      </w:r>
      <w:r>
        <w:rPr>
          <w:rFonts w:hint="default"/>
          <w:color w:val="auto"/>
          <w:lang w:val="en-US" w:eastAsia="zh-CN"/>
        </w:rPr>
        <w:t>GB39800.4-2020</w:t>
      </w:r>
    </w:p>
    <w:p w14:paraId="3AD177A9">
      <w:pPr>
        <w:rPr>
          <w:rFonts w:hint="default"/>
          <w:color w:val="auto"/>
          <w:lang w:val="en-US" w:eastAsia="zh-CN"/>
        </w:rPr>
      </w:pPr>
      <w:r>
        <w:rPr>
          <w:rFonts w:hint="default"/>
          <w:color w:val="auto"/>
          <w:lang w:val="en-US" w:eastAsia="zh-CN"/>
        </w:rPr>
        <w:t>《机械安全 防止上下肢触及危险区的安全距离》</w:t>
      </w:r>
      <w:r>
        <w:rPr>
          <w:rFonts w:hint="eastAsia"/>
          <w:color w:val="auto"/>
          <w:lang w:val="en-US" w:eastAsia="zh-CN"/>
        </w:rPr>
        <w:t xml:space="preserve">      </w:t>
      </w:r>
      <w:r>
        <w:rPr>
          <w:rFonts w:hint="default"/>
          <w:color w:val="auto"/>
          <w:lang w:val="en-US" w:eastAsia="zh-CN"/>
        </w:rPr>
        <w:t>GB23821-2022</w:t>
      </w:r>
    </w:p>
    <w:p w14:paraId="6584081D">
      <w:pPr>
        <w:ind w:left="280" w:leftChars="100" w:firstLine="280" w:firstLineChars="100"/>
        <w:rPr>
          <w:rFonts w:hint="default"/>
          <w:color w:val="auto"/>
          <w:lang w:val="en-US" w:eastAsia="zh-CN"/>
        </w:rPr>
      </w:pPr>
      <w:r>
        <w:rPr>
          <w:rFonts w:hint="default"/>
          <w:color w:val="auto"/>
          <w:lang w:val="en-US" w:eastAsia="zh-CN"/>
        </w:rPr>
        <w:t>《生产设备安全卫生设计总则》</w:t>
      </w:r>
      <w:r>
        <w:rPr>
          <w:rFonts w:hint="eastAsia"/>
          <w:color w:val="auto"/>
          <w:lang w:val="en-US" w:eastAsia="zh-CN"/>
        </w:rPr>
        <w:t xml:space="preserve">                      </w:t>
      </w:r>
      <w:r>
        <w:rPr>
          <w:rFonts w:hint="default"/>
          <w:color w:val="auto"/>
          <w:lang w:val="en-US" w:eastAsia="zh-CN"/>
        </w:rPr>
        <w:t>GB5083-2023</w:t>
      </w:r>
    </w:p>
    <w:p w14:paraId="5F756E87">
      <w:pPr>
        <w:rPr>
          <w:rFonts w:hint="default"/>
          <w:color w:val="auto"/>
          <w:lang w:val="en-US" w:eastAsia="zh-CN"/>
        </w:rPr>
      </w:pPr>
      <w:r>
        <w:rPr>
          <w:rFonts w:hint="default"/>
          <w:color w:val="auto"/>
          <w:lang w:val="en-US" w:eastAsia="zh-CN"/>
        </w:rPr>
        <w:t>《国家电气设备安全技术规范》</w:t>
      </w:r>
      <w:r>
        <w:rPr>
          <w:rFonts w:hint="eastAsia"/>
          <w:color w:val="auto"/>
          <w:lang w:val="en-US" w:eastAsia="zh-CN"/>
        </w:rPr>
        <w:t xml:space="preserve">                     </w:t>
      </w:r>
      <w:r>
        <w:rPr>
          <w:rFonts w:hint="default"/>
          <w:color w:val="auto"/>
          <w:lang w:val="en-US" w:eastAsia="zh-CN"/>
        </w:rPr>
        <w:t>GB19517-</w:t>
      </w:r>
      <w:r>
        <w:rPr>
          <w:rFonts w:hint="eastAsia"/>
          <w:color w:val="auto"/>
          <w:lang w:val="en-US" w:eastAsia="zh-CN"/>
        </w:rPr>
        <w:t>2023</w:t>
      </w:r>
    </w:p>
    <w:p w14:paraId="05694E66">
      <w:pPr>
        <w:pStyle w:val="8"/>
        <w:rPr>
          <w:rFonts w:hint="eastAsia"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rPr>
        <w:t>安全色</w:t>
      </w:r>
      <w:r>
        <w:rPr>
          <w:rFonts w:hint="eastAsia" w:cs="Times New Roman"/>
          <w:color w:val="auto"/>
          <w:sz w:val="28"/>
          <w:szCs w:val="28"/>
          <w:lang w:val="en-US" w:eastAsia="zh-CN"/>
        </w:rPr>
        <w:t>和</w:t>
      </w:r>
      <w:r>
        <w:rPr>
          <w:rFonts w:hint="eastAsia" w:ascii="Times New Roman" w:hAnsi="Times New Roman" w:eastAsia="宋体" w:cs="Times New Roman"/>
          <w:color w:val="auto"/>
          <w:sz w:val="28"/>
          <w:szCs w:val="28"/>
        </w:rPr>
        <w:t>安全标志</w:t>
      </w:r>
      <w:r>
        <w:rPr>
          <w:rFonts w:hint="eastAsia" w:ascii="Times New Roman" w:hAnsi="Times New Roman" w:eastAsia="宋体" w:cs="Times New Roman"/>
          <w:color w:val="auto"/>
          <w:sz w:val="28"/>
          <w:szCs w:val="28"/>
          <w:lang w:val="en-US" w:eastAsia="zh-CN"/>
        </w:rPr>
        <w:t xml:space="preserve">》                              </w:t>
      </w:r>
      <w:r>
        <w:rPr>
          <w:rFonts w:hint="eastAsia" w:cs="Times New Roman"/>
          <w:color w:val="auto"/>
          <w:sz w:val="28"/>
          <w:szCs w:val="28"/>
          <w:lang w:eastAsia="zh-CN"/>
        </w:rPr>
        <w:t>GB2894-2025</w:t>
      </w:r>
    </w:p>
    <w:p w14:paraId="07ED42E3">
      <w:pPr>
        <w:bidi w:val="0"/>
        <w:rPr>
          <w:rFonts w:hint="default"/>
          <w:color w:val="auto"/>
          <w:lang w:val="en-US" w:eastAsia="zh-CN"/>
        </w:rPr>
      </w:pPr>
      <w:r>
        <w:rPr>
          <w:rFonts w:hint="eastAsia"/>
          <w:color w:val="auto"/>
          <w:lang w:val="en-US" w:eastAsia="zh-CN"/>
        </w:rPr>
        <w:t>《生产过程安全基本要求》                         GB12801-2025</w:t>
      </w:r>
    </w:p>
    <w:p w14:paraId="3B358010">
      <w:pPr>
        <w:bidi w:val="0"/>
        <w:rPr>
          <w:rFonts w:hint="eastAsia"/>
          <w:color w:val="auto"/>
          <w:lang w:val="en-US" w:eastAsia="zh-CN"/>
        </w:rPr>
      </w:pPr>
      <w:r>
        <w:rPr>
          <w:rFonts w:hint="eastAsia"/>
          <w:color w:val="auto"/>
          <w:lang w:val="en-US" w:eastAsia="zh-CN"/>
        </w:rPr>
        <w:t>《生产安全事故分类与编码》                        GB6441-2025</w:t>
      </w:r>
    </w:p>
    <w:p w14:paraId="6ED04447">
      <w:pPr>
        <w:bidi w:val="0"/>
        <w:rPr>
          <w:rFonts w:hint="eastAsia" w:cs="Times New Roman"/>
          <w:color w:val="auto"/>
          <w:sz w:val="28"/>
          <w:szCs w:val="28"/>
          <w:lang w:val="en-US" w:eastAsia="zh-CN"/>
        </w:rPr>
      </w:pPr>
      <w:r>
        <w:rPr>
          <w:rFonts w:hint="eastAsia"/>
          <w:color w:val="auto"/>
          <w:lang w:val="en-US" w:eastAsia="zh-CN"/>
        </w:rPr>
        <w:t>《高处作业分级》                                  GB3608-2025</w:t>
      </w:r>
    </w:p>
    <w:p w14:paraId="536A2EBF">
      <w:pPr>
        <w:bidi w:val="0"/>
        <w:rPr>
          <w:rFonts w:hint="default"/>
          <w:color w:val="auto"/>
          <w:lang w:val="en-US" w:eastAsia="zh-CN"/>
        </w:rPr>
      </w:pPr>
      <w:r>
        <w:rPr>
          <w:rFonts w:hint="default"/>
          <w:color w:val="auto"/>
          <w:lang w:val="en-US" w:eastAsia="zh-CN"/>
        </w:rPr>
        <w:t>《机械设备防护罩安全要求》                      GB/T8196-2003</w:t>
      </w:r>
    </w:p>
    <w:p w14:paraId="41478599">
      <w:pPr>
        <w:rPr>
          <w:rFonts w:hint="default"/>
          <w:color w:val="auto"/>
          <w:lang w:val="en-US" w:eastAsia="zh-CN"/>
        </w:rPr>
      </w:pPr>
      <w:r>
        <w:rPr>
          <w:rFonts w:hint="default"/>
          <w:color w:val="auto"/>
          <w:lang w:val="en-US" w:eastAsia="zh-CN"/>
        </w:rPr>
        <w:t>《矿山安全术语》</w:t>
      </w:r>
      <w:r>
        <w:rPr>
          <w:rFonts w:hint="eastAsia"/>
          <w:color w:val="auto"/>
          <w:lang w:val="en-US" w:eastAsia="zh-CN"/>
        </w:rPr>
        <w:t xml:space="preserve">                               </w:t>
      </w:r>
      <w:r>
        <w:rPr>
          <w:rFonts w:hint="default"/>
          <w:color w:val="auto"/>
          <w:lang w:val="en-US" w:eastAsia="zh-CN"/>
        </w:rPr>
        <w:t>GB/T15259-2008</w:t>
      </w:r>
    </w:p>
    <w:p w14:paraId="7B0CEBDF">
      <w:pPr>
        <w:rPr>
          <w:rFonts w:hint="default"/>
          <w:color w:val="auto"/>
          <w:lang w:val="en-US" w:eastAsia="zh-CN"/>
        </w:rPr>
      </w:pPr>
      <w:r>
        <w:rPr>
          <w:rFonts w:hint="default"/>
          <w:color w:val="auto"/>
          <w:lang w:val="en-US" w:eastAsia="zh-CN"/>
        </w:rPr>
        <w:t>《矿山安全标志》</w:t>
      </w:r>
      <w:r>
        <w:rPr>
          <w:rFonts w:hint="eastAsia"/>
          <w:color w:val="auto"/>
          <w:lang w:val="en-US" w:eastAsia="zh-CN"/>
        </w:rPr>
        <w:t xml:space="preserve">                               </w:t>
      </w:r>
      <w:r>
        <w:rPr>
          <w:rFonts w:hint="default"/>
          <w:color w:val="auto"/>
          <w:lang w:val="en-US" w:eastAsia="zh-CN"/>
        </w:rPr>
        <w:t>GB/T14161-2008</w:t>
      </w:r>
    </w:p>
    <w:p w14:paraId="7BE0D89A">
      <w:pPr>
        <w:rPr>
          <w:rFonts w:hint="default"/>
          <w:color w:val="auto"/>
          <w:lang w:val="en-US" w:eastAsia="zh-CN"/>
        </w:rPr>
      </w:pPr>
      <w:r>
        <w:rPr>
          <w:rFonts w:hint="default"/>
          <w:color w:val="auto"/>
          <w:lang w:val="en-US" w:eastAsia="zh-CN"/>
        </w:rPr>
        <w:t>《用电安全导则》</w:t>
      </w:r>
      <w:r>
        <w:rPr>
          <w:rFonts w:hint="eastAsia"/>
          <w:color w:val="auto"/>
          <w:lang w:val="en-US" w:eastAsia="zh-CN"/>
        </w:rPr>
        <w:t xml:space="preserve">                               </w:t>
      </w:r>
      <w:r>
        <w:rPr>
          <w:rFonts w:hint="default"/>
          <w:color w:val="auto"/>
          <w:lang w:val="en-US" w:eastAsia="zh-CN"/>
        </w:rPr>
        <w:t>GB/T13869-20</w:t>
      </w:r>
      <w:r>
        <w:rPr>
          <w:rFonts w:hint="eastAsia"/>
          <w:color w:val="auto"/>
          <w:lang w:val="en-US" w:eastAsia="zh-CN"/>
        </w:rPr>
        <w:t>17</w:t>
      </w:r>
    </w:p>
    <w:p w14:paraId="231F8B59">
      <w:pPr>
        <w:rPr>
          <w:rFonts w:hint="default"/>
          <w:color w:val="auto"/>
          <w:lang w:val="en-US" w:eastAsia="zh-CN"/>
        </w:rPr>
      </w:pPr>
      <w:r>
        <w:rPr>
          <w:rFonts w:hint="default"/>
          <w:color w:val="auto"/>
          <w:lang w:val="en-US" w:eastAsia="zh-CN"/>
        </w:rPr>
        <w:t>《生产经营单位生产安全事故应急预案编制导则》</w:t>
      </w:r>
      <w:r>
        <w:rPr>
          <w:rFonts w:hint="eastAsia"/>
          <w:color w:val="auto"/>
          <w:lang w:val="en-US" w:eastAsia="zh-CN"/>
        </w:rPr>
        <w:t xml:space="preserve">   </w:t>
      </w:r>
      <w:r>
        <w:rPr>
          <w:rFonts w:hint="default"/>
          <w:color w:val="auto"/>
          <w:lang w:val="en-US" w:eastAsia="zh-CN"/>
        </w:rPr>
        <w:t>GB/T29639-2020</w:t>
      </w:r>
    </w:p>
    <w:p w14:paraId="2ACA8ACA">
      <w:pPr>
        <w:rPr>
          <w:rFonts w:hint="default"/>
          <w:color w:val="auto"/>
          <w:lang w:val="en-US" w:eastAsia="zh-CN"/>
        </w:rPr>
      </w:pPr>
      <w:r>
        <w:rPr>
          <w:rFonts w:hint="default"/>
          <w:color w:val="auto"/>
          <w:lang w:val="en-US" w:eastAsia="zh-CN"/>
        </w:rPr>
        <w:t>《生产过程危险和有害因素分类与代码》</w:t>
      </w:r>
      <w:r>
        <w:rPr>
          <w:rFonts w:hint="eastAsia"/>
          <w:color w:val="auto"/>
          <w:lang w:val="en-US" w:eastAsia="zh-CN"/>
        </w:rPr>
        <w:t xml:space="preserve">           </w:t>
      </w:r>
      <w:r>
        <w:rPr>
          <w:rFonts w:hint="default"/>
          <w:color w:val="auto"/>
          <w:lang w:val="en-US" w:eastAsia="zh-CN"/>
        </w:rPr>
        <w:t>GB/T 13861-2022</w:t>
      </w:r>
    </w:p>
    <w:p w14:paraId="520C0132">
      <w:pPr>
        <w:rPr>
          <w:rFonts w:hint="default"/>
          <w:color w:val="auto"/>
          <w:lang w:val="en-US" w:eastAsia="zh-CN"/>
        </w:rPr>
      </w:pPr>
      <w:r>
        <w:rPr>
          <w:rFonts w:hint="default"/>
          <w:color w:val="auto"/>
          <w:lang w:val="en-US" w:eastAsia="zh-CN"/>
        </w:rPr>
        <w:t>《建筑照明设计标准》</w:t>
      </w:r>
      <w:r>
        <w:rPr>
          <w:rFonts w:hint="eastAsia"/>
          <w:color w:val="auto"/>
          <w:lang w:val="en-US" w:eastAsia="zh-CN"/>
        </w:rPr>
        <w:t xml:space="preserve">                           </w:t>
      </w:r>
      <w:r>
        <w:rPr>
          <w:rFonts w:hint="default"/>
          <w:color w:val="auto"/>
          <w:lang w:val="en-US" w:eastAsia="zh-CN"/>
        </w:rPr>
        <w:t>GB/T 50034-2024</w:t>
      </w:r>
    </w:p>
    <w:p w14:paraId="5AD34838">
      <w:pPr>
        <w:rPr>
          <w:rFonts w:hint="default"/>
          <w:color w:val="auto"/>
          <w:lang w:val="en-US" w:eastAsia="zh-CN"/>
        </w:rPr>
      </w:pPr>
      <w:r>
        <w:rPr>
          <w:rFonts w:hint="default"/>
          <w:color w:val="auto"/>
          <w:lang w:val="en-US" w:eastAsia="zh-CN"/>
        </w:rPr>
        <w:t>《大中型企业安全生产标准化管理体系要求》</w:t>
      </w:r>
      <w:r>
        <w:rPr>
          <w:rFonts w:hint="eastAsia"/>
          <w:color w:val="auto"/>
          <w:lang w:val="en-US" w:eastAsia="zh-CN"/>
        </w:rPr>
        <w:t xml:space="preserve">      </w:t>
      </w:r>
      <w:r>
        <w:rPr>
          <w:rFonts w:hint="default"/>
          <w:color w:val="auto"/>
          <w:lang w:val="en-US" w:eastAsia="zh-CN"/>
        </w:rPr>
        <w:t>GB/T 33000-20</w:t>
      </w:r>
      <w:r>
        <w:rPr>
          <w:rFonts w:hint="eastAsia"/>
          <w:color w:val="auto"/>
          <w:lang w:val="en-US" w:eastAsia="zh-CN"/>
        </w:rPr>
        <w:t>25</w:t>
      </w:r>
    </w:p>
    <w:p w14:paraId="39EA006A">
      <w:pPr>
        <w:rPr>
          <w:rFonts w:hint="default"/>
          <w:color w:val="auto"/>
          <w:lang w:val="en-US" w:eastAsia="zh-CN"/>
        </w:rPr>
      </w:pPr>
      <w:r>
        <w:rPr>
          <w:rFonts w:hint="default"/>
          <w:color w:val="auto"/>
          <w:lang w:val="en-US" w:eastAsia="zh-CN"/>
        </w:rPr>
        <w:t>《厂矿道路设计规范》</w:t>
      </w:r>
      <w:r>
        <w:rPr>
          <w:rFonts w:hint="eastAsia"/>
          <w:color w:val="auto"/>
          <w:lang w:val="en-US" w:eastAsia="zh-CN"/>
        </w:rPr>
        <w:t xml:space="preserve">                               </w:t>
      </w:r>
      <w:r>
        <w:rPr>
          <w:rFonts w:hint="default"/>
          <w:color w:val="auto"/>
          <w:lang w:val="en-US" w:eastAsia="zh-CN"/>
        </w:rPr>
        <w:t>GBJ22-1987</w:t>
      </w:r>
    </w:p>
    <w:p w14:paraId="5A4DDF20">
      <w:pPr>
        <w:rPr>
          <w:rFonts w:hint="default"/>
          <w:color w:val="auto"/>
          <w:lang w:val="en-US" w:eastAsia="zh-CN"/>
        </w:rPr>
      </w:pPr>
      <w:r>
        <w:rPr>
          <w:rFonts w:hint="default"/>
          <w:color w:val="auto"/>
          <w:lang w:val="en-US" w:eastAsia="zh-CN"/>
        </w:rPr>
        <w:t>《</w:t>
      </w:r>
      <w:r>
        <w:rPr>
          <w:rFonts w:hint="eastAsia"/>
          <w:color w:val="auto"/>
          <w:lang w:val="en-US" w:eastAsia="zh-CN"/>
        </w:rPr>
        <w:t>工作</w:t>
      </w:r>
      <w:r>
        <w:rPr>
          <w:rFonts w:hint="default"/>
          <w:color w:val="auto"/>
          <w:lang w:val="en-US" w:eastAsia="zh-CN"/>
        </w:rPr>
        <w:t>场所职业病危害警示标识》</w:t>
      </w:r>
      <w:r>
        <w:rPr>
          <w:rFonts w:hint="eastAsia"/>
          <w:color w:val="auto"/>
          <w:lang w:val="en-US" w:eastAsia="zh-CN"/>
        </w:rPr>
        <w:t xml:space="preserve">                    </w:t>
      </w:r>
      <w:r>
        <w:rPr>
          <w:rFonts w:hint="default"/>
          <w:color w:val="auto"/>
          <w:lang w:val="en-US" w:eastAsia="zh-CN"/>
        </w:rPr>
        <w:t>GBZ158-2003</w:t>
      </w:r>
    </w:p>
    <w:p w14:paraId="14F17407">
      <w:pPr>
        <w:rPr>
          <w:rFonts w:hint="default"/>
          <w:color w:val="auto"/>
          <w:lang w:val="en-US" w:eastAsia="zh-CN"/>
        </w:rPr>
      </w:pPr>
      <w:r>
        <w:rPr>
          <w:rFonts w:hint="default"/>
          <w:color w:val="auto"/>
          <w:lang w:val="en-US" w:eastAsia="zh-CN"/>
        </w:rPr>
        <w:t>《工业企业设计卫生标准》</w:t>
      </w:r>
      <w:r>
        <w:rPr>
          <w:rFonts w:hint="eastAsia"/>
          <w:color w:val="auto"/>
          <w:lang w:val="en-US" w:eastAsia="zh-CN"/>
        </w:rPr>
        <w:t xml:space="preserve">                            </w:t>
      </w:r>
      <w:r>
        <w:rPr>
          <w:rFonts w:hint="default"/>
          <w:color w:val="auto"/>
          <w:lang w:val="en-US" w:eastAsia="zh-CN"/>
        </w:rPr>
        <w:t>GBZ1-2010</w:t>
      </w:r>
    </w:p>
    <w:p w14:paraId="45279995">
      <w:pPr>
        <w:rPr>
          <w:rFonts w:hint="default"/>
          <w:color w:val="auto"/>
          <w:lang w:val="en-US" w:eastAsia="zh-CN"/>
        </w:rPr>
      </w:pPr>
      <w:r>
        <w:rPr>
          <w:rFonts w:hint="default"/>
          <w:color w:val="auto"/>
          <w:lang w:val="en-US" w:eastAsia="zh-CN"/>
        </w:rPr>
        <w:t>《工作场所有害因素职业接触限值 第2部分：物理因素》GBZ 2.2-2007</w:t>
      </w:r>
    </w:p>
    <w:p w14:paraId="0838E3C7">
      <w:pPr>
        <w:rPr>
          <w:rFonts w:hint="default"/>
          <w:color w:val="auto"/>
          <w:lang w:val="en-US" w:eastAsia="zh-CN"/>
        </w:rPr>
      </w:pPr>
      <w:r>
        <w:rPr>
          <w:rFonts w:hint="default"/>
          <w:color w:val="auto"/>
          <w:lang w:val="en-US" w:eastAsia="zh-CN"/>
        </w:rPr>
        <w:t>《工作场所空气中粉尘测定 第1部分：总粉尘浓度》GBZ/T 192.1-2007</w:t>
      </w:r>
    </w:p>
    <w:p w14:paraId="028E6E79">
      <w:pPr>
        <w:rPr>
          <w:rFonts w:hint="default"/>
          <w:color w:val="auto"/>
          <w:lang w:val="en-US" w:eastAsia="zh-CN"/>
        </w:rPr>
      </w:pPr>
      <w:r>
        <w:rPr>
          <w:rFonts w:hint="default"/>
          <w:color w:val="auto"/>
          <w:lang w:val="en-US" w:eastAsia="zh-CN"/>
        </w:rPr>
        <w:t>《工作场所有害因素职业接触限值 第1部分：化学有害因素》</w:t>
      </w:r>
    </w:p>
    <w:p w14:paraId="1E85B5FC">
      <w:pPr>
        <w:jc w:val="right"/>
        <w:rPr>
          <w:rFonts w:hint="default"/>
          <w:color w:val="auto"/>
          <w:lang w:val="en-US" w:eastAsia="zh-CN"/>
        </w:rPr>
      </w:pPr>
      <w:r>
        <w:rPr>
          <w:rFonts w:hint="default"/>
          <w:color w:val="auto"/>
          <w:lang w:val="en-US" w:eastAsia="zh-CN"/>
        </w:rPr>
        <w:t>GBZ 2.1-2019/XG2-2024</w:t>
      </w:r>
    </w:p>
    <w:p w14:paraId="5E536497">
      <w:pPr>
        <w:rPr>
          <w:rFonts w:hint="default"/>
          <w:color w:val="auto"/>
          <w:lang w:val="en-US" w:eastAsia="zh-CN"/>
        </w:rPr>
      </w:pPr>
      <w:r>
        <w:rPr>
          <w:rFonts w:hint="default"/>
          <w:color w:val="auto"/>
          <w:lang w:val="en-US" w:eastAsia="zh-CN"/>
        </w:rPr>
        <w:t>《矿用产品安全标志》</w:t>
      </w:r>
      <w:r>
        <w:rPr>
          <w:rFonts w:hint="eastAsia"/>
          <w:color w:val="auto"/>
          <w:lang w:val="en-US" w:eastAsia="zh-CN"/>
        </w:rPr>
        <w:t xml:space="preserve">                              </w:t>
      </w:r>
      <w:r>
        <w:rPr>
          <w:rFonts w:hint="default"/>
          <w:color w:val="auto"/>
          <w:lang w:val="en-US" w:eastAsia="zh-CN"/>
        </w:rPr>
        <w:t>AQ1043-2007</w:t>
      </w:r>
    </w:p>
    <w:p w14:paraId="4C83104F">
      <w:pPr>
        <w:rPr>
          <w:rFonts w:hint="default"/>
          <w:color w:val="auto"/>
          <w:lang w:val="en-US" w:eastAsia="zh-CN"/>
        </w:rPr>
      </w:pPr>
      <w:r>
        <w:rPr>
          <w:rFonts w:hint="default"/>
          <w:color w:val="auto"/>
          <w:lang w:val="en-US" w:eastAsia="zh-CN"/>
        </w:rPr>
        <w:t>《安全评价通则》</w:t>
      </w:r>
      <w:r>
        <w:rPr>
          <w:rFonts w:hint="eastAsia"/>
          <w:color w:val="auto"/>
          <w:lang w:val="en-US" w:eastAsia="zh-CN"/>
        </w:rPr>
        <w:t xml:space="preserve">                                  </w:t>
      </w:r>
      <w:r>
        <w:rPr>
          <w:rFonts w:hint="default"/>
          <w:color w:val="auto"/>
          <w:lang w:val="en-US" w:eastAsia="zh-CN"/>
        </w:rPr>
        <w:t>AQ8001-2007</w:t>
      </w:r>
    </w:p>
    <w:p w14:paraId="40E5846F">
      <w:pPr>
        <w:rPr>
          <w:rFonts w:hint="default"/>
          <w:color w:val="auto"/>
          <w:lang w:val="en-US" w:eastAsia="zh-CN"/>
        </w:rPr>
      </w:pPr>
      <w:r>
        <w:rPr>
          <w:rFonts w:hint="default"/>
          <w:color w:val="auto"/>
          <w:lang w:val="en-US" w:eastAsia="zh-CN"/>
        </w:rPr>
        <w:t>《企业安全文化建设导则》</w:t>
      </w:r>
      <w:r>
        <w:rPr>
          <w:rFonts w:hint="eastAsia"/>
          <w:color w:val="auto"/>
          <w:lang w:val="en-US" w:eastAsia="zh-CN"/>
        </w:rPr>
        <w:t xml:space="preserve">                        </w:t>
      </w:r>
      <w:r>
        <w:rPr>
          <w:rFonts w:hint="default"/>
          <w:color w:val="auto"/>
          <w:lang w:val="en-US" w:eastAsia="zh-CN"/>
        </w:rPr>
        <w:t>AQ/T9004-2008</w:t>
      </w:r>
    </w:p>
    <w:p w14:paraId="73FAE842">
      <w:pPr>
        <w:rPr>
          <w:rFonts w:hint="default"/>
          <w:color w:val="auto"/>
          <w:lang w:val="en-US" w:eastAsia="zh-CN"/>
        </w:rPr>
      </w:pPr>
      <w:r>
        <w:rPr>
          <w:rFonts w:hint="eastAsia"/>
          <w:color w:val="auto"/>
          <w:lang w:val="en-US" w:eastAsia="zh-CN"/>
        </w:rPr>
        <w:t>《</w:t>
      </w:r>
      <w:r>
        <w:rPr>
          <w:rFonts w:hint="eastAsia" w:ascii="宋体" w:hAnsi="宋体" w:eastAsia="宋体" w:cs="宋体"/>
          <w:bCs/>
          <w:snapToGrid/>
          <w:color w:val="000000"/>
          <w:kern w:val="2"/>
          <w:sz w:val="28"/>
          <w:szCs w:val="28"/>
          <w:lang w:val="en-US" w:eastAsia="zh-CN" w:bidi="ar-SA"/>
        </w:rPr>
        <w:t>金属非金属露天矿山在用矿用自卸汽车安全检验规范</w:t>
      </w:r>
      <w:r>
        <w:rPr>
          <w:rFonts w:hint="eastAsia"/>
          <w:color w:val="auto"/>
          <w:lang w:val="en-US" w:eastAsia="zh-CN"/>
        </w:rPr>
        <w:t>》</w:t>
      </w:r>
      <w:r>
        <w:rPr>
          <w:rFonts w:hint="default"/>
          <w:color w:val="auto"/>
          <w:lang w:val="en-US" w:eastAsia="zh-CN"/>
        </w:rPr>
        <w:t>AQ</w:t>
      </w:r>
      <w:r>
        <w:rPr>
          <w:rFonts w:hint="eastAsia"/>
          <w:color w:val="auto"/>
          <w:lang w:val="en-US" w:eastAsia="zh-CN"/>
        </w:rPr>
        <w:t>2070</w:t>
      </w:r>
      <w:r>
        <w:rPr>
          <w:rFonts w:hint="default"/>
          <w:color w:val="auto"/>
          <w:lang w:val="en-US" w:eastAsia="zh-CN"/>
        </w:rPr>
        <w:t>-20</w:t>
      </w:r>
      <w:r>
        <w:rPr>
          <w:rFonts w:hint="eastAsia"/>
          <w:color w:val="auto"/>
          <w:lang w:val="en-US" w:eastAsia="zh-CN"/>
        </w:rPr>
        <w:t>10</w:t>
      </w:r>
    </w:p>
    <w:p w14:paraId="3FF3C462">
      <w:pPr>
        <w:rPr>
          <w:rFonts w:hint="default"/>
          <w:color w:val="auto"/>
          <w:lang w:val="en-US" w:eastAsia="zh-CN"/>
        </w:rPr>
      </w:pPr>
      <w:r>
        <w:rPr>
          <w:rFonts w:hint="eastAsia"/>
          <w:color w:val="auto"/>
          <w:lang w:val="en-US" w:eastAsia="zh-CN"/>
        </w:rPr>
        <w:t xml:space="preserve">《金属非金属矿山在用设备设施安全检测检验目录》  </w:t>
      </w:r>
      <w:r>
        <w:rPr>
          <w:rFonts w:hint="default"/>
          <w:color w:val="auto"/>
          <w:lang w:val="en-US" w:eastAsia="zh-CN"/>
        </w:rPr>
        <w:t>AQ/T</w:t>
      </w:r>
      <w:r>
        <w:rPr>
          <w:rFonts w:hint="eastAsia"/>
          <w:color w:val="auto"/>
          <w:lang w:val="en-US" w:eastAsia="zh-CN"/>
        </w:rPr>
        <w:t>2075</w:t>
      </w:r>
      <w:r>
        <w:rPr>
          <w:rFonts w:hint="default"/>
          <w:color w:val="auto"/>
          <w:lang w:val="en-US" w:eastAsia="zh-CN"/>
        </w:rPr>
        <w:t>-20</w:t>
      </w:r>
      <w:r>
        <w:rPr>
          <w:rFonts w:hint="eastAsia"/>
          <w:color w:val="auto"/>
          <w:lang w:val="en-US" w:eastAsia="zh-CN"/>
        </w:rPr>
        <w:t>19</w:t>
      </w:r>
    </w:p>
    <w:p w14:paraId="01A0652E">
      <w:pPr>
        <w:rPr>
          <w:rFonts w:hint="eastAsia"/>
          <w:color w:val="auto"/>
          <w:lang w:val="en-US" w:eastAsia="zh-CN"/>
        </w:rPr>
      </w:pPr>
      <w:r>
        <w:rPr>
          <w:rFonts w:hint="default"/>
          <w:color w:val="auto"/>
          <w:lang w:val="en-US" w:eastAsia="zh-CN"/>
        </w:rPr>
        <w:t>《生产安全事故应急演练基本规范》</w:t>
      </w:r>
      <w:r>
        <w:rPr>
          <w:rFonts w:hint="eastAsia"/>
          <w:color w:val="auto"/>
          <w:lang w:val="en-US" w:eastAsia="zh-CN"/>
        </w:rPr>
        <w:t xml:space="preserve">                </w:t>
      </w:r>
      <w:r>
        <w:rPr>
          <w:rFonts w:hint="default"/>
          <w:color w:val="auto"/>
          <w:lang w:val="en-US" w:eastAsia="zh-CN"/>
        </w:rPr>
        <w:t>AQ/T9007-20</w:t>
      </w:r>
      <w:r>
        <w:rPr>
          <w:rFonts w:hint="eastAsia"/>
          <w:color w:val="auto"/>
          <w:lang w:val="en-US" w:eastAsia="zh-CN"/>
        </w:rPr>
        <w:t>19</w:t>
      </w:r>
    </w:p>
    <w:p w14:paraId="42F980C6">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《金属非金属矿山安全标准化规范 导则》</w:t>
      </w:r>
      <w:r>
        <w:rPr>
          <w:rFonts w:hint="eastAsia" w:ascii="Times New Roman" w:hAnsi="Times New Roman" w:eastAsia="宋体" w:cs="Times New Roman"/>
          <w:color w:val="auto"/>
          <w:lang w:val="en-US" w:eastAsia="zh-CN"/>
        </w:rPr>
        <w:t xml:space="preserve">         KA</w:t>
      </w:r>
      <w:r>
        <w:rPr>
          <w:rFonts w:hint="default" w:ascii="Times New Roman" w:hAnsi="Times New Roman" w:eastAsia="宋体" w:cs="Times New Roman"/>
          <w:color w:val="auto"/>
          <w:lang w:val="en-US" w:eastAsia="zh-CN"/>
        </w:rPr>
        <w:t>/T2050.1-2016</w:t>
      </w:r>
    </w:p>
    <w:p w14:paraId="4765A399">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《金属非金属矿山安全标准化规范 露天矿山实施指南》</w:t>
      </w:r>
    </w:p>
    <w:p w14:paraId="05D3A800">
      <w:pPr>
        <w:jc w:val="righ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KA</w:t>
      </w:r>
      <w:r>
        <w:rPr>
          <w:rFonts w:hint="default" w:ascii="Times New Roman" w:hAnsi="Times New Roman" w:eastAsia="宋体" w:cs="Times New Roman"/>
          <w:color w:val="auto"/>
          <w:lang w:val="en-US" w:eastAsia="zh-CN"/>
        </w:rPr>
        <w:t>/T2050.3-2016</w:t>
      </w:r>
    </w:p>
    <w:p w14:paraId="4918D9D0">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《矿山隐蔽致灾因素普查规范 第1部分：总则》</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KA/T 22.1-2024</w:t>
      </w:r>
    </w:p>
    <w:p w14:paraId="4296AE5E">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《矿山隐蔽致灾因素普查规范第3部分：金属非金属矿山及尾矿库》</w:t>
      </w:r>
    </w:p>
    <w:p w14:paraId="68AD6B05">
      <w:pPr>
        <w:jc w:val="righ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KA/T 22.3-2024</w:t>
      </w:r>
    </w:p>
    <w:p w14:paraId="287016FF">
      <w:pPr>
        <w:rPr>
          <w:rFonts w:hint="default"/>
          <w:color w:val="auto"/>
          <w:lang w:val="en-US" w:eastAsia="zh-CN"/>
        </w:rPr>
      </w:pPr>
      <w:r>
        <w:rPr>
          <w:rFonts w:hint="default"/>
          <w:color w:val="auto"/>
          <w:lang w:val="en-US" w:eastAsia="zh-CN"/>
        </w:rPr>
        <w:t>《金属非金属矿山排土场安全生产规则》</w:t>
      </w:r>
      <w:r>
        <w:rPr>
          <w:rFonts w:hint="eastAsia"/>
          <w:color w:val="auto"/>
          <w:lang w:val="en-US" w:eastAsia="zh-CN"/>
        </w:rPr>
        <w:t xml:space="preserve">                KA23</w:t>
      </w:r>
      <w:r>
        <w:rPr>
          <w:rFonts w:hint="default"/>
          <w:color w:val="auto"/>
          <w:lang w:val="en-US" w:eastAsia="zh-CN"/>
        </w:rPr>
        <w:t>-20</w:t>
      </w:r>
      <w:r>
        <w:rPr>
          <w:rFonts w:hint="eastAsia"/>
          <w:color w:val="auto"/>
          <w:lang w:val="en-US" w:eastAsia="zh-CN"/>
        </w:rPr>
        <w:t>2</w:t>
      </w:r>
      <w:r>
        <w:rPr>
          <w:rFonts w:hint="default"/>
          <w:color w:val="auto"/>
          <w:lang w:val="en-US" w:eastAsia="zh-CN"/>
        </w:rPr>
        <w:t>5</w:t>
      </w:r>
    </w:p>
    <w:p w14:paraId="3FC64BE6">
      <w:pPr>
        <w:jc w:val="right"/>
        <w:rPr>
          <w:rFonts w:hint="default" w:ascii="Times New Roman" w:hAnsi="Times New Roman" w:eastAsia="宋体" w:cs="Times New Roman"/>
          <w:color w:val="auto"/>
          <w:lang w:val="en-US" w:eastAsia="zh-CN"/>
        </w:rPr>
      </w:pPr>
    </w:p>
    <w:p w14:paraId="7A04CD46">
      <w:pPr>
        <w:pStyle w:val="4"/>
        <w:bidi w:val="0"/>
        <w:rPr>
          <w:rFonts w:hint="default"/>
          <w:color w:val="auto"/>
          <w:lang w:val="en-US" w:eastAsia="zh-CN"/>
        </w:rPr>
      </w:pPr>
      <w:bookmarkStart w:id="61" w:name="_Toc24444"/>
      <w:bookmarkStart w:id="62" w:name="_Toc24985"/>
      <w:bookmarkStart w:id="63" w:name="_Toc29610"/>
      <w:bookmarkStart w:id="64" w:name="_Toc730"/>
      <w:r>
        <w:rPr>
          <w:rFonts w:hint="default"/>
          <w:color w:val="auto"/>
          <w:lang w:val="en-US" w:eastAsia="zh-CN"/>
        </w:rPr>
        <w:t>1.3.</w:t>
      </w:r>
      <w:r>
        <w:rPr>
          <w:rFonts w:hint="eastAsia"/>
          <w:color w:val="auto"/>
          <w:lang w:val="en-US" w:eastAsia="zh-CN"/>
        </w:rPr>
        <w:t>4</w:t>
      </w:r>
      <w:r>
        <w:rPr>
          <w:rFonts w:hint="default"/>
          <w:color w:val="auto"/>
          <w:lang w:val="en-US" w:eastAsia="zh-CN"/>
        </w:rPr>
        <w:t xml:space="preserve"> 建设项目技术资料</w:t>
      </w:r>
      <w:bookmarkEnd w:id="61"/>
      <w:bookmarkEnd w:id="62"/>
      <w:bookmarkEnd w:id="63"/>
      <w:bookmarkEnd w:id="64"/>
    </w:p>
    <w:p w14:paraId="0CA57D7F">
      <w:pPr>
        <w:rPr>
          <w:rFonts w:hint="eastAsia"/>
          <w:color w:val="auto"/>
          <w:lang w:val="en-US" w:eastAsia="zh-CN"/>
        </w:rPr>
      </w:pPr>
      <w:r>
        <w:rPr>
          <w:rFonts w:hint="default"/>
          <w:color w:val="auto"/>
          <w:lang w:val="en-US" w:eastAsia="zh-CN"/>
        </w:rPr>
        <w:t>《江西省弋阳县曹溪二矿区制碱用灰岩矿勘探报告》</w:t>
      </w:r>
      <w:r>
        <w:rPr>
          <w:rFonts w:hint="eastAsia"/>
          <w:color w:val="auto"/>
          <w:lang w:val="en-US" w:eastAsia="zh-CN"/>
        </w:rPr>
        <w:t>（中国建筑材料工业地质勘查中心江西总队，2020年8月）</w:t>
      </w:r>
    </w:p>
    <w:p w14:paraId="4E657374">
      <w:pPr>
        <w:rPr>
          <w:rFonts w:hint="eastAsia"/>
          <w:color w:val="auto"/>
          <w:lang w:val="en-US" w:eastAsia="zh-CN"/>
        </w:rPr>
      </w:pPr>
      <w:r>
        <w:rPr>
          <w:rFonts w:hint="eastAsia"/>
          <w:color w:val="auto"/>
          <w:lang w:val="en-US" w:eastAsia="zh-CN"/>
        </w:rPr>
        <w:t>《江西省弋阳县曹溪二矿区制碱用灰岩矿矿山矿产资源开发利用、地质环境恢复治理与土地复垦方案》（中国建筑材料工业地质勘查中心江西总队，2020年10月）</w:t>
      </w:r>
    </w:p>
    <w:p w14:paraId="68F03DCC">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《江西省弋阳县曹溪二矿区制碱用灰岩矿800万t/a采矿工程可行性研究报告》（安徽海螺建材设计研究院有限责任公司，2021年3月）</w:t>
      </w:r>
    </w:p>
    <w:p w14:paraId="76DC05C5">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《弋阳海螺水泥有限责任公司江西省弋阳县曹溪二矿区制碱用灰岩矿安全预评价报告》</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江西赣安安全生产科学技术咨询服务中心，2021年7月</w:t>
      </w:r>
      <w:r>
        <w:rPr>
          <w:rFonts w:hint="eastAsia" w:ascii="Times New Roman" w:hAnsi="Times New Roman" w:eastAsia="宋体" w:cs="Times New Roman"/>
          <w:color w:val="auto"/>
          <w:lang w:val="en-US" w:eastAsia="zh-CN"/>
        </w:rPr>
        <w:t>）</w:t>
      </w:r>
    </w:p>
    <w:p w14:paraId="02C73D83">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《弋阳海螺水泥有限责任公司江西省弋阳县曹溪二矿区制碱用灰岩矿800万t/a采矿工程初步设计》（中钢集团马鞍山矿山研究总院股份有限公司，2022年6月）</w:t>
      </w:r>
    </w:p>
    <w:p w14:paraId="1F214A59">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《弋阳海螺水泥有限责任公司江西省弋阳县曹溪二矿区制碱用灰岩矿800万t/a采矿工程安全设施设计》（中钢集团马鞍山矿山研究总院股份有限公司，2022年6月）</w:t>
      </w:r>
    </w:p>
    <w:p w14:paraId="1A7BB5F9">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《弋阳海螺水泥有限责任公司江西省弋阳县曹溪二矿区制碱用灰岩矿露天开采工程边坡稳定性分析报告》（南昌程华工程设计咨询有限公司，2023年6月）</w:t>
      </w:r>
    </w:p>
    <w:p w14:paraId="7EE93368">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《弋阳海螺水泥有限责任公司江西省弋阳县曹溪二矿区制碱用灰岩矿800万吨/年采矿工程安全验收评价报告》（广东万思邦科技有限公司，2023年7月）</w:t>
      </w:r>
    </w:p>
    <w:p w14:paraId="6E37FB6E">
      <w:pPr>
        <w:rPr>
          <w:rFonts w:hint="eastAsia"/>
          <w:color w:val="auto"/>
          <w:lang w:val="en-US" w:eastAsia="zh-CN"/>
        </w:rPr>
      </w:pPr>
      <w:r>
        <w:rPr>
          <w:rFonts w:hint="eastAsia"/>
          <w:color w:val="auto"/>
          <w:lang w:val="en-US" w:eastAsia="zh-CN"/>
        </w:rPr>
        <w:t>《弋阳海螺水泥有限责任公司江西省弋阳县曹溪二矿区制碱用灰岩矿隐蔽致灾因素普查报告》（中国建筑材料工业地质勘查中心江西总队，2025年7月）</w:t>
      </w:r>
    </w:p>
    <w:p w14:paraId="68D68C3C">
      <w:pPr>
        <w:rPr>
          <w:rFonts w:hint="eastAsia"/>
          <w:strike w:val="0"/>
          <w:dstrike w:val="0"/>
          <w:color w:val="auto"/>
          <w:lang w:val="en-US" w:eastAsia="zh-CN"/>
        </w:rPr>
      </w:pPr>
      <w:r>
        <w:rPr>
          <w:rFonts w:hint="eastAsia"/>
          <w:strike w:val="0"/>
          <w:dstrike w:val="0"/>
          <w:color w:val="auto"/>
          <w:lang w:val="en-US" w:eastAsia="zh-CN"/>
        </w:rPr>
        <w:t>《检测检验报告》（安徽矿安检测技术服务有限公司，2025年6月）</w:t>
      </w:r>
    </w:p>
    <w:p w14:paraId="6007A43F">
      <w:pPr>
        <w:rPr>
          <w:rFonts w:hint="default"/>
          <w:color w:val="auto"/>
          <w:lang w:val="en-US" w:eastAsia="zh-CN"/>
        </w:rPr>
      </w:pPr>
      <w:r>
        <w:rPr>
          <w:rFonts w:hint="default"/>
          <w:color w:val="auto"/>
          <w:lang w:val="en-US" w:eastAsia="zh-CN"/>
        </w:rPr>
        <w:t>弋阳海螺水泥有限责任公司提供的营业执照、采矿许可证、安全生产许可证、资格证书（主要负责人、安全生产管理人员、特种作业人员）、应急预案备案表、救援协议等附件以及矿区地质地形图、现状平面图</w:t>
      </w:r>
      <w:r>
        <w:rPr>
          <w:rFonts w:hint="eastAsia"/>
          <w:color w:val="auto"/>
          <w:lang w:val="en-US" w:eastAsia="zh-CN"/>
        </w:rPr>
        <w:t>、</w:t>
      </w:r>
      <w:r>
        <w:rPr>
          <w:rFonts w:hint="default"/>
          <w:color w:val="auto"/>
          <w:lang w:val="en-US" w:eastAsia="zh-CN"/>
        </w:rPr>
        <w:t>剖面图、供配电系统图、最终境界图等</w:t>
      </w:r>
      <w:r>
        <w:rPr>
          <w:rFonts w:hint="eastAsia"/>
          <w:color w:val="auto"/>
          <w:lang w:val="en-US" w:eastAsia="zh-CN"/>
        </w:rPr>
        <w:t>。</w:t>
      </w:r>
    </w:p>
    <w:p w14:paraId="77846A71">
      <w:pPr>
        <w:pStyle w:val="3"/>
        <w:bidi w:val="0"/>
        <w:rPr>
          <w:rFonts w:hint="default"/>
          <w:color w:val="auto"/>
          <w:lang w:val="en-US" w:eastAsia="zh-CN"/>
        </w:rPr>
      </w:pPr>
      <w:bookmarkStart w:id="65" w:name="_Toc26452"/>
      <w:bookmarkStart w:id="66" w:name="_Toc8017"/>
      <w:bookmarkStart w:id="67" w:name="_Toc24026"/>
      <w:bookmarkStart w:id="68" w:name="_Toc24835"/>
      <w:r>
        <w:rPr>
          <w:rFonts w:hint="default"/>
          <w:color w:val="auto"/>
          <w:lang w:val="en-US" w:eastAsia="zh-CN"/>
        </w:rPr>
        <w:t>1.4</w:t>
      </w:r>
      <w:r>
        <w:rPr>
          <w:rFonts w:hint="eastAsia"/>
          <w:color w:val="auto"/>
          <w:lang w:val="en-US" w:eastAsia="zh-CN"/>
        </w:rPr>
        <w:t xml:space="preserve"> </w:t>
      </w:r>
      <w:r>
        <w:rPr>
          <w:rFonts w:hint="default"/>
          <w:color w:val="auto"/>
          <w:lang w:val="en-US" w:eastAsia="zh-CN"/>
        </w:rPr>
        <w:t>评价程序</w:t>
      </w:r>
      <w:bookmarkEnd w:id="65"/>
      <w:bookmarkEnd w:id="66"/>
      <w:bookmarkEnd w:id="67"/>
      <w:bookmarkEnd w:id="68"/>
    </w:p>
    <w:p w14:paraId="75EC1B77">
      <w:pPr>
        <w:bidi w:val="0"/>
        <w:rPr>
          <w:rFonts w:hint="default"/>
          <w:color w:val="auto"/>
          <w:lang w:val="en-US" w:eastAsia="zh-CN"/>
        </w:rPr>
      </w:pPr>
      <w:r>
        <w:rPr>
          <w:rFonts w:hint="default"/>
          <w:color w:val="auto"/>
          <w:lang w:val="en-US" w:eastAsia="zh-CN"/>
        </w:rPr>
        <w:t>安全现状评价程序框图1.4-1。</w:t>
      </w:r>
    </w:p>
    <w:p w14:paraId="5D321A5F">
      <w:pPr>
        <w:bidi w:val="0"/>
        <w:ind w:left="0" w:leftChars="0" w:firstLine="0" w:firstLineChars="0"/>
        <w:jc w:val="center"/>
        <w:rPr>
          <w:rFonts w:hint="default"/>
          <w:color w:val="auto"/>
          <w:lang w:val="en-US" w:eastAsia="zh-CN"/>
        </w:rPr>
      </w:pPr>
      <w:r>
        <w:rPr>
          <w:rFonts w:ascii="Times New Roman" w:hAnsi="Times New Roman" w:eastAsia="宋体" w:cs="Times New Roman"/>
          <w:b/>
          <w:bCs/>
          <w:color w:val="auto"/>
          <w:sz w:val="28"/>
          <w:szCs w:val="28"/>
        </w:rPr>
        <mc:AlternateContent>
          <mc:Choice Requires="wpg">
            <w:drawing>
              <wp:inline distT="0" distB="0" distL="114300" distR="114300">
                <wp:extent cx="2421890" cy="5261610"/>
                <wp:effectExtent l="4445" t="4445" r="12065" b="10795"/>
                <wp:docPr id="33" name="组合 33"/>
                <wp:cNvGraphicFramePr/>
                <a:graphic xmlns:a="http://schemas.openxmlformats.org/drawingml/2006/main">
                  <a:graphicData uri="http://schemas.microsoft.com/office/word/2010/wordprocessingGroup">
                    <wpg:wgp>
                      <wpg:cNvGrpSpPr/>
                      <wpg:grpSpPr>
                        <a:xfrm>
                          <a:off x="0" y="0"/>
                          <a:ext cx="2421890" cy="5261610"/>
                          <a:chOff x="4566" y="6790"/>
                          <a:chExt cx="3030" cy="8424"/>
                        </a:xfrm>
                      </wpg:grpSpPr>
                      <wps:wsp>
                        <wps:cNvPr id="18" name="文本框 18"/>
                        <wps:cNvSpPr txBox="1"/>
                        <wps:spPr>
                          <a:xfrm>
                            <a:off x="4566" y="6790"/>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8E28F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前期准备</w:t>
                              </w:r>
                            </w:p>
                          </w:txbxContent>
                        </wps:txbx>
                        <wps:bodyPr upright="1"/>
                      </wps:wsp>
                      <wps:wsp>
                        <wps:cNvPr id="19" name="文本框 19"/>
                        <wps:cNvSpPr txBox="1"/>
                        <wps:spPr>
                          <a:xfrm>
                            <a:off x="4566" y="7893"/>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BDD99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辩识与分析危险、有害因素</w:t>
                              </w:r>
                            </w:p>
                          </w:txbxContent>
                        </wps:txbx>
                        <wps:bodyPr upright="1"/>
                      </wps:wsp>
                      <wps:wsp>
                        <wps:cNvPr id="20" name="文本框 20"/>
                        <wps:cNvSpPr txBox="1"/>
                        <wps:spPr>
                          <a:xfrm>
                            <a:off x="4566" y="9100"/>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55F645">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划分评价单元</w:t>
                              </w:r>
                            </w:p>
                          </w:txbxContent>
                        </wps:txbx>
                        <wps:bodyPr upright="1"/>
                      </wps:wsp>
                      <wps:wsp>
                        <wps:cNvPr id="21" name="文本框 21"/>
                        <wps:cNvSpPr txBox="1"/>
                        <wps:spPr>
                          <a:xfrm>
                            <a:off x="4566" y="10204"/>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74D74D">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选择评价方法</w:t>
                              </w:r>
                            </w:p>
                          </w:txbxContent>
                        </wps:txbx>
                        <wps:bodyPr upright="1"/>
                      </wps:wsp>
                      <wps:wsp>
                        <wps:cNvPr id="22" name="文本框 22"/>
                        <wps:cNvSpPr txBox="1"/>
                        <wps:spPr>
                          <a:xfrm>
                            <a:off x="4566" y="11398"/>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1FE9D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定性定量评价</w:t>
                              </w:r>
                            </w:p>
                          </w:txbxContent>
                        </wps:txbx>
                        <wps:bodyPr upright="1"/>
                      </wps:wsp>
                      <wps:wsp>
                        <wps:cNvPr id="23" name="文本框 23"/>
                        <wps:cNvSpPr txBox="1"/>
                        <wps:spPr>
                          <a:xfrm>
                            <a:off x="4566" y="12501"/>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CCBD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提出安全对策措施建议</w:t>
                              </w:r>
                            </w:p>
                          </w:txbxContent>
                        </wps:txbx>
                        <wps:bodyPr upright="1"/>
                      </wps:wsp>
                      <wps:wsp>
                        <wps:cNvPr id="24" name="文本框 24"/>
                        <wps:cNvSpPr txBox="1"/>
                        <wps:spPr>
                          <a:xfrm>
                            <a:off x="4566" y="13708"/>
                            <a:ext cx="3030" cy="4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7A748B">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做出安全现状评价结论</w:t>
                              </w:r>
                            </w:p>
                          </w:txbxContent>
                        </wps:txbx>
                        <wps:bodyPr upright="1"/>
                      </wps:wsp>
                      <wps:wsp>
                        <wps:cNvPr id="25" name="文本框 25"/>
                        <wps:cNvSpPr txBox="1"/>
                        <wps:spPr>
                          <a:xfrm>
                            <a:off x="4566" y="14812"/>
                            <a:ext cx="3030" cy="40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8244EC">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编制安全现状评价报告</w:t>
                              </w:r>
                            </w:p>
                          </w:txbxContent>
                        </wps:txbx>
                        <wps:bodyPr upright="1"/>
                      </wps:wsp>
                      <wps:wsp>
                        <wps:cNvPr id="26" name="直接连接符 26"/>
                        <wps:cNvCnPr/>
                        <wps:spPr>
                          <a:xfrm>
                            <a:off x="6066" y="7179"/>
                            <a:ext cx="0" cy="701"/>
                          </a:xfrm>
                          <a:prstGeom prst="line">
                            <a:avLst/>
                          </a:prstGeom>
                          <a:ln w="9525" cap="flat" cmpd="sng">
                            <a:solidFill>
                              <a:srgbClr val="000000"/>
                            </a:solidFill>
                            <a:prstDash val="solid"/>
                            <a:headEnd type="none" w="med" len="med"/>
                            <a:tailEnd type="triangle" w="med" len="med"/>
                          </a:ln>
                        </wps:spPr>
                        <wps:bodyPr upright="1"/>
                      </wps:wsp>
                      <wps:wsp>
                        <wps:cNvPr id="27" name="直接连接符 27"/>
                        <wps:cNvCnPr/>
                        <wps:spPr>
                          <a:xfrm>
                            <a:off x="6066" y="8283"/>
                            <a:ext cx="0" cy="805"/>
                          </a:xfrm>
                          <a:prstGeom prst="line">
                            <a:avLst/>
                          </a:prstGeom>
                          <a:ln w="9525" cap="flat" cmpd="sng">
                            <a:solidFill>
                              <a:srgbClr val="000000"/>
                            </a:solidFill>
                            <a:prstDash val="solid"/>
                            <a:headEnd type="none" w="med" len="med"/>
                            <a:tailEnd type="triangle" w="med" len="med"/>
                          </a:ln>
                        </wps:spPr>
                        <wps:bodyPr upright="1"/>
                      </wps:wsp>
                      <wps:wsp>
                        <wps:cNvPr id="28" name="直接连接符 28"/>
                        <wps:cNvCnPr/>
                        <wps:spPr>
                          <a:xfrm>
                            <a:off x="6080" y="9490"/>
                            <a:ext cx="0" cy="701"/>
                          </a:xfrm>
                          <a:prstGeom prst="line">
                            <a:avLst/>
                          </a:prstGeom>
                          <a:ln w="9525" cap="flat" cmpd="sng">
                            <a:solidFill>
                              <a:srgbClr val="000000"/>
                            </a:solidFill>
                            <a:prstDash val="solid"/>
                            <a:headEnd type="none" w="med" len="med"/>
                            <a:tailEnd type="triangle" w="med" len="med"/>
                          </a:ln>
                        </wps:spPr>
                        <wps:bodyPr upright="1"/>
                      </wps:wsp>
                      <wps:wsp>
                        <wps:cNvPr id="29" name="直接连接符 29"/>
                        <wps:cNvCnPr/>
                        <wps:spPr>
                          <a:xfrm>
                            <a:off x="6080" y="10593"/>
                            <a:ext cx="0" cy="792"/>
                          </a:xfrm>
                          <a:prstGeom prst="line">
                            <a:avLst/>
                          </a:prstGeom>
                          <a:ln w="9525" cap="flat" cmpd="sng">
                            <a:solidFill>
                              <a:srgbClr val="000000"/>
                            </a:solidFill>
                            <a:prstDash val="solid"/>
                            <a:headEnd type="none" w="med" len="med"/>
                            <a:tailEnd type="triangle" w="med" len="med"/>
                          </a:ln>
                        </wps:spPr>
                        <wps:bodyPr upright="1"/>
                      </wps:wsp>
                      <wps:wsp>
                        <wps:cNvPr id="30" name="直接连接符 30"/>
                        <wps:cNvCnPr/>
                        <wps:spPr>
                          <a:xfrm>
                            <a:off x="6080" y="11787"/>
                            <a:ext cx="0" cy="701"/>
                          </a:xfrm>
                          <a:prstGeom prst="line">
                            <a:avLst/>
                          </a:prstGeom>
                          <a:ln w="9525" cap="flat" cmpd="sng">
                            <a:solidFill>
                              <a:srgbClr val="000000"/>
                            </a:solidFill>
                            <a:prstDash val="solid"/>
                            <a:headEnd type="none" w="med" len="med"/>
                            <a:tailEnd type="triangle" w="med" len="med"/>
                          </a:ln>
                        </wps:spPr>
                        <wps:bodyPr upright="1"/>
                      </wps:wsp>
                      <wps:wsp>
                        <wps:cNvPr id="31" name="直接连接符 31"/>
                        <wps:cNvCnPr/>
                        <wps:spPr>
                          <a:xfrm>
                            <a:off x="6066" y="12891"/>
                            <a:ext cx="0" cy="804"/>
                          </a:xfrm>
                          <a:prstGeom prst="line">
                            <a:avLst/>
                          </a:prstGeom>
                          <a:ln w="9525" cap="flat" cmpd="sng">
                            <a:solidFill>
                              <a:srgbClr val="000000"/>
                            </a:solidFill>
                            <a:prstDash val="solid"/>
                            <a:headEnd type="none" w="med" len="med"/>
                            <a:tailEnd type="triangle" w="med" len="med"/>
                          </a:ln>
                        </wps:spPr>
                        <wps:bodyPr upright="1"/>
                      </wps:wsp>
                      <wps:wsp>
                        <wps:cNvPr id="32" name="直接连接符 32"/>
                        <wps:cNvCnPr/>
                        <wps:spPr>
                          <a:xfrm>
                            <a:off x="6066" y="14098"/>
                            <a:ext cx="0" cy="701"/>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414.3pt;width:190.7pt;" coordorigin="4566,6790" coordsize="3030,8424" o:gfxdata="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">
                <o:lock v:ext="edit" aspectratio="f"/>
                <v:shape id="_x0000_s1026" o:spid="_x0000_s1026" o:spt="202" type="#_x0000_t202" style="position:absolute;left:4566;top:6790;height:402;width:303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278E28F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前期准备</w:t>
                        </w:r>
                      </w:p>
                    </w:txbxContent>
                  </v:textbox>
                </v:shape>
                <v:shape id="_x0000_s1026" o:spid="_x0000_s1026" o:spt="202" type="#_x0000_t202" style="position:absolute;left:4566;top:7893;height:403;width:303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1DBDD99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辩识与分析危险、有害因素</w:t>
                        </w:r>
                      </w:p>
                    </w:txbxContent>
                  </v:textbox>
                </v:shape>
                <v:shape id="_x0000_s1026" o:spid="_x0000_s1026" o:spt="202" type="#_x0000_t202" style="position:absolute;left:4566;top:9100;height:403;width:3030;" fillcolor="#FFFFFF" filled="t" stroked="t" coordsize="21600,21600" o:gfxdata="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KBV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2755F645">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划分评价单元</w:t>
                        </w:r>
                      </w:p>
                    </w:txbxContent>
                  </v:textbox>
                </v:shape>
                <v:shape id="_x0000_s1026" o:spid="_x0000_s1026" o:spt="202" type="#_x0000_t202" style="position:absolute;left:4566;top:10204;height:402;width:3030;"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1B74D74D">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选择评价方法</w:t>
                        </w:r>
                      </w:p>
                    </w:txbxContent>
                  </v:textbox>
                </v:shape>
                <v:shape id="_x0000_s1026" o:spid="_x0000_s1026" o:spt="202" type="#_x0000_t202" style="position:absolute;left:4566;top:11398;height:402;width:303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7F1FE9DF">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定性定量评价</w:t>
                        </w:r>
                      </w:p>
                    </w:txbxContent>
                  </v:textbox>
                </v:shape>
                <v:shape id="_x0000_s1026" o:spid="_x0000_s1026" o:spt="202" type="#_x0000_t202" style="position:absolute;left:4566;top:12501;height:403;width:3030;" fillcolor="#FFFFFF" filled="t" stroked="t" coordsize="21600,21600" o:gfxdata="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sT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B9CCBDA">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提出安全对策措施建议</w:t>
                        </w:r>
                      </w:p>
                    </w:txbxContent>
                  </v:textbox>
                </v:shape>
                <v:shape id="_x0000_s1026" o:spid="_x0000_s1026" o:spt="202" type="#_x0000_t202" style="position:absolute;left:4566;top:13708;height:403;width:3030;"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127A748B">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做出安全现状评价结论</w:t>
                        </w:r>
                      </w:p>
                    </w:txbxContent>
                  </v:textbox>
                </v:shape>
                <v:shape id="_x0000_s1026" o:spid="_x0000_s1026" o:spt="202" type="#_x0000_t202" style="position:absolute;left:4566;top:14812;height:402;width:3030;" fillcolor="#FFFFFF" filled="t" stroked="t" coordsize="21600,21600" o:gfxdata="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X7b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658244EC">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sz w:val="21"/>
                          </w:rPr>
                          <w:t>编制安全现状评价报告</w:t>
                        </w:r>
                      </w:p>
                    </w:txbxContent>
                  </v:textbox>
                </v:shape>
                <v:line id="_x0000_s1026" o:spid="_x0000_s1026" o:spt="20" style="position:absolute;left:6066;top:7179;height:701;width:0;" filled="f" stroked="t" coordsize="21600,21600" o:gfxdata="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66;top:8283;height:805;width:0;" filled="f" stroked="t" coordsize="21600,21600" o:gfxdata="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rm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80;top:9490;height:701;width:0;" filled="f" stroked="t" coordsize="21600,21600" o:gfxdata="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zOh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080;top:10593;height:792;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80;top:11787;height:701;width:0;" filled="f" stroked="t" coordsize="21600,21600" o:gfxdata="UEsDBAoAAAAAAIdO4kAAAAAAAAAAAAAAAAAEAAAAZHJzL1BLAwQUAAAACACHTuJAIhygy7sAAADb&#10;AAAADwAAAGRycy9kb3ducmV2LnhtbEVPy4rCMBTdC/MP4Q6407QK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ygy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066;top:12891;height:804;width:0;"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66;top:14098;height:701;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14:paraId="6014A46F">
      <w:pPr>
        <w:bidi w:val="0"/>
        <w:ind w:left="0" w:leftChars="0" w:firstLine="0" w:firstLineChars="0"/>
        <w:jc w:val="center"/>
        <w:rPr>
          <w:rFonts w:hint="default"/>
          <w:color w:val="auto"/>
          <w:lang w:val="en-US" w:eastAsia="zh-CN"/>
        </w:rPr>
      </w:pPr>
      <w:r>
        <w:rPr>
          <w:rFonts w:hint="default"/>
          <w:color w:val="auto"/>
          <w:lang w:val="en-US" w:eastAsia="zh-CN"/>
        </w:rPr>
        <w:t>图1</w:t>
      </w:r>
      <w:r>
        <w:rPr>
          <w:rFonts w:hint="eastAsia"/>
          <w:color w:val="auto"/>
          <w:lang w:val="en-US" w:eastAsia="zh-CN"/>
        </w:rPr>
        <w:t>.4</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安全现状评价程序框</w:t>
      </w:r>
    </w:p>
    <w:p w14:paraId="019DFCC8">
      <w:pPr>
        <w:rPr>
          <w:rFonts w:hint="default"/>
          <w:color w:val="auto"/>
          <w:lang w:val="en-US" w:eastAsia="zh-CN"/>
        </w:rPr>
      </w:pPr>
      <w:r>
        <w:rPr>
          <w:rFonts w:hint="default"/>
          <w:color w:val="auto"/>
          <w:lang w:val="en-US" w:eastAsia="zh-CN"/>
        </w:rPr>
        <w:br w:type="page"/>
      </w:r>
    </w:p>
    <w:p w14:paraId="410F0E54">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69" w:name="_Toc31181"/>
      <w:bookmarkStart w:id="70" w:name="_Toc12098"/>
      <w:bookmarkStart w:id="71" w:name="_Toc15908"/>
      <w:bookmarkStart w:id="72" w:name="_Toc18437"/>
      <w:r>
        <w:rPr>
          <w:rFonts w:hint="default" w:ascii="Times New Roman" w:hAnsi="Times New Roman" w:cs="Times New Roman"/>
          <w:color w:val="auto"/>
          <w:lang w:val="en-US" w:eastAsia="zh-CN"/>
        </w:rPr>
        <w:t>项目概况</w:t>
      </w:r>
      <w:bookmarkEnd w:id="69"/>
      <w:bookmarkEnd w:id="70"/>
      <w:bookmarkEnd w:id="71"/>
      <w:bookmarkEnd w:id="72"/>
    </w:p>
    <w:p w14:paraId="4C2AF841">
      <w:pPr>
        <w:pStyle w:val="3"/>
        <w:bidi w:val="0"/>
        <w:rPr>
          <w:rFonts w:hint="default"/>
          <w:color w:val="auto"/>
          <w:lang w:val="en-US" w:eastAsia="zh-CN"/>
        </w:rPr>
      </w:pPr>
      <w:bookmarkStart w:id="73" w:name="_Toc4288"/>
      <w:bookmarkStart w:id="74" w:name="_Toc13954"/>
      <w:bookmarkStart w:id="75" w:name="_Toc19465"/>
      <w:bookmarkStart w:id="76" w:name="_Toc11057"/>
      <w:r>
        <w:rPr>
          <w:rFonts w:hint="default"/>
          <w:color w:val="auto"/>
          <w:lang w:val="en-US" w:eastAsia="zh-CN"/>
        </w:rPr>
        <w:t>2.1</w:t>
      </w:r>
      <w:r>
        <w:rPr>
          <w:rFonts w:hint="eastAsia"/>
          <w:color w:val="auto"/>
          <w:lang w:val="en-US" w:eastAsia="zh-CN"/>
        </w:rPr>
        <w:t xml:space="preserve"> </w:t>
      </w:r>
      <w:r>
        <w:rPr>
          <w:rFonts w:hint="default"/>
          <w:color w:val="auto"/>
          <w:lang w:val="en-US" w:eastAsia="zh-CN"/>
        </w:rPr>
        <w:t>建设单位概况</w:t>
      </w:r>
      <w:bookmarkEnd w:id="73"/>
      <w:bookmarkEnd w:id="74"/>
      <w:bookmarkEnd w:id="75"/>
      <w:bookmarkEnd w:id="76"/>
    </w:p>
    <w:p w14:paraId="45572B3C">
      <w:pPr>
        <w:pStyle w:val="4"/>
        <w:bidi w:val="0"/>
        <w:rPr>
          <w:rFonts w:hint="default"/>
          <w:color w:val="auto"/>
          <w:lang w:val="en-US" w:eastAsia="zh-CN"/>
        </w:rPr>
      </w:pPr>
      <w:bookmarkStart w:id="77" w:name="_Toc22574"/>
      <w:bookmarkStart w:id="78" w:name="_Toc24664"/>
      <w:bookmarkStart w:id="79" w:name="_Toc8976"/>
      <w:bookmarkStart w:id="80" w:name="_Toc15266"/>
      <w:r>
        <w:rPr>
          <w:rFonts w:hint="default"/>
          <w:color w:val="auto"/>
          <w:lang w:val="en-US" w:eastAsia="zh-CN"/>
        </w:rPr>
        <w:t>2.1.1</w:t>
      </w:r>
      <w:r>
        <w:rPr>
          <w:rFonts w:hint="eastAsia"/>
          <w:color w:val="auto"/>
          <w:lang w:val="en-US" w:eastAsia="zh-CN"/>
        </w:rPr>
        <w:t xml:space="preserve"> </w:t>
      </w:r>
      <w:r>
        <w:rPr>
          <w:rFonts w:hint="default"/>
          <w:color w:val="auto"/>
          <w:lang w:val="en-US" w:eastAsia="zh-CN"/>
        </w:rPr>
        <w:t>建设单位简介及项目</w:t>
      </w:r>
      <w:r>
        <w:rPr>
          <w:rFonts w:hint="eastAsia"/>
          <w:color w:val="auto"/>
          <w:lang w:val="en-US" w:eastAsia="zh-CN"/>
        </w:rPr>
        <w:t>情况</w:t>
      </w:r>
      <w:bookmarkEnd w:id="77"/>
      <w:bookmarkEnd w:id="78"/>
      <w:bookmarkEnd w:id="79"/>
      <w:bookmarkEnd w:id="80"/>
    </w:p>
    <w:p w14:paraId="590DE7D4">
      <w:pPr>
        <w:bidi w:val="0"/>
        <w:rPr>
          <w:rFonts w:hint="default"/>
          <w:color w:val="auto"/>
          <w:lang w:val="en-US" w:eastAsia="zh-CN"/>
        </w:rPr>
      </w:pPr>
      <w:r>
        <w:rPr>
          <w:rFonts w:hint="eastAsia"/>
          <w:color w:val="auto"/>
          <w:lang w:val="en-US" w:eastAsia="zh-CN"/>
        </w:rPr>
        <w:t>1. 建设单位简介</w:t>
      </w:r>
    </w:p>
    <w:p w14:paraId="1C362F0D">
      <w:pPr>
        <w:bidi w:val="0"/>
        <w:rPr>
          <w:rFonts w:hint="eastAsia"/>
          <w:color w:val="auto"/>
          <w:lang w:val="en-US" w:eastAsia="zh-CN"/>
        </w:rPr>
      </w:pPr>
      <w:r>
        <w:rPr>
          <w:rFonts w:hint="eastAsia"/>
          <w:color w:val="auto"/>
          <w:lang w:val="en-US" w:eastAsia="zh-CN"/>
        </w:rPr>
        <w:t>弋阳海螺水泥有限责任公司成立于2006年12月27日，位于江西省上饶市弋阳县三县岭乡姚畈村，</w:t>
      </w:r>
      <w:r>
        <w:rPr>
          <w:rFonts w:hint="eastAsia"/>
          <w:color w:val="FF0000"/>
          <w:lang w:val="en-US" w:eastAsia="zh-CN"/>
        </w:rPr>
        <w:t>营业执照统一社会信用代码</w:t>
      </w:r>
      <w:r>
        <w:rPr>
          <w:rFonts w:hint="eastAsia"/>
          <w:color w:val="auto"/>
          <w:lang w:val="en-US" w:eastAsia="zh-CN"/>
        </w:rPr>
        <w:t>：91361126796961367Q，注册资本为肆亿伍仟柒佰伍拾万元整，法定代表为柯卫东，类型为有限责任公司（非自然人投资或控股的法人独资），经营范围：许可项目为水泥生产，非煤矿山矿产资源开采（依法须经批准的项目，经相关部门批准后在许可有效期内方可开展经营活动，具体经营项目和许可期限以相关部门批准文件或许可证件为准），一般项目为非金属矿及制品销售，建筑材料销售，水泥制品制造，选矿，固体废物治理，电动汽车充电基础设施运营，集中式快速充电站（除依法须经批准的项目外，凭营业执照依法自主开展经营活动）。</w:t>
      </w:r>
    </w:p>
    <w:p w14:paraId="02E3366C">
      <w:pPr>
        <w:ind w:left="0" w:leftChars="0" w:firstLine="0" w:firstLineChars="0"/>
        <w:jc w:val="center"/>
        <w:rPr>
          <w:rFonts w:hint="eastAsia"/>
          <w:color w:val="auto"/>
          <w:lang w:val="en-US" w:eastAsia="zh-CN"/>
        </w:rPr>
      </w:pPr>
      <w:r>
        <w:rPr>
          <w:rFonts w:hint="eastAsia"/>
          <w:color w:val="auto"/>
          <w:lang w:val="en-US" w:eastAsia="zh-CN"/>
        </w:rPr>
        <w:t>表2.1-1 企业基本情况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904"/>
        <w:gridCol w:w="2042"/>
        <w:gridCol w:w="1316"/>
        <w:gridCol w:w="1177"/>
        <w:gridCol w:w="1400"/>
      </w:tblGrid>
      <w:tr w14:paraId="114A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1449" w:type="dxa"/>
            <w:vAlign w:val="center"/>
          </w:tcPr>
          <w:p w14:paraId="4E8120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企业名称</w:t>
            </w:r>
          </w:p>
        </w:tc>
        <w:tc>
          <w:tcPr>
            <w:tcW w:w="3946" w:type="dxa"/>
            <w:gridSpan w:val="2"/>
            <w:vAlign w:val="center"/>
          </w:tcPr>
          <w:p w14:paraId="673836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弋阳海螺水泥有限责任公司</w:t>
            </w:r>
          </w:p>
        </w:tc>
        <w:tc>
          <w:tcPr>
            <w:tcW w:w="1316" w:type="dxa"/>
            <w:vAlign w:val="center"/>
          </w:tcPr>
          <w:p w14:paraId="02A9D8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矿山名称</w:t>
            </w:r>
          </w:p>
        </w:tc>
        <w:tc>
          <w:tcPr>
            <w:tcW w:w="2577" w:type="dxa"/>
            <w:gridSpan w:val="2"/>
            <w:vAlign w:val="center"/>
          </w:tcPr>
          <w:p w14:paraId="1F6621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江西省弋阳县曹溪二矿区制碱用灰岩矿</w:t>
            </w:r>
          </w:p>
        </w:tc>
      </w:tr>
      <w:tr w14:paraId="362A8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449" w:type="dxa"/>
            <w:vAlign w:val="center"/>
          </w:tcPr>
          <w:p w14:paraId="59BCDE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企业地址</w:t>
            </w:r>
          </w:p>
        </w:tc>
        <w:tc>
          <w:tcPr>
            <w:tcW w:w="3946" w:type="dxa"/>
            <w:gridSpan w:val="2"/>
            <w:vAlign w:val="center"/>
          </w:tcPr>
          <w:p w14:paraId="628B84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江西省上饶市弋阳县三县岭乡姚畈村</w:t>
            </w:r>
          </w:p>
        </w:tc>
        <w:tc>
          <w:tcPr>
            <w:tcW w:w="1316" w:type="dxa"/>
            <w:vAlign w:val="center"/>
          </w:tcPr>
          <w:p w14:paraId="670E0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矿山地址</w:t>
            </w:r>
          </w:p>
        </w:tc>
        <w:tc>
          <w:tcPr>
            <w:tcW w:w="2577" w:type="dxa"/>
            <w:gridSpan w:val="2"/>
            <w:vAlign w:val="center"/>
          </w:tcPr>
          <w:p w14:paraId="16A7D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弋阳县曹溪镇西北约2km</w:t>
            </w:r>
          </w:p>
        </w:tc>
      </w:tr>
      <w:tr w14:paraId="0E30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449" w:type="dxa"/>
            <w:vAlign w:val="center"/>
          </w:tcPr>
          <w:p w14:paraId="2A98BD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法人代表</w:t>
            </w:r>
          </w:p>
        </w:tc>
        <w:tc>
          <w:tcPr>
            <w:tcW w:w="3946" w:type="dxa"/>
            <w:gridSpan w:val="2"/>
            <w:vAlign w:val="center"/>
          </w:tcPr>
          <w:p w14:paraId="50981C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柯卫东</w:t>
            </w:r>
          </w:p>
        </w:tc>
        <w:tc>
          <w:tcPr>
            <w:tcW w:w="1316" w:type="dxa"/>
            <w:vAlign w:val="center"/>
          </w:tcPr>
          <w:p w14:paraId="1C27A4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主要负责人</w:t>
            </w:r>
          </w:p>
        </w:tc>
        <w:tc>
          <w:tcPr>
            <w:tcW w:w="2577" w:type="dxa"/>
            <w:gridSpan w:val="2"/>
            <w:vAlign w:val="center"/>
          </w:tcPr>
          <w:p w14:paraId="2DBF6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李强</w:t>
            </w:r>
          </w:p>
        </w:tc>
      </w:tr>
      <w:tr w14:paraId="5F01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449" w:type="dxa"/>
            <w:vAlign w:val="center"/>
          </w:tcPr>
          <w:p w14:paraId="363E69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经济类型</w:t>
            </w:r>
          </w:p>
        </w:tc>
        <w:tc>
          <w:tcPr>
            <w:tcW w:w="3946" w:type="dxa"/>
            <w:gridSpan w:val="2"/>
            <w:vAlign w:val="center"/>
          </w:tcPr>
          <w:p w14:paraId="6A208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有限责任公司</w:t>
            </w:r>
          </w:p>
        </w:tc>
        <w:tc>
          <w:tcPr>
            <w:tcW w:w="1316" w:type="dxa"/>
            <w:vAlign w:val="center"/>
          </w:tcPr>
          <w:p w14:paraId="03844D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建矿时间</w:t>
            </w:r>
          </w:p>
        </w:tc>
        <w:tc>
          <w:tcPr>
            <w:tcW w:w="2577" w:type="dxa"/>
            <w:gridSpan w:val="2"/>
            <w:vAlign w:val="center"/>
          </w:tcPr>
          <w:p w14:paraId="06C873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2021年9月</w:t>
            </w:r>
          </w:p>
        </w:tc>
      </w:tr>
      <w:tr w14:paraId="4785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449" w:type="dxa"/>
            <w:vAlign w:val="center"/>
          </w:tcPr>
          <w:p w14:paraId="5A2BAB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开采矿种</w:t>
            </w:r>
          </w:p>
        </w:tc>
        <w:tc>
          <w:tcPr>
            <w:tcW w:w="1904" w:type="dxa"/>
            <w:vAlign w:val="center"/>
          </w:tcPr>
          <w:p w14:paraId="732335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制碱用灰岩、熔剂用白云岩</w:t>
            </w:r>
          </w:p>
        </w:tc>
        <w:tc>
          <w:tcPr>
            <w:tcW w:w="2042" w:type="dxa"/>
            <w:vAlign w:val="center"/>
          </w:tcPr>
          <w:p w14:paraId="3BEF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生产规模</w:t>
            </w:r>
          </w:p>
        </w:tc>
        <w:tc>
          <w:tcPr>
            <w:tcW w:w="1316" w:type="dxa"/>
            <w:vAlign w:val="center"/>
          </w:tcPr>
          <w:p w14:paraId="7830A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800万吨/年</w:t>
            </w:r>
          </w:p>
        </w:tc>
        <w:tc>
          <w:tcPr>
            <w:tcW w:w="1177" w:type="dxa"/>
            <w:vAlign w:val="center"/>
          </w:tcPr>
          <w:p w14:paraId="709611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开采方式</w:t>
            </w:r>
          </w:p>
        </w:tc>
        <w:tc>
          <w:tcPr>
            <w:tcW w:w="1400" w:type="dxa"/>
            <w:vAlign w:val="center"/>
          </w:tcPr>
          <w:p w14:paraId="75CF6E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露天开采</w:t>
            </w:r>
          </w:p>
        </w:tc>
      </w:tr>
      <w:tr w14:paraId="3F198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53" w:type="dxa"/>
            <w:gridSpan w:val="2"/>
            <w:vMerge w:val="restart"/>
            <w:vAlign w:val="center"/>
          </w:tcPr>
          <w:p w14:paraId="32350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企业营业执照</w:t>
            </w:r>
          </w:p>
        </w:tc>
        <w:tc>
          <w:tcPr>
            <w:tcW w:w="2042" w:type="dxa"/>
            <w:vAlign w:val="center"/>
          </w:tcPr>
          <w:p w14:paraId="7E3254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统一社会信用代码</w:t>
            </w:r>
          </w:p>
        </w:tc>
        <w:tc>
          <w:tcPr>
            <w:tcW w:w="3893" w:type="dxa"/>
            <w:gridSpan w:val="3"/>
            <w:vAlign w:val="center"/>
          </w:tcPr>
          <w:p w14:paraId="088E51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91361126796961367Q</w:t>
            </w:r>
          </w:p>
        </w:tc>
      </w:tr>
      <w:tr w14:paraId="5648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353" w:type="dxa"/>
            <w:gridSpan w:val="2"/>
            <w:vMerge w:val="continue"/>
            <w:vAlign w:val="center"/>
          </w:tcPr>
          <w:p w14:paraId="4A595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2042" w:type="dxa"/>
            <w:vAlign w:val="center"/>
          </w:tcPr>
          <w:p w14:paraId="7BFB1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发证单位</w:t>
            </w:r>
          </w:p>
        </w:tc>
        <w:tc>
          <w:tcPr>
            <w:tcW w:w="3893" w:type="dxa"/>
            <w:gridSpan w:val="3"/>
            <w:vAlign w:val="center"/>
          </w:tcPr>
          <w:p w14:paraId="5D85BC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弋阳</w:t>
            </w:r>
            <w:r>
              <w:rPr>
                <w:rFonts w:hint="default"/>
                <w:color w:val="auto"/>
                <w:sz w:val="21"/>
                <w:szCs w:val="21"/>
                <w:vertAlign w:val="baseline"/>
                <w:lang w:val="en-US" w:eastAsia="zh-CN"/>
              </w:rPr>
              <w:t>县市场监督管理局</w:t>
            </w:r>
          </w:p>
        </w:tc>
      </w:tr>
      <w:tr w14:paraId="73DE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353" w:type="dxa"/>
            <w:gridSpan w:val="2"/>
            <w:vMerge w:val="continue"/>
            <w:vAlign w:val="center"/>
          </w:tcPr>
          <w:p w14:paraId="7F2021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2042" w:type="dxa"/>
            <w:vAlign w:val="center"/>
          </w:tcPr>
          <w:p w14:paraId="3A522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成立日期</w:t>
            </w:r>
          </w:p>
        </w:tc>
        <w:tc>
          <w:tcPr>
            <w:tcW w:w="3893" w:type="dxa"/>
            <w:gridSpan w:val="3"/>
            <w:vAlign w:val="center"/>
          </w:tcPr>
          <w:p w14:paraId="2E8C50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2006年12月27日</w:t>
            </w:r>
          </w:p>
        </w:tc>
      </w:tr>
      <w:tr w14:paraId="4CD9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353" w:type="dxa"/>
            <w:gridSpan w:val="2"/>
            <w:vMerge w:val="restart"/>
            <w:vAlign w:val="center"/>
          </w:tcPr>
          <w:p w14:paraId="14A85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采矿许可证</w:t>
            </w:r>
          </w:p>
        </w:tc>
        <w:tc>
          <w:tcPr>
            <w:tcW w:w="2042" w:type="dxa"/>
            <w:vAlign w:val="center"/>
          </w:tcPr>
          <w:p w14:paraId="55B7DF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证号</w:t>
            </w:r>
          </w:p>
        </w:tc>
        <w:tc>
          <w:tcPr>
            <w:tcW w:w="3893" w:type="dxa"/>
            <w:gridSpan w:val="3"/>
            <w:vAlign w:val="center"/>
          </w:tcPr>
          <w:p w14:paraId="4FD2E4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C3611002021096200152543</w:t>
            </w:r>
          </w:p>
        </w:tc>
      </w:tr>
      <w:tr w14:paraId="6598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353" w:type="dxa"/>
            <w:gridSpan w:val="2"/>
            <w:vMerge w:val="continue"/>
            <w:vAlign w:val="center"/>
          </w:tcPr>
          <w:p w14:paraId="3DBB2D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2042" w:type="dxa"/>
            <w:vAlign w:val="center"/>
          </w:tcPr>
          <w:p w14:paraId="28A095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发证单位</w:t>
            </w:r>
          </w:p>
        </w:tc>
        <w:tc>
          <w:tcPr>
            <w:tcW w:w="3893" w:type="dxa"/>
            <w:gridSpan w:val="3"/>
            <w:vAlign w:val="center"/>
          </w:tcPr>
          <w:p w14:paraId="6A969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上饶市</w:t>
            </w:r>
            <w:r>
              <w:rPr>
                <w:rFonts w:hint="default"/>
                <w:color w:val="auto"/>
                <w:sz w:val="21"/>
                <w:szCs w:val="21"/>
                <w:vertAlign w:val="baseline"/>
                <w:lang w:val="en-US" w:eastAsia="zh-CN"/>
              </w:rPr>
              <w:t>自然资源局</w:t>
            </w:r>
          </w:p>
        </w:tc>
      </w:tr>
      <w:tr w14:paraId="5B04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353" w:type="dxa"/>
            <w:gridSpan w:val="2"/>
            <w:vMerge w:val="continue"/>
            <w:vAlign w:val="center"/>
          </w:tcPr>
          <w:p w14:paraId="3A2A1B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p>
        </w:tc>
        <w:tc>
          <w:tcPr>
            <w:tcW w:w="2042" w:type="dxa"/>
            <w:vAlign w:val="center"/>
          </w:tcPr>
          <w:p w14:paraId="269B86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有效期限</w:t>
            </w:r>
          </w:p>
        </w:tc>
        <w:tc>
          <w:tcPr>
            <w:tcW w:w="3893" w:type="dxa"/>
            <w:gridSpan w:val="3"/>
            <w:vAlign w:val="center"/>
          </w:tcPr>
          <w:p w14:paraId="178587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2043年9月3日</w:t>
            </w:r>
          </w:p>
        </w:tc>
      </w:tr>
      <w:tr w14:paraId="3FEC3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3353" w:type="dxa"/>
            <w:gridSpan w:val="2"/>
            <w:vMerge w:val="restart"/>
            <w:shd w:val="clear" w:color="auto" w:fill="auto"/>
            <w:vAlign w:val="center"/>
          </w:tcPr>
          <w:p w14:paraId="2FAC9A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安全生产许可证</w:t>
            </w:r>
          </w:p>
        </w:tc>
        <w:tc>
          <w:tcPr>
            <w:tcW w:w="2042" w:type="dxa"/>
            <w:shd w:val="clear" w:color="auto" w:fill="auto"/>
            <w:vAlign w:val="center"/>
          </w:tcPr>
          <w:p w14:paraId="5A7C90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证号</w:t>
            </w:r>
          </w:p>
        </w:tc>
        <w:tc>
          <w:tcPr>
            <w:tcW w:w="3893" w:type="dxa"/>
            <w:gridSpan w:val="3"/>
            <w:shd w:val="clear" w:color="auto" w:fill="auto"/>
            <w:vAlign w:val="center"/>
          </w:tcPr>
          <w:p w14:paraId="53F76C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赣</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FM安许证字</w:t>
            </w:r>
            <w:r>
              <w:rPr>
                <w:rFonts w:hint="eastAsia" w:asciiTheme="minorEastAsia" w:hAnsiTheme="minorEastAsia" w:eastAsiaTheme="minorEastAsia" w:cstheme="minorEastAsia"/>
                <w:color w:val="auto"/>
                <w:kern w:val="2"/>
                <w:sz w:val="21"/>
                <w:szCs w:val="21"/>
                <w:vertAlign w:val="baseline"/>
                <w:lang w:val="en-US" w:eastAsia="zh-CN" w:bidi="ar-SA"/>
              </w:rPr>
              <w:t>[</w:t>
            </w:r>
            <w:r>
              <w:rPr>
                <w:rFonts w:hint="default" w:ascii="Times New Roman" w:hAnsi="Times New Roman" w:eastAsia="微软雅黑" w:cs="Times New Roman"/>
                <w:color w:val="auto"/>
                <w:kern w:val="2"/>
                <w:sz w:val="21"/>
                <w:szCs w:val="21"/>
                <w:vertAlign w:val="baseline"/>
                <w:lang w:val="en-US" w:eastAsia="zh-CN" w:bidi="ar-SA"/>
              </w:rPr>
              <w:t>2023</w:t>
            </w:r>
            <w:r>
              <w:rPr>
                <w:rFonts w:hint="eastAsia" w:asciiTheme="minorEastAsia" w:hAnsiTheme="minorEastAsia" w:eastAsiaTheme="minorEastAsia" w:cstheme="minorEastAsia"/>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M1874号</w:t>
            </w:r>
          </w:p>
        </w:tc>
      </w:tr>
      <w:tr w14:paraId="52886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3353" w:type="dxa"/>
            <w:gridSpan w:val="2"/>
            <w:vMerge w:val="continue"/>
            <w:shd w:val="clear" w:color="auto" w:fill="auto"/>
            <w:vAlign w:val="center"/>
          </w:tcPr>
          <w:p w14:paraId="26B00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042" w:type="dxa"/>
            <w:shd w:val="clear" w:color="auto" w:fill="auto"/>
            <w:vAlign w:val="center"/>
          </w:tcPr>
          <w:p w14:paraId="4EF303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发证单位</w:t>
            </w:r>
          </w:p>
        </w:tc>
        <w:tc>
          <w:tcPr>
            <w:tcW w:w="3893" w:type="dxa"/>
            <w:gridSpan w:val="3"/>
            <w:shd w:val="clear" w:color="auto" w:fill="auto"/>
            <w:vAlign w:val="center"/>
          </w:tcPr>
          <w:p w14:paraId="3220BE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江西省应急管理厅</w:t>
            </w:r>
          </w:p>
        </w:tc>
      </w:tr>
      <w:tr w14:paraId="3737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353" w:type="dxa"/>
            <w:gridSpan w:val="2"/>
            <w:vMerge w:val="continue"/>
            <w:shd w:val="clear" w:color="auto" w:fill="auto"/>
            <w:vAlign w:val="center"/>
          </w:tcPr>
          <w:p w14:paraId="634AB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042" w:type="dxa"/>
            <w:shd w:val="clear" w:color="auto" w:fill="auto"/>
            <w:vAlign w:val="center"/>
          </w:tcPr>
          <w:p w14:paraId="552DD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有效期限</w:t>
            </w:r>
          </w:p>
        </w:tc>
        <w:tc>
          <w:tcPr>
            <w:tcW w:w="3893" w:type="dxa"/>
            <w:gridSpan w:val="3"/>
            <w:shd w:val="clear" w:color="auto" w:fill="auto"/>
            <w:vAlign w:val="center"/>
          </w:tcPr>
          <w:p w14:paraId="76795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2026年08月03日</w:t>
            </w:r>
          </w:p>
        </w:tc>
      </w:tr>
      <w:tr w14:paraId="3BC6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353" w:type="dxa"/>
            <w:gridSpan w:val="2"/>
            <w:vMerge w:val="restart"/>
            <w:shd w:val="clear" w:color="auto" w:fill="auto"/>
            <w:vAlign w:val="center"/>
          </w:tcPr>
          <w:p w14:paraId="380D19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安全生产标准化</w:t>
            </w:r>
          </w:p>
        </w:tc>
        <w:tc>
          <w:tcPr>
            <w:tcW w:w="2042" w:type="dxa"/>
            <w:shd w:val="clear" w:color="auto" w:fill="auto"/>
            <w:vAlign w:val="center"/>
          </w:tcPr>
          <w:p w14:paraId="2ED1CD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等级</w:t>
            </w:r>
          </w:p>
        </w:tc>
        <w:tc>
          <w:tcPr>
            <w:tcW w:w="3893" w:type="dxa"/>
            <w:gridSpan w:val="3"/>
            <w:shd w:val="clear" w:color="auto" w:fill="auto"/>
            <w:vAlign w:val="center"/>
          </w:tcPr>
          <w:p w14:paraId="54BC3D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二级</w:t>
            </w:r>
          </w:p>
        </w:tc>
      </w:tr>
      <w:tr w14:paraId="696B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53" w:type="dxa"/>
            <w:gridSpan w:val="2"/>
            <w:vMerge w:val="continue"/>
            <w:shd w:val="clear" w:color="auto" w:fill="auto"/>
            <w:vAlign w:val="center"/>
          </w:tcPr>
          <w:p w14:paraId="017902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042" w:type="dxa"/>
            <w:shd w:val="clear" w:color="auto" w:fill="auto"/>
            <w:vAlign w:val="center"/>
          </w:tcPr>
          <w:p w14:paraId="41545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网上公示</w:t>
            </w:r>
          </w:p>
        </w:tc>
        <w:tc>
          <w:tcPr>
            <w:tcW w:w="3893" w:type="dxa"/>
            <w:gridSpan w:val="3"/>
            <w:shd w:val="clear" w:color="auto" w:fill="auto"/>
            <w:vAlign w:val="center"/>
          </w:tcPr>
          <w:p w14:paraId="0B12E2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江西省非煤矿山企业安全生产标准化评审定级审核决定公告</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第七十四号</w:t>
            </w:r>
            <w:r>
              <w:rPr>
                <w:rFonts w:hint="eastAsia" w:cs="Times New Roman"/>
                <w:color w:val="auto"/>
                <w:kern w:val="2"/>
                <w:sz w:val="21"/>
                <w:szCs w:val="21"/>
                <w:vertAlign w:val="baseline"/>
                <w:lang w:val="en-US" w:eastAsia="zh-CN" w:bidi="ar-SA"/>
              </w:rPr>
              <w:t>）</w:t>
            </w:r>
            <w:r>
              <w:rPr>
                <w:rFonts w:hint="eastAsia" w:ascii="Times New Roman" w:hAnsi="Times New Roman" w:eastAsia="宋体" w:cs="Times New Roman"/>
                <w:color w:val="auto"/>
                <w:kern w:val="2"/>
                <w:sz w:val="21"/>
                <w:szCs w:val="21"/>
                <w:vertAlign w:val="baseline"/>
                <w:lang w:val="en-US" w:eastAsia="zh-CN" w:bidi="ar-SA"/>
              </w:rPr>
              <w:t>，202</w:t>
            </w:r>
            <w:r>
              <w:rPr>
                <w:rFonts w:hint="eastAsia" w:cs="Times New Roman"/>
                <w:color w:val="auto"/>
                <w:kern w:val="2"/>
                <w:sz w:val="21"/>
                <w:szCs w:val="21"/>
                <w:vertAlign w:val="baseline"/>
                <w:lang w:val="en-US" w:eastAsia="zh-CN" w:bidi="ar-SA"/>
              </w:rPr>
              <w:t>5</w:t>
            </w:r>
            <w:r>
              <w:rPr>
                <w:rFonts w:hint="eastAsia" w:ascii="Times New Roman" w:hAnsi="Times New Roman" w:eastAsia="宋体" w:cs="Times New Roman"/>
                <w:color w:val="auto"/>
                <w:kern w:val="2"/>
                <w:sz w:val="21"/>
                <w:szCs w:val="21"/>
                <w:vertAlign w:val="baseline"/>
                <w:lang w:val="en-US" w:eastAsia="zh-CN" w:bidi="ar-SA"/>
              </w:rPr>
              <w:t>年</w:t>
            </w:r>
            <w:r>
              <w:rPr>
                <w:rFonts w:hint="eastAsia" w:cs="Times New Roman"/>
                <w:color w:val="auto"/>
                <w:kern w:val="2"/>
                <w:sz w:val="21"/>
                <w:szCs w:val="21"/>
                <w:vertAlign w:val="baseline"/>
                <w:lang w:val="en-US" w:eastAsia="zh-CN" w:bidi="ar-SA"/>
              </w:rPr>
              <w:t>01</w:t>
            </w:r>
            <w:r>
              <w:rPr>
                <w:rFonts w:hint="eastAsia" w:ascii="Times New Roman" w:hAnsi="Times New Roman" w:eastAsia="宋体" w:cs="Times New Roman"/>
                <w:color w:val="auto"/>
                <w:kern w:val="2"/>
                <w:sz w:val="21"/>
                <w:szCs w:val="21"/>
                <w:vertAlign w:val="baseline"/>
                <w:lang w:val="en-US" w:eastAsia="zh-CN" w:bidi="ar-SA"/>
              </w:rPr>
              <w:t>月</w:t>
            </w:r>
            <w:r>
              <w:rPr>
                <w:rFonts w:hint="eastAsia" w:cs="Times New Roman"/>
                <w:color w:val="auto"/>
                <w:kern w:val="2"/>
                <w:sz w:val="21"/>
                <w:szCs w:val="21"/>
                <w:vertAlign w:val="baseline"/>
                <w:lang w:val="en-US" w:eastAsia="zh-CN" w:bidi="ar-SA"/>
              </w:rPr>
              <w:t>03</w:t>
            </w:r>
            <w:r>
              <w:rPr>
                <w:rFonts w:hint="eastAsia" w:ascii="Times New Roman" w:hAnsi="Times New Roman" w:eastAsia="宋体" w:cs="Times New Roman"/>
                <w:color w:val="auto"/>
                <w:kern w:val="2"/>
                <w:sz w:val="21"/>
                <w:szCs w:val="21"/>
                <w:vertAlign w:val="baseline"/>
                <w:lang w:val="en-US" w:eastAsia="zh-CN" w:bidi="ar-SA"/>
              </w:rPr>
              <w:t>日</w:t>
            </w:r>
          </w:p>
        </w:tc>
      </w:tr>
      <w:tr w14:paraId="0EF1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353" w:type="dxa"/>
            <w:gridSpan w:val="2"/>
            <w:vMerge w:val="continue"/>
            <w:shd w:val="clear" w:color="auto" w:fill="auto"/>
            <w:vAlign w:val="center"/>
          </w:tcPr>
          <w:p w14:paraId="7287CF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042" w:type="dxa"/>
            <w:shd w:val="clear" w:color="auto" w:fill="auto"/>
            <w:vAlign w:val="center"/>
          </w:tcPr>
          <w:p w14:paraId="0BBDFF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有效期限</w:t>
            </w:r>
          </w:p>
        </w:tc>
        <w:tc>
          <w:tcPr>
            <w:tcW w:w="3893" w:type="dxa"/>
            <w:gridSpan w:val="3"/>
            <w:shd w:val="clear" w:color="auto" w:fill="auto"/>
            <w:vAlign w:val="center"/>
          </w:tcPr>
          <w:p w14:paraId="4B67AD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202</w:t>
            </w:r>
            <w:r>
              <w:rPr>
                <w:rFonts w:hint="eastAsia" w:cs="Times New Roman"/>
                <w:color w:val="auto"/>
                <w:kern w:val="2"/>
                <w:sz w:val="21"/>
                <w:szCs w:val="21"/>
                <w:vertAlign w:val="baseline"/>
                <w:lang w:val="en-US" w:eastAsia="zh-CN" w:bidi="ar-SA"/>
              </w:rPr>
              <w:t>8</w:t>
            </w:r>
            <w:r>
              <w:rPr>
                <w:rFonts w:hint="eastAsia" w:ascii="Times New Roman" w:hAnsi="Times New Roman" w:eastAsia="宋体" w:cs="Times New Roman"/>
                <w:color w:val="auto"/>
                <w:kern w:val="2"/>
                <w:sz w:val="21"/>
                <w:szCs w:val="21"/>
                <w:vertAlign w:val="baseline"/>
                <w:lang w:val="en-US" w:eastAsia="zh-CN" w:bidi="ar-SA"/>
              </w:rPr>
              <w:t>年</w:t>
            </w:r>
            <w:r>
              <w:rPr>
                <w:rFonts w:hint="eastAsia" w:cs="Times New Roman"/>
                <w:color w:val="auto"/>
                <w:kern w:val="2"/>
                <w:sz w:val="21"/>
                <w:szCs w:val="21"/>
                <w:vertAlign w:val="baseline"/>
                <w:lang w:val="en-US" w:eastAsia="zh-CN" w:bidi="ar-SA"/>
              </w:rPr>
              <w:t>01</w:t>
            </w:r>
            <w:r>
              <w:rPr>
                <w:rFonts w:hint="eastAsia" w:ascii="Times New Roman" w:hAnsi="Times New Roman" w:eastAsia="宋体" w:cs="Times New Roman"/>
                <w:color w:val="auto"/>
                <w:kern w:val="2"/>
                <w:sz w:val="21"/>
                <w:szCs w:val="21"/>
                <w:vertAlign w:val="baseline"/>
                <w:lang w:val="en-US" w:eastAsia="zh-CN" w:bidi="ar-SA"/>
              </w:rPr>
              <w:t>月</w:t>
            </w:r>
            <w:r>
              <w:rPr>
                <w:rFonts w:hint="eastAsia" w:cs="Times New Roman"/>
                <w:color w:val="auto"/>
                <w:kern w:val="2"/>
                <w:sz w:val="21"/>
                <w:szCs w:val="21"/>
                <w:vertAlign w:val="baseline"/>
                <w:lang w:val="en-US" w:eastAsia="zh-CN" w:bidi="ar-SA"/>
              </w:rPr>
              <w:t>02</w:t>
            </w:r>
            <w:r>
              <w:rPr>
                <w:rFonts w:hint="eastAsia" w:ascii="Times New Roman" w:hAnsi="Times New Roman" w:eastAsia="宋体" w:cs="Times New Roman"/>
                <w:color w:val="auto"/>
                <w:kern w:val="2"/>
                <w:sz w:val="21"/>
                <w:szCs w:val="21"/>
                <w:vertAlign w:val="baseline"/>
                <w:lang w:val="en-US" w:eastAsia="zh-CN" w:bidi="ar-SA"/>
              </w:rPr>
              <w:t>日</w:t>
            </w:r>
          </w:p>
        </w:tc>
      </w:tr>
    </w:tbl>
    <w:p w14:paraId="2A50DA35">
      <w:pPr>
        <w:bidi w:val="0"/>
        <w:rPr>
          <w:rFonts w:hint="default"/>
          <w:color w:val="auto"/>
          <w:lang w:val="en-US" w:eastAsia="zh-CN"/>
        </w:rPr>
      </w:pPr>
      <w:r>
        <w:rPr>
          <w:rFonts w:hint="eastAsia"/>
          <w:color w:val="auto"/>
          <w:lang w:val="en-US" w:eastAsia="zh-CN"/>
        </w:rPr>
        <w:t>2. 项目情况</w:t>
      </w:r>
    </w:p>
    <w:p w14:paraId="61ACB1EA">
      <w:pPr>
        <w:rPr>
          <w:rFonts w:hint="default"/>
          <w:color w:val="auto"/>
          <w:lang w:val="en-US" w:eastAsia="zh-CN"/>
        </w:rPr>
      </w:pPr>
      <w:r>
        <w:rPr>
          <w:rFonts w:hint="default"/>
          <w:color w:val="auto"/>
          <w:lang w:val="en-US" w:eastAsia="zh-CN"/>
        </w:rPr>
        <w:t>2020年8月，中国建筑材料工业地质勘查中心江西总队编制完成了《江西省弋阳县曹溪二矿区制碱用灰岩矿勘探报告》。</w:t>
      </w:r>
    </w:p>
    <w:p w14:paraId="225CA083">
      <w:pPr>
        <w:rPr>
          <w:rFonts w:hint="default"/>
          <w:color w:val="auto"/>
          <w:lang w:val="en-US" w:eastAsia="zh-CN"/>
        </w:rPr>
      </w:pPr>
      <w:r>
        <w:rPr>
          <w:rFonts w:hint="default"/>
          <w:color w:val="auto"/>
          <w:lang w:val="en-US" w:eastAsia="zh-CN"/>
        </w:rPr>
        <w:t>2020年10月，中国建筑材料工业地质勘查中心江西总队编制完成了《江西省弋阳县曹溪二矿区制碱用灰岩矿矿产资源开发利用、地质环境恢复治理与土地复垦方案》。</w:t>
      </w:r>
    </w:p>
    <w:p w14:paraId="39C3CA3B">
      <w:pPr>
        <w:bidi w:val="0"/>
        <w:rPr>
          <w:rFonts w:hint="eastAsia"/>
          <w:color w:val="auto"/>
          <w:lang w:val="en-US" w:eastAsia="zh-CN"/>
        </w:rPr>
      </w:pPr>
      <w:r>
        <w:rPr>
          <w:rFonts w:hint="eastAsia"/>
          <w:color w:val="auto"/>
        </w:rPr>
        <w:t>2021年3月</w:t>
      </w:r>
      <w:r>
        <w:rPr>
          <w:rFonts w:hint="eastAsia"/>
          <w:color w:val="auto"/>
          <w:lang w:eastAsia="zh-CN"/>
        </w:rPr>
        <w:t>，</w:t>
      </w:r>
      <w:r>
        <w:rPr>
          <w:rFonts w:hint="eastAsia"/>
          <w:color w:val="auto"/>
        </w:rPr>
        <w:t>弋阳海螺水泥有限责任公司在江西省土地使用权和矿业权网上交易系统取得</w:t>
      </w:r>
      <w:r>
        <w:rPr>
          <w:rFonts w:hint="eastAsia"/>
          <w:color w:val="auto"/>
          <w:lang w:val="en-US" w:eastAsia="zh-CN"/>
        </w:rPr>
        <w:t>了</w:t>
      </w:r>
      <w:r>
        <w:rPr>
          <w:rFonts w:hint="eastAsia"/>
          <w:color w:val="auto"/>
        </w:rPr>
        <w:t>江西省弋阳县曹溪二矿区制碱用灰岩矿的</w:t>
      </w:r>
      <w:r>
        <w:rPr>
          <w:rFonts w:hint="eastAsia"/>
          <w:color w:val="auto"/>
          <w:lang w:val="en-US" w:eastAsia="zh-CN"/>
        </w:rPr>
        <w:t>采矿权</w:t>
      </w:r>
      <w:r>
        <w:rPr>
          <w:rFonts w:hint="eastAsia"/>
          <w:color w:val="auto"/>
          <w:lang w:eastAsia="zh-CN"/>
        </w:rPr>
        <w:t>。</w:t>
      </w:r>
    </w:p>
    <w:p w14:paraId="24E43854">
      <w:pPr>
        <w:rPr>
          <w:rFonts w:hint="default"/>
          <w:color w:val="auto"/>
          <w:lang w:val="en-US" w:eastAsia="zh-CN"/>
        </w:rPr>
      </w:pPr>
      <w:r>
        <w:rPr>
          <w:rFonts w:hint="default"/>
          <w:color w:val="auto"/>
          <w:lang w:val="en-US" w:eastAsia="zh-CN"/>
        </w:rPr>
        <w:t>2021年3月，安徽海螺建材设计研究院有限责任公司编制完成了《江西省弋阳县曹溪二矿区制碱用灰岩矿800万t/a采矿工程可行性研究报告》。</w:t>
      </w:r>
    </w:p>
    <w:p w14:paraId="785E0450">
      <w:pPr>
        <w:rPr>
          <w:rFonts w:hint="default"/>
          <w:color w:val="auto"/>
          <w:lang w:val="en-US" w:eastAsia="zh-CN"/>
        </w:rPr>
      </w:pPr>
      <w:r>
        <w:rPr>
          <w:rFonts w:hint="default"/>
          <w:color w:val="auto"/>
          <w:lang w:val="en-US" w:eastAsia="zh-CN"/>
        </w:rPr>
        <w:t>2021年7月，江西赣安安全生产科学技术咨询服务中心编制完成了《江西省弋阳县曹溪二矿区制碱用灰岩矿800万t/a采矿工程项目安全预评价报告》。</w:t>
      </w:r>
    </w:p>
    <w:p w14:paraId="5EFFABC7">
      <w:pPr>
        <w:rPr>
          <w:rFonts w:hint="default"/>
          <w:color w:val="auto"/>
          <w:lang w:val="en-US" w:eastAsia="zh-CN"/>
        </w:rPr>
      </w:pPr>
      <w:r>
        <w:rPr>
          <w:rFonts w:hint="default"/>
          <w:color w:val="auto"/>
          <w:lang w:val="en-US" w:eastAsia="zh-CN"/>
        </w:rPr>
        <w:t>2021年9月，企业取得了采矿许可证，编号：C3611002021096200152543。</w:t>
      </w:r>
    </w:p>
    <w:p w14:paraId="2F6710CE">
      <w:pPr>
        <w:rPr>
          <w:rFonts w:hint="default"/>
          <w:color w:val="auto"/>
          <w:lang w:val="en-US" w:eastAsia="zh-CN"/>
        </w:rPr>
      </w:pPr>
      <w:r>
        <w:rPr>
          <w:rFonts w:hint="default"/>
          <w:color w:val="auto"/>
          <w:lang w:val="en-US" w:eastAsia="zh-CN"/>
        </w:rPr>
        <w:t>2022年6月，中钢集团马鞍山矿山研究总院股份有限公司编制</w:t>
      </w:r>
      <w:r>
        <w:rPr>
          <w:rFonts w:hint="eastAsia"/>
          <w:color w:val="auto"/>
          <w:lang w:val="en-US" w:eastAsia="zh-CN"/>
        </w:rPr>
        <w:t>完成</w:t>
      </w:r>
      <w:r>
        <w:rPr>
          <w:rFonts w:hint="default"/>
          <w:color w:val="auto"/>
          <w:lang w:val="en-US" w:eastAsia="zh-CN"/>
        </w:rPr>
        <w:t>了《弋阳海螺水泥有限责任公司江西省弋阳县曹溪二矿区制碱用灰岩矿800万t/a采矿工程初步设计》</w:t>
      </w:r>
      <w:r>
        <w:rPr>
          <w:rFonts w:hint="eastAsia"/>
          <w:color w:val="auto"/>
          <w:lang w:val="en-US" w:eastAsia="zh-CN"/>
        </w:rPr>
        <w:t>、</w:t>
      </w:r>
      <w:r>
        <w:rPr>
          <w:rFonts w:hint="eastAsia" w:ascii="Times New Roman" w:hAnsi="Times New Roman" w:eastAsia="宋体" w:cs="Times New Roman"/>
          <w:color w:val="auto"/>
          <w:lang w:val="en-US" w:eastAsia="zh-CN"/>
        </w:rPr>
        <w:t>《弋阳海螺水泥有限责任公司江西省弋阳县曹溪二矿区制碱用灰岩矿800万t/a采矿工程安全设施设计》</w:t>
      </w:r>
      <w:r>
        <w:rPr>
          <w:rFonts w:hint="default"/>
          <w:color w:val="auto"/>
          <w:lang w:val="en-US" w:eastAsia="zh-CN"/>
        </w:rPr>
        <w:t>。</w:t>
      </w:r>
    </w:p>
    <w:p w14:paraId="3AB45FD0">
      <w:pPr>
        <w:rPr>
          <w:rFonts w:hint="default"/>
          <w:color w:val="auto"/>
          <w:lang w:val="en-US" w:eastAsia="zh-CN"/>
        </w:rPr>
      </w:pPr>
      <w:r>
        <w:rPr>
          <w:rFonts w:hint="default"/>
          <w:color w:val="auto"/>
          <w:lang w:val="en-US" w:eastAsia="zh-CN"/>
        </w:rPr>
        <w:t>2022年6月17日，受省应急管理厅委托，江西省应急管理科学研究院组织专家对《安全设施设计》进行了审查并形成了《专家组评审意见》，并经专家组长对《安全设施设计》修改情况符合性审查建议通过评审。</w:t>
      </w:r>
    </w:p>
    <w:p w14:paraId="6B8F154D">
      <w:pPr>
        <w:rPr>
          <w:rFonts w:hint="default"/>
          <w:color w:val="auto"/>
          <w:lang w:val="en-US" w:eastAsia="zh-CN"/>
        </w:rPr>
      </w:pPr>
      <w:r>
        <w:rPr>
          <w:rFonts w:hint="default"/>
          <w:color w:val="auto"/>
          <w:lang w:val="en-US" w:eastAsia="zh-CN"/>
        </w:rPr>
        <w:t>2022年7月19日，江西省应急管理厅下发了《关于弋阳海螺水泥有限责任公司江西省弋阳县曹溪二矿区制碱用灰岩矿800万t/a采矿工程安全设施设计的审查意见》（赣应急非煤项目设审〔2022〕36号），企业开始矿山基建工作。</w:t>
      </w:r>
    </w:p>
    <w:p w14:paraId="189ABEE0">
      <w:pPr>
        <w:rPr>
          <w:rFonts w:hint="default"/>
          <w:color w:val="auto"/>
          <w:lang w:val="en-US" w:eastAsia="zh-CN"/>
        </w:rPr>
      </w:pPr>
      <w:r>
        <w:rPr>
          <w:rFonts w:hint="eastAsia"/>
          <w:color w:val="auto"/>
          <w:lang w:val="en-US" w:eastAsia="zh-CN"/>
        </w:rPr>
        <w:t>2023年7月，广东万思邦科技有限公司对弋阳海螺水泥有限责任公司江西省弋阳县曹溪二矿区制碱用灰岩矿800万吨/年采矿工程安全设施进行了验收评价，出具了</w:t>
      </w:r>
      <w:r>
        <w:rPr>
          <w:rFonts w:hint="default"/>
          <w:color w:val="auto"/>
          <w:lang w:val="en-US" w:eastAsia="zh-CN"/>
        </w:rPr>
        <w:t>《</w:t>
      </w:r>
      <w:r>
        <w:rPr>
          <w:rFonts w:hint="eastAsia"/>
          <w:color w:val="auto"/>
          <w:lang w:val="en-US" w:eastAsia="zh-CN"/>
        </w:rPr>
        <w:t>弋阳海螺水泥有限责任公司江西省弋阳县曹溪二矿区制碱用灰岩矿800万吨/年采矿工程安全设施</w:t>
      </w:r>
      <w:r>
        <w:rPr>
          <w:rFonts w:hint="default"/>
          <w:color w:val="auto"/>
          <w:lang w:val="en-US" w:eastAsia="zh-CN"/>
        </w:rPr>
        <w:t>验收评价报告》</w:t>
      </w:r>
      <w:r>
        <w:rPr>
          <w:rFonts w:hint="eastAsia"/>
          <w:color w:val="auto"/>
          <w:lang w:val="en-US" w:eastAsia="zh-CN"/>
        </w:rPr>
        <w:t>。</w:t>
      </w:r>
    </w:p>
    <w:p w14:paraId="4FD67E7B">
      <w:pPr>
        <w:rPr>
          <w:rFonts w:hint="default"/>
          <w:color w:val="auto"/>
          <w:lang w:val="en-US" w:eastAsia="zh-CN"/>
        </w:rPr>
      </w:pPr>
      <w:r>
        <w:rPr>
          <w:rFonts w:hint="default"/>
          <w:color w:val="auto"/>
          <w:lang w:val="en-US" w:eastAsia="zh-CN"/>
        </w:rPr>
        <w:t>弋阳海螺水泥有限责任公司江西省弋阳县曹溪二矿区制碱用灰岩矿于202</w:t>
      </w:r>
      <w:r>
        <w:rPr>
          <w:rFonts w:hint="eastAsia"/>
          <w:color w:val="auto"/>
          <w:lang w:val="en-US" w:eastAsia="zh-CN"/>
        </w:rPr>
        <w:t>4</w:t>
      </w:r>
      <w:r>
        <w:rPr>
          <w:rFonts w:hint="default"/>
          <w:color w:val="auto"/>
          <w:lang w:val="en-US" w:eastAsia="zh-CN"/>
        </w:rPr>
        <w:t>年</w:t>
      </w:r>
      <w:r>
        <w:rPr>
          <w:rFonts w:hint="eastAsia"/>
          <w:color w:val="auto"/>
          <w:lang w:val="en-US" w:eastAsia="zh-CN"/>
        </w:rPr>
        <w:t>04</w:t>
      </w:r>
      <w:r>
        <w:rPr>
          <w:rFonts w:hint="default"/>
          <w:color w:val="auto"/>
          <w:lang w:val="en-US" w:eastAsia="zh-CN"/>
        </w:rPr>
        <w:t>月</w:t>
      </w:r>
      <w:r>
        <w:rPr>
          <w:rFonts w:hint="eastAsia"/>
          <w:color w:val="auto"/>
          <w:lang w:val="en-US" w:eastAsia="zh-CN"/>
        </w:rPr>
        <w:t>11</w:t>
      </w:r>
      <w:r>
        <w:rPr>
          <w:rFonts w:hint="default"/>
          <w:color w:val="auto"/>
          <w:lang w:val="en-US" w:eastAsia="zh-CN"/>
        </w:rPr>
        <w:t>日获得了</w:t>
      </w:r>
      <w:r>
        <w:rPr>
          <w:rFonts w:hint="eastAsia"/>
          <w:color w:val="auto"/>
          <w:lang w:val="en-US" w:eastAsia="zh-CN"/>
        </w:rPr>
        <w:t>江西省应急管理厅</w:t>
      </w:r>
      <w:r>
        <w:rPr>
          <w:rFonts w:hint="default"/>
          <w:color w:val="auto"/>
          <w:lang w:val="en-US" w:eastAsia="zh-CN"/>
        </w:rPr>
        <w:t>颁发的安全生产许可证，证号为（赣）FM安许证字</w:t>
      </w:r>
      <w:r>
        <w:rPr>
          <w:rFonts w:hint="eastAsia" w:ascii="宋体" w:hAnsi="宋体" w:eastAsia="宋体" w:cs="宋体"/>
          <w:color w:val="auto"/>
          <w:lang w:val="en-US" w:eastAsia="zh-CN"/>
        </w:rPr>
        <w:t>[</w:t>
      </w:r>
      <w:r>
        <w:rPr>
          <w:rFonts w:hint="default"/>
          <w:color w:val="auto"/>
          <w:lang w:val="en-US" w:eastAsia="zh-CN"/>
        </w:rPr>
        <w:t>20</w:t>
      </w:r>
      <w:r>
        <w:rPr>
          <w:rFonts w:hint="eastAsia"/>
          <w:color w:val="auto"/>
          <w:lang w:val="en-US" w:eastAsia="zh-CN"/>
        </w:rPr>
        <w:t>23</w:t>
      </w:r>
      <w:r>
        <w:rPr>
          <w:rFonts w:hint="eastAsia" w:ascii="宋体" w:hAnsi="宋体" w:eastAsia="宋体" w:cs="宋体"/>
          <w:color w:val="auto"/>
          <w:lang w:val="en-US" w:eastAsia="zh-CN"/>
        </w:rPr>
        <w:t>]</w:t>
      </w:r>
      <w:r>
        <w:rPr>
          <w:rFonts w:hint="eastAsia"/>
          <w:color w:val="auto"/>
          <w:lang w:val="en-US" w:eastAsia="zh-CN"/>
        </w:rPr>
        <w:t>M1874</w:t>
      </w:r>
      <w:r>
        <w:rPr>
          <w:rFonts w:hint="default"/>
          <w:color w:val="auto"/>
          <w:lang w:val="en-US" w:eastAsia="zh-CN"/>
        </w:rPr>
        <w:t>号，许可范围：制碱用灰岩矿800万吨/年，+280m、+265m</w:t>
      </w:r>
      <w:r>
        <w:rPr>
          <w:rFonts w:hint="eastAsia"/>
          <w:color w:val="auto"/>
          <w:lang w:val="en-US" w:eastAsia="zh-CN"/>
        </w:rPr>
        <w:t>、</w:t>
      </w:r>
      <w:r>
        <w:rPr>
          <w:rFonts w:hint="default"/>
          <w:color w:val="auto"/>
          <w:lang w:val="en-US" w:eastAsia="zh-CN"/>
        </w:rPr>
        <w:t>+250m、+235m、+220m、+205m、+190m、+175m、+160m、+145m、+130m、+115m、+100m等台阶露天开采。有效期</w:t>
      </w:r>
      <w:r>
        <w:rPr>
          <w:rFonts w:hint="eastAsia"/>
          <w:color w:val="auto"/>
          <w:lang w:val="en-US" w:eastAsia="zh-CN"/>
        </w:rPr>
        <w:t>2023年08月04</w:t>
      </w:r>
      <w:r>
        <w:rPr>
          <w:rFonts w:hint="default"/>
          <w:color w:val="auto"/>
          <w:lang w:val="en-US" w:eastAsia="zh-CN"/>
        </w:rPr>
        <w:t>日至202</w:t>
      </w:r>
      <w:r>
        <w:rPr>
          <w:rFonts w:hint="eastAsia"/>
          <w:color w:val="auto"/>
          <w:lang w:val="en-US" w:eastAsia="zh-CN"/>
        </w:rPr>
        <w:t>6</w:t>
      </w:r>
      <w:r>
        <w:rPr>
          <w:rFonts w:hint="default"/>
          <w:color w:val="auto"/>
          <w:lang w:val="en-US" w:eastAsia="zh-CN"/>
        </w:rPr>
        <w:t>年</w:t>
      </w:r>
      <w:r>
        <w:rPr>
          <w:rFonts w:hint="eastAsia"/>
          <w:color w:val="auto"/>
          <w:lang w:val="en-US" w:eastAsia="zh-CN"/>
        </w:rPr>
        <w:t>08</w:t>
      </w:r>
      <w:r>
        <w:rPr>
          <w:rFonts w:hint="default"/>
          <w:color w:val="auto"/>
          <w:lang w:val="en-US" w:eastAsia="zh-CN"/>
        </w:rPr>
        <w:t>月</w:t>
      </w:r>
      <w:r>
        <w:rPr>
          <w:rFonts w:hint="eastAsia"/>
          <w:color w:val="auto"/>
          <w:lang w:val="en-US" w:eastAsia="zh-CN"/>
        </w:rPr>
        <w:t>03</w:t>
      </w:r>
      <w:r>
        <w:rPr>
          <w:rFonts w:hint="default"/>
          <w:color w:val="auto"/>
          <w:lang w:val="en-US" w:eastAsia="zh-CN"/>
        </w:rPr>
        <w:t>日。</w:t>
      </w:r>
    </w:p>
    <w:p w14:paraId="7F31BE5E">
      <w:pPr>
        <w:pStyle w:val="4"/>
        <w:bidi w:val="0"/>
        <w:rPr>
          <w:rFonts w:hint="default"/>
          <w:color w:val="auto"/>
          <w:lang w:val="en-US" w:eastAsia="zh-CN"/>
        </w:rPr>
      </w:pPr>
      <w:bookmarkStart w:id="81" w:name="_Toc13752"/>
      <w:bookmarkStart w:id="82" w:name="_Toc3012"/>
      <w:bookmarkStart w:id="83" w:name="_Toc28854"/>
      <w:bookmarkStart w:id="84" w:name="_Toc1018"/>
      <w:r>
        <w:rPr>
          <w:rFonts w:hint="default"/>
          <w:color w:val="auto"/>
          <w:lang w:val="en-US" w:eastAsia="zh-CN"/>
        </w:rPr>
        <w:t>2.1.2</w:t>
      </w:r>
      <w:r>
        <w:rPr>
          <w:rFonts w:hint="eastAsia"/>
          <w:color w:val="auto"/>
          <w:lang w:val="en-US" w:eastAsia="zh-CN"/>
        </w:rPr>
        <w:t xml:space="preserve"> </w:t>
      </w:r>
      <w:r>
        <w:rPr>
          <w:rFonts w:hint="default"/>
          <w:color w:val="auto"/>
          <w:lang w:val="en-US" w:eastAsia="zh-CN"/>
        </w:rPr>
        <w:t>地理位置及交通</w:t>
      </w:r>
      <w:bookmarkEnd w:id="81"/>
      <w:bookmarkEnd w:id="82"/>
      <w:bookmarkEnd w:id="83"/>
      <w:bookmarkEnd w:id="84"/>
    </w:p>
    <w:p w14:paraId="71427374">
      <w:pPr>
        <w:rPr>
          <w:rFonts w:hint="eastAsia"/>
          <w:color w:val="auto"/>
        </w:rPr>
      </w:pPr>
      <w:r>
        <w:rPr>
          <w:rFonts w:hint="eastAsia"/>
          <w:color w:val="auto"/>
          <w:lang w:val="en-US" w:eastAsia="zh-CN"/>
        </w:rPr>
        <w:t>曹溪二矿</w:t>
      </w:r>
      <w:r>
        <w:rPr>
          <w:rFonts w:hint="eastAsia"/>
          <w:color w:val="auto"/>
        </w:rPr>
        <w:t>位于弋阳县曹溪镇西北约2km，距弋阳县城约40km，</w:t>
      </w:r>
      <w:r>
        <w:rPr>
          <w:rFonts w:hint="eastAsia"/>
          <w:color w:val="auto"/>
          <w:lang w:val="en-US" w:eastAsia="zh-CN"/>
        </w:rPr>
        <w:t>行政区划属</w:t>
      </w:r>
      <w:r>
        <w:rPr>
          <w:rFonts w:hint="eastAsia"/>
          <w:color w:val="auto"/>
        </w:rPr>
        <w:t>弋阳县曹溪镇。地理坐标：东经117°17′27″～117°18′09″，北纬28°42′43″～28°43′13″，面积0.6633km</w:t>
      </w:r>
      <w:r>
        <w:rPr>
          <w:rFonts w:hint="eastAsia"/>
          <w:color w:val="auto"/>
          <w:vertAlign w:val="superscript"/>
        </w:rPr>
        <w:t>2</w:t>
      </w:r>
      <w:r>
        <w:rPr>
          <w:rFonts w:hint="eastAsia"/>
          <w:color w:val="auto"/>
        </w:rPr>
        <w:t>。</w:t>
      </w:r>
    </w:p>
    <w:p w14:paraId="2384AD56">
      <w:pPr>
        <w:rPr>
          <w:rFonts w:hint="default"/>
          <w:color w:val="auto"/>
          <w:lang w:val="en-US" w:eastAsia="zh-CN"/>
        </w:rPr>
      </w:pPr>
      <w:r>
        <w:rPr>
          <w:rFonts w:hint="eastAsia"/>
          <w:color w:val="auto"/>
        </w:rPr>
        <w:t>矿区距离上万高速26.5km，周围有弋阳～乐平公路、弋阳～万年公路相通，经弋阳、乐平、万年分别接浙赣线铁路、梨温高速公路、皖赣线铁路，交通方便</w:t>
      </w:r>
      <w:r>
        <w:rPr>
          <w:rFonts w:hint="eastAsia"/>
          <w:color w:val="auto"/>
          <w:lang w:val="en-US" w:eastAsia="zh-CN"/>
        </w:rPr>
        <w:t>（</w:t>
      </w:r>
      <w:r>
        <w:rPr>
          <w:rFonts w:hint="default"/>
          <w:color w:val="auto"/>
          <w:lang w:val="en-US" w:eastAsia="zh-CN"/>
        </w:rPr>
        <w:t>见图</w:t>
      </w:r>
      <w:r>
        <w:rPr>
          <w:rFonts w:hint="eastAsia"/>
          <w:color w:val="auto"/>
          <w:lang w:val="en-US" w:eastAsia="zh-CN"/>
        </w:rPr>
        <w:t>2.1-1）</w:t>
      </w:r>
      <w:r>
        <w:rPr>
          <w:rFonts w:hint="eastAsia"/>
          <w:color w:val="auto"/>
        </w:rPr>
        <w:t>。</w:t>
      </w:r>
    </w:p>
    <w:p w14:paraId="2A6BD9AD">
      <w:pPr>
        <w:ind w:left="0" w:leftChars="0" w:firstLine="0" w:firstLineChars="0"/>
        <w:jc w:val="center"/>
        <w:rPr>
          <w:rFonts w:hint="default"/>
          <w:color w:val="auto"/>
          <w:lang w:val="en-US" w:eastAsia="zh-CN"/>
        </w:rPr>
      </w:pPr>
      <w:r>
        <w:rPr>
          <w:rFonts w:hAnsi="宋体"/>
        </w:rPr>
        <w:drawing>
          <wp:inline distT="0" distB="0" distL="114300" distR="114300">
            <wp:extent cx="5400040" cy="5478780"/>
            <wp:effectExtent l="0" t="0" r="1016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400040" cy="5478780"/>
                    </a:xfrm>
                    <a:prstGeom prst="rect">
                      <a:avLst/>
                    </a:prstGeom>
                    <a:noFill/>
                    <a:ln>
                      <a:noFill/>
                    </a:ln>
                  </pic:spPr>
                </pic:pic>
              </a:graphicData>
            </a:graphic>
          </wp:inline>
        </w:drawing>
      </w:r>
    </w:p>
    <w:p w14:paraId="26A3AC98">
      <w:pPr>
        <w:ind w:left="0" w:leftChars="0" w:firstLine="0" w:firstLineChars="0"/>
        <w:jc w:val="center"/>
        <w:rPr>
          <w:rFonts w:hint="default"/>
          <w:color w:val="auto"/>
          <w:lang w:val="en-US" w:eastAsia="zh-CN"/>
        </w:rPr>
      </w:pPr>
      <w:r>
        <w:rPr>
          <w:rFonts w:hint="default"/>
          <w:color w:val="auto"/>
          <w:lang w:val="en-US" w:eastAsia="zh-CN"/>
        </w:rPr>
        <w:t>图</w:t>
      </w:r>
      <w:r>
        <w:rPr>
          <w:rFonts w:hint="eastAsia"/>
          <w:color w:val="auto"/>
          <w:lang w:val="en-US" w:eastAsia="zh-CN"/>
        </w:rPr>
        <w:t xml:space="preserve">2.1-1 </w:t>
      </w:r>
      <w:r>
        <w:rPr>
          <w:rFonts w:hint="default"/>
          <w:color w:val="auto"/>
          <w:lang w:val="en-US" w:eastAsia="zh-CN"/>
        </w:rPr>
        <w:t>矿区交通位置图</w:t>
      </w:r>
    </w:p>
    <w:p w14:paraId="1DDB3EEA">
      <w:pPr>
        <w:pStyle w:val="4"/>
        <w:bidi w:val="0"/>
        <w:rPr>
          <w:rFonts w:hint="default"/>
          <w:color w:val="auto"/>
          <w:lang w:val="en-US" w:eastAsia="zh-CN"/>
        </w:rPr>
      </w:pPr>
      <w:bookmarkStart w:id="85" w:name="_Toc10917"/>
      <w:bookmarkStart w:id="86" w:name="_Toc24955"/>
      <w:bookmarkStart w:id="87" w:name="_Toc23007"/>
      <w:bookmarkStart w:id="88" w:name="_Toc16795"/>
      <w:r>
        <w:rPr>
          <w:rFonts w:hint="eastAsia"/>
          <w:color w:val="auto"/>
          <w:lang w:val="en-US" w:eastAsia="zh-CN"/>
        </w:rPr>
        <w:t>2.1.3 开采范围</w:t>
      </w:r>
      <w:bookmarkEnd w:id="85"/>
      <w:bookmarkEnd w:id="86"/>
      <w:bookmarkEnd w:id="87"/>
      <w:bookmarkEnd w:id="88"/>
    </w:p>
    <w:p w14:paraId="4CFAE575">
      <w:pPr>
        <w:rPr>
          <w:rFonts w:hint="default"/>
          <w:color w:val="auto"/>
          <w:lang w:val="en-US" w:eastAsia="zh-CN"/>
        </w:rPr>
      </w:pPr>
      <w:r>
        <w:rPr>
          <w:rFonts w:hint="default"/>
          <w:color w:val="auto"/>
          <w:lang w:val="en-US" w:eastAsia="zh-CN"/>
        </w:rPr>
        <w:t>根据</w:t>
      </w:r>
      <w:r>
        <w:rPr>
          <w:rFonts w:hint="eastAsia"/>
          <w:color w:val="auto"/>
          <w:lang w:val="en-US" w:eastAsia="zh-CN"/>
        </w:rPr>
        <w:t>上饶市</w:t>
      </w:r>
      <w:r>
        <w:rPr>
          <w:rFonts w:hint="default"/>
          <w:color w:val="auto"/>
          <w:lang w:val="en-US" w:eastAsia="zh-CN"/>
        </w:rPr>
        <w:t>自然资源局2021年</w:t>
      </w:r>
      <w:r>
        <w:rPr>
          <w:rFonts w:hint="eastAsia"/>
          <w:color w:val="auto"/>
          <w:lang w:val="en-US" w:eastAsia="zh-CN"/>
        </w:rPr>
        <w:t>9</w:t>
      </w:r>
      <w:r>
        <w:rPr>
          <w:rFonts w:hint="default"/>
          <w:color w:val="auto"/>
          <w:lang w:val="en-US" w:eastAsia="zh-CN"/>
        </w:rPr>
        <w:t>月颁发的《采矿许可证》，</w:t>
      </w:r>
      <w:r>
        <w:rPr>
          <w:rFonts w:hint="eastAsia"/>
          <w:color w:val="auto"/>
          <w:lang w:val="en-US" w:eastAsia="zh-CN"/>
        </w:rPr>
        <w:t>曹溪二矿</w:t>
      </w:r>
      <w:r>
        <w:rPr>
          <w:rFonts w:hint="default"/>
          <w:color w:val="auto"/>
          <w:lang w:val="en-US" w:eastAsia="zh-CN"/>
        </w:rPr>
        <w:t>由</w:t>
      </w:r>
      <w:r>
        <w:rPr>
          <w:rFonts w:hint="eastAsia"/>
          <w:color w:val="auto"/>
          <w:lang w:val="en-US" w:eastAsia="zh-CN"/>
        </w:rPr>
        <w:t>9</w:t>
      </w:r>
      <w:r>
        <w:rPr>
          <w:rFonts w:hint="default"/>
          <w:color w:val="auto"/>
          <w:lang w:val="en-US" w:eastAsia="zh-CN"/>
        </w:rPr>
        <w:t>个拐点圈定，矿区面积</w:t>
      </w:r>
      <w:r>
        <w:rPr>
          <w:rFonts w:hint="eastAsia"/>
          <w:color w:val="auto"/>
          <w:lang w:val="en-US" w:eastAsia="zh-CN"/>
        </w:rPr>
        <w:t>：</w:t>
      </w:r>
      <w:r>
        <w:rPr>
          <w:rFonts w:hint="default"/>
          <w:color w:val="auto"/>
          <w:lang w:val="en-US" w:eastAsia="zh-CN"/>
        </w:rPr>
        <w:t>0.</w:t>
      </w:r>
      <w:r>
        <w:rPr>
          <w:rFonts w:hint="eastAsia"/>
          <w:color w:val="auto"/>
          <w:lang w:val="en-US" w:eastAsia="zh-CN"/>
        </w:rPr>
        <w:t>6633</w:t>
      </w:r>
      <w:r>
        <w:rPr>
          <w:rFonts w:hint="default"/>
          <w:color w:val="auto"/>
          <w:lang w:val="en-US" w:eastAsia="zh-CN"/>
        </w:rPr>
        <w:t>km</w:t>
      </w:r>
      <w:r>
        <w:rPr>
          <w:rFonts w:hint="eastAsia"/>
          <w:color w:val="auto"/>
          <w:vertAlign w:val="superscript"/>
          <w:lang w:val="en-US" w:eastAsia="zh-CN"/>
        </w:rPr>
        <w:t>2</w:t>
      </w:r>
      <w:r>
        <w:rPr>
          <w:rFonts w:hint="default"/>
          <w:color w:val="auto"/>
          <w:lang w:val="en-US" w:eastAsia="zh-CN"/>
        </w:rPr>
        <w:t>，开采深度</w:t>
      </w:r>
      <w:r>
        <w:rPr>
          <w:rFonts w:hint="eastAsia"/>
          <w:color w:val="auto"/>
          <w:lang w:val="en-US" w:eastAsia="zh-CN"/>
        </w:rPr>
        <w:t>：</w:t>
      </w:r>
      <w:r>
        <w:rPr>
          <w:rFonts w:hint="default"/>
          <w:color w:val="auto"/>
          <w:lang w:val="en-US" w:eastAsia="zh-CN"/>
        </w:rPr>
        <w:t>+3</w:t>
      </w:r>
      <w:r>
        <w:rPr>
          <w:rFonts w:hint="eastAsia"/>
          <w:color w:val="auto"/>
          <w:lang w:val="en-US" w:eastAsia="zh-CN"/>
        </w:rPr>
        <w:t>29</w:t>
      </w:r>
      <w:r>
        <w:rPr>
          <w:rFonts w:hint="default"/>
          <w:color w:val="auto"/>
          <w:lang w:val="en-US" w:eastAsia="zh-CN"/>
        </w:rPr>
        <w:t>m至+1</w:t>
      </w:r>
      <w:r>
        <w:rPr>
          <w:rFonts w:hint="eastAsia"/>
          <w:color w:val="auto"/>
          <w:lang w:val="en-US" w:eastAsia="zh-CN"/>
        </w:rPr>
        <w:t>00</w:t>
      </w:r>
      <w:r>
        <w:rPr>
          <w:rFonts w:hint="default"/>
          <w:color w:val="auto"/>
          <w:lang w:val="en-US" w:eastAsia="zh-CN"/>
        </w:rPr>
        <w:t>m标高，拐点坐标见表2</w:t>
      </w:r>
      <w:r>
        <w:rPr>
          <w:rFonts w:hint="eastAsia"/>
          <w:color w:val="auto"/>
          <w:lang w:val="en-US" w:eastAsia="zh-CN"/>
        </w:rPr>
        <w:t>.1</w:t>
      </w:r>
      <w:r>
        <w:rPr>
          <w:rFonts w:hint="default"/>
          <w:color w:val="auto"/>
          <w:lang w:val="en-US" w:eastAsia="zh-CN"/>
        </w:rPr>
        <w:t>-2。</w:t>
      </w:r>
    </w:p>
    <w:p w14:paraId="62502CE5">
      <w:pPr>
        <w:ind w:left="0" w:leftChars="0" w:firstLine="0" w:firstLineChars="0"/>
        <w:jc w:val="center"/>
        <w:rPr>
          <w:rFonts w:hint="eastAsia"/>
          <w:color w:val="auto"/>
          <w:lang w:val="en-US" w:eastAsia="zh-CN"/>
        </w:rPr>
      </w:pPr>
      <w:r>
        <w:rPr>
          <w:rFonts w:hint="default"/>
          <w:color w:val="auto"/>
          <w:lang w:val="en-US" w:eastAsia="zh-CN"/>
        </w:rPr>
        <w:t>表2</w:t>
      </w:r>
      <w:r>
        <w:rPr>
          <w:rFonts w:hint="eastAsia"/>
          <w:color w:val="auto"/>
          <w:lang w:val="en-US" w:eastAsia="zh-CN"/>
        </w:rPr>
        <w:t>.1</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矿区范围拐点坐标表</w:t>
      </w:r>
      <w:r>
        <w:rPr>
          <w:rFonts w:hint="eastAsia"/>
          <w:color w:val="auto"/>
          <w:lang w:val="en-US" w:eastAsia="zh-CN"/>
        </w:rPr>
        <w:t>（</w:t>
      </w:r>
      <w:r>
        <w:rPr>
          <w:rFonts w:hint="default"/>
          <w:color w:val="auto"/>
          <w:lang w:val="en-US" w:eastAsia="zh-CN"/>
        </w:rPr>
        <w:t>2000国家大地坐标系</w:t>
      </w:r>
      <w:r>
        <w:rPr>
          <w:rFonts w:hint="eastAsia"/>
          <w:color w:val="auto"/>
          <w:lang w:val="en-US" w:eastAsia="zh-CN"/>
        </w:rPr>
        <w:t>）</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5"/>
        <w:gridCol w:w="3098"/>
      </w:tblGrid>
      <w:tr w14:paraId="37CE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1666" w:type="pct"/>
            <w:vAlign w:val="center"/>
          </w:tcPr>
          <w:p w14:paraId="140605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标号</w:t>
            </w:r>
          </w:p>
        </w:tc>
        <w:tc>
          <w:tcPr>
            <w:tcW w:w="1666" w:type="pct"/>
            <w:vAlign w:val="center"/>
          </w:tcPr>
          <w:p w14:paraId="20443E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X</w:t>
            </w:r>
          </w:p>
        </w:tc>
        <w:tc>
          <w:tcPr>
            <w:tcW w:w="1667" w:type="pct"/>
            <w:vAlign w:val="center"/>
          </w:tcPr>
          <w:p w14:paraId="4DD9E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Y</w:t>
            </w:r>
          </w:p>
        </w:tc>
      </w:tr>
      <w:tr w14:paraId="5A59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666" w:type="pct"/>
            <w:vAlign w:val="center"/>
          </w:tcPr>
          <w:p w14:paraId="5A1C9C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1666" w:type="pct"/>
            <w:vAlign w:val="center"/>
          </w:tcPr>
          <w:p w14:paraId="7BF20A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3178276.09</w:t>
            </w:r>
          </w:p>
        </w:tc>
        <w:tc>
          <w:tcPr>
            <w:tcW w:w="1667" w:type="pct"/>
            <w:vAlign w:val="center"/>
          </w:tcPr>
          <w:p w14:paraId="2844D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39529095.56</w:t>
            </w:r>
          </w:p>
        </w:tc>
      </w:tr>
      <w:tr w14:paraId="07AB8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666" w:type="pct"/>
            <w:vAlign w:val="center"/>
          </w:tcPr>
          <w:p w14:paraId="09EC0F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1666" w:type="pct"/>
            <w:vAlign w:val="center"/>
          </w:tcPr>
          <w:p w14:paraId="323758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3178314.16</w:t>
            </w:r>
          </w:p>
        </w:tc>
        <w:tc>
          <w:tcPr>
            <w:tcW w:w="1667" w:type="pct"/>
            <w:vAlign w:val="center"/>
          </w:tcPr>
          <w:p w14:paraId="253362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39529302.37</w:t>
            </w:r>
          </w:p>
        </w:tc>
      </w:tr>
      <w:tr w14:paraId="4E6F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5D1B8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1666" w:type="pct"/>
            <w:vAlign w:val="center"/>
          </w:tcPr>
          <w:p w14:paraId="3DB95F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3177424.74</w:t>
            </w:r>
          </w:p>
        </w:tc>
        <w:tc>
          <w:tcPr>
            <w:tcW w:w="1667" w:type="pct"/>
            <w:vAlign w:val="center"/>
          </w:tcPr>
          <w:p w14:paraId="4C195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39529686.71</w:t>
            </w:r>
          </w:p>
        </w:tc>
      </w:tr>
      <w:tr w14:paraId="1472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6" w:type="pct"/>
            <w:vAlign w:val="center"/>
          </w:tcPr>
          <w:p w14:paraId="2CD75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1666" w:type="pct"/>
            <w:vAlign w:val="center"/>
          </w:tcPr>
          <w:p w14:paraId="613EF7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3177382.89</w:t>
            </w:r>
          </w:p>
        </w:tc>
        <w:tc>
          <w:tcPr>
            <w:tcW w:w="1667" w:type="pct"/>
            <w:vAlign w:val="center"/>
          </w:tcPr>
          <w:p w14:paraId="04A06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39529397.36</w:t>
            </w:r>
          </w:p>
        </w:tc>
      </w:tr>
      <w:tr w14:paraId="1C7E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666" w:type="pct"/>
            <w:vAlign w:val="center"/>
          </w:tcPr>
          <w:p w14:paraId="378875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1666" w:type="pct"/>
            <w:vAlign w:val="center"/>
          </w:tcPr>
          <w:p w14:paraId="21DEC0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3177444.19</w:t>
            </w:r>
          </w:p>
        </w:tc>
        <w:tc>
          <w:tcPr>
            <w:tcW w:w="1667" w:type="pct"/>
            <w:vAlign w:val="center"/>
          </w:tcPr>
          <w:p w14:paraId="3362BF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39529010.89</w:t>
            </w:r>
          </w:p>
        </w:tc>
      </w:tr>
      <w:tr w14:paraId="34FC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573A18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1666" w:type="pct"/>
            <w:vAlign w:val="center"/>
          </w:tcPr>
          <w:p w14:paraId="380B2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3177510.84</w:t>
            </w:r>
          </w:p>
        </w:tc>
        <w:tc>
          <w:tcPr>
            <w:tcW w:w="1667" w:type="pct"/>
            <w:vAlign w:val="center"/>
          </w:tcPr>
          <w:p w14:paraId="2D8D2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39528529.26</w:t>
            </w:r>
          </w:p>
        </w:tc>
      </w:tr>
      <w:tr w14:paraId="088D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65340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1666" w:type="pct"/>
            <w:vAlign w:val="center"/>
          </w:tcPr>
          <w:p w14:paraId="16BC3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3177984.87</w:t>
            </w:r>
          </w:p>
        </w:tc>
        <w:tc>
          <w:tcPr>
            <w:tcW w:w="1667" w:type="pct"/>
            <w:vAlign w:val="center"/>
          </w:tcPr>
          <w:p w14:paraId="1A08EB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39528527.88</w:t>
            </w:r>
          </w:p>
        </w:tc>
      </w:tr>
      <w:tr w14:paraId="0520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736E5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w:t>
            </w:r>
          </w:p>
        </w:tc>
        <w:tc>
          <w:tcPr>
            <w:tcW w:w="1666" w:type="pct"/>
            <w:vAlign w:val="center"/>
          </w:tcPr>
          <w:p w14:paraId="20511F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3177984.87</w:t>
            </w:r>
          </w:p>
        </w:tc>
        <w:tc>
          <w:tcPr>
            <w:tcW w:w="1667" w:type="pct"/>
            <w:vAlign w:val="center"/>
          </w:tcPr>
          <w:p w14:paraId="329790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39529027.75</w:t>
            </w:r>
          </w:p>
        </w:tc>
      </w:tr>
      <w:tr w14:paraId="7C63B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666" w:type="pct"/>
            <w:vAlign w:val="center"/>
          </w:tcPr>
          <w:p w14:paraId="40CD9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9</w:t>
            </w:r>
          </w:p>
        </w:tc>
        <w:tc>
          <w:tcPr>
            <w:tcW w:w="1666" w:type="pct"/>
            <w:vAlign w:val="center"/>
          </w:tcPr>
          <w:p w14:paraId="3CD28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3178276.09</w:t>
            </w:r>
          </w:p>
        </w:tc>
        <w:tc>
          <w:tcPr>
            <w:tcW w:w="1667" w:type="pct"/>
            <w:vAlign w:val="center"/>
          </w:tcPr>
          <w:p w14:paraId="1F49F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39529095.56</w:t>
            </w:r>
          </w:p>
        </w:tc>
      </w:tr>
      <w:tr w14:paraId="5C3E4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666" w:type="pct"/>
            <w:vAlign w:val="center"/>
          </w:tcPr>
          <w:p w14:paraId="2BBED3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开采深度</w:t>
            </w:r>
          </w:p>
        </w:tc>
        <w:tc>
          <w:tcPr>
            <w:tcW w:w="3333" w:type="pct"/>
            <w:gridSpan w:val="2"/>
            <w:vAlign w:val="center"/>
          </w:tcPr>
          <w:p w14:paraId="799B2E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由+329m至+100m</w:t>
            </w:r>
          </w:p>
        </w:tc>
      </w:tr>
      <w:tr w14:paraId="5235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1666" w:type="pct"/>
            <w:vAlign w:val="center"/>
          </w:tcPr>
          <w:p w14:paraId="0BB24C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矿区面积</w:t>
            </w:r>
          </w:p>
        </w:tc>
        <w:tc>
          <w:tcPr>
            <w:tcW w:w="3333" w:type="pct"/>
            <w:gridSpan w:val="2"/>
            <w:vAlign w:val="center"/>
          </w:tcPr>
          <w:p w14:paraId="5B605E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0.6633km</w:t>
            </w:r>
            <w:r>
              <w:rPr>
                <w:rFonts w:hint="eastAsia"/>
                <w:color w:val="auto"/>
                <w:sz w:val="21"/>
                <w:szCs w:val="21"/>
                <w:vertAlign w:val="superscript"/>
                <w:lang w:val="en-US" w:eastAsia="zh-CN"/>
              </w:rPr>
              <w:t>2</w:t>
            </w:r>
          </w:p>
        </w:tc>
      </w:tr>
    </w:tbl>
    <w:p w14:paraId="36169A9D">
      <w:pPr>
        <w:pStyle w:val="4"/>
        <w:bidi w:val="0"/>
        <w:rPr>
          <w:rFonts w:hint="default"/>
          <w:color w:val="auto"/>
          <w:lang w:val="en-US" w:eastAsia="zh-CN"/>
        </w:rPr>
      </w:pPr>
      <w:bookmarkStart w:id="89" w:name="_Toc1900"/>
      <w:bookmarkStart w:id="90" w:name="_Toc27073"/>
      <w:bookmarkStart w:id="91" w:name="_Toc2972"/>
      <w:bookmarkStart w:id="92" w:name="_Toc7180"/>
      <w:r>
        <w:rPr>
          <w:rFonts w:hint="default"/>
          <w:color w:val="auto"/>
          <w:lang w:val="en-US" w:eastAsia="zh-CN"/>
        </w:rPr>
        <w:t>2.1.</w:t>
      </w:r>
      <w:r>
        <w:rPr>
          <w:rFonts w:hint="eastAsia"/>
          <w:color w:val="auto"/>
          <w:lang w:val="en-US" w:eastAsia="zh-CN"/>
        </w:rPr>
        <w:t>4</w:t>
      </w:r>
      <w:r>
        <w:rPr>
          <w:rFonts w:hint="default"/>
          <w:color w:val="auto"/>
          <w:lang w:val="en-US" w:eastAsia="zh-CN"/>
        </w:rPr>
        <w:t xml:space="preserve"> 矿区周边环境</w:t>
      </w:r>
      <w:bookmarkEnd w:id="89"/>
      <w:bookmarkEnd w:id="90"/>
      <w:bookmarkEnd w:id="91"/>
      <w:bookmarkEnd w:id="92"/>
    </w:p>
    <w:p w14:paraId="5BF336CB">
      <w:pPr>
        <w:rPr>
          <w:rFonts w:hint="default"/>
          <w:color w:val="auto"/>
          <w:lang w:val="en-US" w:eastAsia="zh-CN"/>
        </w:rPr>
      </w:pPr>
      <w:r>
        <w:rPr>
          <w:rFonts w:hint="default"/>
          <w:color w:val="auto"/>
          <w:lang w:val="en-US" w:eastAsia="zh-CN"/>
        </w:rPr>
        <w:t>本矿区位置与周边矿业权范围位置关系见图2</w:t>
      </w:r>
      <w:r>
        <w:rPr>
          <w:rFonts w:hint="eastAsia"/>
          <w:color w:val="auto"/>
          <w:lang w:val="en-US" w:eastAsia="zh-CN"/>
        </w:rPr>
        <w:t>.1</w:t>
      </w:r>
      <w:r>
        <w:rPr>
          <w:rFonts w:hint="default"/>
          <w:color w:val="auto"/>
          <w:lang w:val="en-US" w:eastAsia="zh-CN"/>
        </w:rPr>
        <w:t>-2。与本矿区有关的矿权有两处：一处为东南方向的叶家灰岩矿，</w:t>
      </w:r>
      <w:r>
        <w:rPr>
          <w:rFonts w:hint="eastAsia"/>
          <w:color w:val="auto"/>
          <w:lang w:val="en-US" w:eastAsia="zh-CN"/>
        </w:rPr>
        <w:t>经了解，目前该矿的采矿许可证已注销</w:t>
      </w:r>
      <w:r>
        <w:rPr>
          <w:rFonts w:hint="default"/>
          <w:color w:val="auto"/>
          <w:lang w:val="en-US" w:eastAsia="zh-CN"/>
        </w:rPr>
        <w:t>；另一处为南侧江西省弋阳县曹溪矿区弋阳海螺水泥用灰岩矿（以下简称曹溪一矿）采矿权，与本矿区紧密相邻，两矿权共用其中（</w:t>
      </w:r>
      <w:r>
        <w:rPr>
          <w:rFonts w:hint="eastAsia"/>
          <w:color w:val="auto"/>
          <w:lang w:val="en-US" w:eastAsia="zh-CN"/>
        </w:rPr>
        <w:t>3</w:t>
      </w:r>
      <w:r>
        <w:rPr>
          <w:rFonts w:hint="default"/>
          <w:color w:val="auto"/>
          <w:lang w:val="en-US" w:eastAsia="zh-CN"/>
        </w:rPr>
        <w:t>、</w:t>
      </w:r>
      <w:r>
        <w:rPr>
          <w:rFonts w:hint="eastAsia"/>
          <w:color w:val="auto"/>
          <w:lang w:val="en-US" w:eastAsia="zh-CN"/>
        </w:rPr>
        <w:t>4</w:t>
      </w:r>
      <w:r>
        <w:rPr>
          <w:rFonts w:hint="default"/>
          <w:color w:val="auto"/>
          <w:lang w:val="en-US" w:eastAsia="zh-CN"/>
        </w:rPr>
        <w:t>、</w:t>
      </w:r>
      <w:r>
        <w:rPr>
          <w:rFonts w:hint="eastAsia"/>
          <w:color w:val="auto"/>
          <w:lang w:val="en-US" w:eastAsia="zh-CN"/>
        </w:rPr>
        <w:t>5</w:t>
      </w:r>
      <w:r>
        <w:rPr>
          <w:rFonts w:hint="default"/>
          <w:color w:val="auto"/>
          <w:lang w:val="en-US" w:eastAsia="zh-CN"/>
        </w:rPr>
        <w:t>）3个拐点坐标</w:t>
      </w:r>
      <w:r>
        <w:rPr>
          <w:rFonts w:hint="eastAsia"/>
          <w:color w:val="auto"/>
          <w:lang w:val="en-US" w:eastAsia="zh-CN"/>
        </w:rPr>
        <w:t>，</w:t>
      </w:r>
      <w:r>
        <w:rPr>
          <w:rFonts w:hint="default"/>
          <w:color w:val="auto"/>
          <w:lang w:val="en-US" w:eastAsia="zh-CN"/>
        </w:rPr>
        <w:t>采矿权人为弋阳海螺水泥有限责任公司，开采矿种为水泥用灰岩矿原料，采矿权范围由14个拐点圈定，矿区面积1.5913km</w:t>
      </w:r>
      <w:r>
        <w:rPr>
          <w:rFonts w:hint="default"/>
          <w:color w:val="auto"/>
          <w:vertAlign w:val="superscript"/>
          <w:lang w:val="en-US" w:eastAsia="zh-CN"/>
        </w:rPr>
        <w:t>2</w:t>
      </w:r>
      <w:r>
        <w:rPr>
          <w:rFonts w:hint="default"/>
          <w:color w:val="auto"/>
          <w:lang w:val="en-US" w:eastAsia="zh-CN"/>
        </w:rPr>
        <w:t>，采矿权开采深度：+485m～+100m。设计开采规模850万t/a，设计开采最低标高+205m，目前开采最低标高+205m，已形成+390m、+380m、+370m、+355m、+340m、+325m、+310m、+295m、+280m、+265m、+250m、+235m、+220m、+205m共14个平台，采用潜孔钻机穿孔，深孔微差爆破，公路开拓汽车运输。除上述工程活动外，矿区周边无工程活动。</w:t>
      </w:r>
    </w:p>
    <w:p w14:paraId="37DAE86F">
      <w:pPr>
        <w:rPr>
          <w:rFonts w:hint="default"/>
          <w:color w:val="auto"/>
          <w:lang w:val="en-US" w:eastAsia="zh-CN"/>
        </w:rPr>
      </w:pPr>
      <w:r>
        <w:rPr>
          <w:rFonts w:hint="default"/>
          <w:color w:val="auto"/>
          <w:lang w:val="en-US" w:eastAsia="zh-CN"/>
        </w:rPr>
        <w:t>东侧从北向南依次分布郑家坞、叶家、下西吴、上西吴、马山村等村落，最近为郑家坞村，距离600m。500m范围内无高压输电线，1km范围内无铁路、及风景名胜古迹等建（构）筑物设施。周边环境见图2</w:t>
      </w:r>
      <w:r>
        <w:rPr>
          <w:rFonts w:hint="eastAsia"/>
          <w:color w:val="auto"/>
          <w:lang w:val="en-US" w:eastAsia="zh-CN"/>
        </w:rPr>
        <w:t>.1</w:t>
      </w:r>
      <w:r>
        <w:rPr>
          <w:rFonts w:hint="default"/>
          <w:color w:val="auto"/>
          <w:lang w:val="en-US" w:eastAsia="zh-CN"/>
        </w:rPr>
        <w:t>-3。</w:t>
      </w:r>
    </w:p>
    <w:p w14:paraId="59097139">
      <w:pPr>
        <w:ind w:left="0" w:leftChars="0" w:firstLine="0" w:firstLineChars="0"/>
        <w:jc w:val="center"/>
        <w:rPr>
          <w:rFonts w:hAnsi="宋体"/>
        </w:rPr>
      </w:pPr>
      <w:r>
        <w:rPr>
          <w:rFonts w:hAnsi="宋体"/>
        </w:rPr>
        <w:drawing>
          <wp:inline distT="0" distB="0" distL="114300" distR="114300">
            <wp:extent cx="5400040" cy="7455535"/>
            <wp:effectExtent l="0" t="0" r="10160" b="12065"/>
            <wp:docPr id="1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2"/>
                    <pic:cNvPicPr>
                      <a:picLocks noChangeAspect="1"/>
                    </pic:cNvPicPr>
                  </pic:nvPicPr>
                  <pic:blipFill>
                    <a:blip r:embed="rId10"/>
                    <a:stretch>
                      <a:fillRect/>
                    </a:stretch>
                  </pic:blipFill>
                  <pic:spPr>
                    <a:xfrm>
                      <a:off x="0" y="0"/>
                      <a:ext cx="5400040" cy="7455535"/>
                    </a:xfrm>
                    <a:prstGeom prst="rect">
                      <a:avLst/>
                    </a:prstGeom>
                    <a:noFill/>
                    <a:ln>
                      <a:noFill/>
                    </a:ln>
                  </pic:spPr>
                </pic:pic>
              </a:graphicData>
            </a:graphic>
          </wp:inline>
        </w:drawing>
      </w:r>
    </w:p>
    <w:p w14:paraId="18CA324D">
      <w:pPr>
        <w:ind w:left="0" w:leftChars="0" w:firstLine="0" w:firstLineChars="0"/>
        <w:jc w:val="center"/>
        <w:rPr>
          <w:rFonts w:hint="default" w:hAnsi="宋体"/>
          <w:lang w:val="en-US" w:eastAsia="zh-CN"/>
        </w:rPr>
      </w:pPr>
      <w:r>
        <w:rPr>
          <w:rFonts w:hint="eastAsia" w:hAnsi="宋体"/>
          <w:lang w:val="en-US" w:eastAsia="zh-CN"/>
        </w:rPr>
        <w:t>图2.1-2 曹溪二矿</w:t>
      </w:r>
      <w:r>
        <w:rPr>
          <w:rFonts w:hint="default" w:hAnsi="宋体"/>
          <w:lang w:val="en-US" w:eastAsia="zh-CN"/>
        </w:rPr>
        <w:t>周边矿业权范围位置关系图</w:t>
      </w:r>
    </w:p>
    <w:p w14:paraId="4F65A42A">
      <w:pPr>
        <w:ind w:left="0" w:leftChars="0" w:firstLine="0" w:firstLineChars="0"/>
        <w:jc w:val="center"/>
        <w:rPr>
          <w:rFonts w:hint="default" w:hAnsi="宋体"/>
          <w:lang w:val="en-US" w:eastAsia="zh-CN"/>
        </w:rPr>
      </w:pPr>
      <w:r>
        <w:drawing>
          <wp:inline distT="0" distB="0" distL="114300" distR="114300">
            <wp:extent cx="5760085" cy="8149590"/>
            <wp:effectExtent l="0" t="0" r="12065"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5760085" cy="8149590"/>
                    </a:xfrm>
                    <a:prstGeom prst="rect">
                      <a:avLst/>
                    </a:prstGeom>
                    <a:noFill/>
                    <a:ln>
                      <a:noFill/>
                    </a:ln>
                  </pic:spPr>
                </pic:pic>
              </a:graphicData>
            </a:graphic>
          </wp:inline>
        </w:drawing>
      </w:r>
    </w:p>
    <w:p w14:paraId="36D69490">
      <w:pPr>
        <w:ind w:left="0" w:leftChars="0" w:firstLine="0" w:firstLineChars="0"/>
        <w:jc w:val="center"/>
        <w:rPr>
          <w:rFonts w:hint="default" w:hAnsi="宋体"/>
          <w:lang w:val="en-US" w:eastAsia="zh-CN"/>
        </w:rPr>
      </w:pPr>
      <w:r>
        <w:rPr>
          <w:rFonts w:hint="eastAsia" w:hAnsi="宋体"/>
          <w:lang w:val="en-US" w:eastAsia="zh-CN"/>
        </w:rPr>
        <w:t>图2.1-2 曹溪二矿</w:t>
      </w:r>
      <w:r>
        <w:rPr>
          <w:rFonts w:hint="default" w:hAnsi="宋体"/>
          <w:lang w:val="en-US" w:eastAsia="zh-CN"/>
        </w:rPr>
        <w:t>周边环境图</w:t>
      </w:r>
    </w:p>
    <w:p w14:paraId="1A0F7F74">
      <w:pPr>
        <w:pStyle w:val="3"/>
        <w:bidi w:val="0"/>
        <w:rPr>
          <w:rFonts w:hint="default"/>
          <w:color w:val="auto"/>
          <w:lang w:val="en-US" w:eastAsia="zh-CN"/>
        </w:rPr>
      </w:pPr>
      <w:bookmarkStart w:id="93" w:name="_Toc21148"/>
      <w:bookmarkStart w:id="94" w:name="_Toc18826"/>
      <w:bookmarkStart w:id="95" w:name="_Toc24478"/>
      <w:bookmarkStart w:id="96" w:name="_Toc11496"/>
      <w:r>
        <w:rPr>
          <w:rFonts w:hint="eastAsia"/>
          <w:color w:val="auto"/>
          <w:lang w:val="en-US" w:eastAsia="zh-CN"/>
        </w:rPr>
        <w:t>2.2 自然环境概况</w:t>
      </w:r>
      <w:bookmarkEnd w:id="93"/>
      <w:bookmarkEnd w:id="94"/>
      <w:bookmarkEnd w:id="95"/>
      <w:bookmarkEnd w:id="96"/>
    </w:p>
    <w:p w14:paraId="3E8B78BC">
      <w:pPr>
        <w:rPr>
          <w:rFonts w:hint="default"/>
          <w:color w:val="auto"/>
          <w:lang w:val="en-US" w:eastAsia="zh-CN"/>
        </w:rPr>
      </w:pPr>
      <w:r>
        <w:rPr>
          <w:rFonts w:hint="eastAsia"/>
          <w:color w:val="auto"/>
          <w:lang w:val="en-US" w:eastAsia="zh-CN"/>
        </w:rPr>
        <w:t>1. 地形地貌</w:t>
      </w:r>
    </w:p>
    <w:p w14:paraId="2265CF02">
      <w:pPr>
        <w:rPr>
          <w:rFonts w:hint="default"/>
          <w:color w:val="auto"/>
          <w:lang w:val="en-US" w:eastAsia="zh-CN"/>
        </w:rPr>
      </w:pPr>
      <w:r>
        <w:rPr>
          <w:rFonts w:hint="default"/>
          <w:color w:val="auto"/>
          <w:lang w:val="en-US" w:eastAsia="zh-CN"/>
        </w:rPr>
        <w:t>矿区为丘陵正地形，呈南东、北西两侧高、中间低的趋势，海拔</w:t>
      </w:r>
      <w:r>
        <w:rPr>
          <w:rFonts w:hint="eastAsia"/>
          <w:color w:val="auto"/>
          <w:lang w:val="en-US" w:eastAsia="zh-CN"/>
        </w:rPr>
        <w:t>（</w:t>
      </w:r>
      <w:r>
        <w:rPr>
          <w:rFonts w:hint="default"/>
          <w:color w:val="auto"/>
          <w:lang w:val="en-US" w:eastAsia="zh-CN"/>
        </w:rPr>
        <w:t>以下均为海拔高程</w:t>
      </w:r>
      <w:r>
        <w:rPr>
          <w:rFonts w:hint="eastAsia"/>
          <w:color w:val="auto"/>
          <w:lang w:val="en-US" w:eastAsia="zh-CN"/>
        </w:rPr>
        <w:t>）</w:t>
      </w:r>
      <w:r>
        <w:rPr>
          <w:rFonts w:hint="default"/>
          <w:color w:val="auto"/>
          <w:lang w:val="en-US" w:eastAsia="zh-CN"/>
        </w:rPr>
        <w:t>最高+328.27m</w:t>
      </w:r>
      <w:r>
        <w:rPr>
          <w:rFonts w:hint="eastAsia"/>
          <w:color w:val="auto"/>
          <w:lang w:val="en-US" w:eastAsia="zh-CN"/>
        </w:rPr>
        <w:t>（</w:t>
      </w:r>
      <w:r>
        <w:rPr>
          <w:rFonts w:hint="default"/>
          <w:color w:val="auto"/>
          <w:lang w:val="en-US" w:eastAsia="zh-CN"/>
        </w:rPr>
        <w:t>矿区东南角</w:t>
      </w:r>
      <w:r>
        <w:rPr>
          <w:rFonts w:hint="eastAsia"/>
          <w:color w:val="auto"/>
          <w:lang w:val="en-US" w:eastAsia="zh-CN"/>
        </w:rPr>
        <w:t>）</w:t>
      </w:r>
      <w:r>
        <w:rPr>
          <w:rFonts w:hint="default"/>
          <w:color w:val="auto"/>
          <w:lang w:val="en-US" w:eastAsia="zh-CN"/>
        </w:rPr>
        <w:t>，最低+122.60m</w:t>
      </w:r>
      <w:r>
        <w:rPr>
          <w:rFonts w:hint="eastAsia"/>
          <w:color w:val="auto"/>
          <w:lang w:val="en-US" w:eastAsia="zh-CN"/>
        </w:rPr>
        <w:t>（</w:t>
      </w:r>
      <w:r>
        <w:rPr>
          <w:rFonts w:hint="default"/>
          <w:color w:val="auto"/>
          <w:lang w:val="en-US" w:eastAsia="zh-CN"/>
        </w:rPr>
        <w:t>矿区东北角</w:t>
      </w:r>
      <w:r>
        <w:rPr>
          <w:rFonts w:hint="eastAsia"/>
          <w:color w:val="auto"/>
          <w:lang w:val="en-US" w:eastAsia="zh-CN"/>
        </w:rPr>
        <w:t>）</w:t>
      </w:r>
      <w:r>
        <w:rPr>
          <w:rFonts w:hint="default"/>
          <w:color w:val="auto"/>
          <w:lang w:val="en-US" w:eastAsia="zh-CN"/>
        </w:rPr>
        <w:t>，相对高差205.67m。矿区南北宽约930m，东西长约1150m，面积约0.6633km</w:t>
      </w:r>
      <w:r>
        <w:rPr>
          <w:rFonts w:hint="default"/>
          <w:color w:val="auto"/>
          <w:vertAlign w:val="superscript"/>
          <w:lang w:val="en-US" w:eastAsia="zh-CN"/>
        </w:rPr>
        <w:t>2</w:t>
      </w:r>
      <w:r>
        <w:rPr>
          <w:rFonts w:hint="default"/>
          <w:color w:val="auto"/>
          <w:lang w:val="en-US" w:eastAsia="zh-CN"/>
        </w:rPr>
        <w:t>。基岩出露条件好，仅在矿区的西北角为第四系所覆盖。矿区最低开采标+100m，当地最低侵蚀基准面标高+44m</w:t>
      </w:r>
      <w:r>
        <w:rPr>
          <w:rFonts w:hint="eastAsia"/>
          <w:color w:val="auto"/>
          <w:lang w:val="en-US" w:eastAsia="zh-CN"/>
        </w:rPr>
        <w:t>（</w:t>
      </w:r>
      <w:r>
        <w:rPr>
          <w:rFonts w:hint="default"/>
          <w:color w:val="auto"/>
          <w:lang w:val="en-US" w:eastAsia="zh-CN"/>
        </w:rPr>
        <w:t>矿区东侧外围</w:t>
      </w:r>
      <w:r>
        <w:rPr>
          <w:rFonts w:hint="eastAsia"/>
          <w:color w:val="auto"/>
          <w:lang w:val="en-US" w:eastAsia="zh-CN"/>
        </w:rPr>
        <w:t>）</w:t>
      </w:r>
      <w:r>
        <w:rPr>
          <w:rFonts w:hint="default"/>
          <w:color w:val="auto"/>
          <w:lang w:val="en-US" w:eastAsia="zh-CN"/>
        </w:rPr>
        <w:t>。</w:t>
      </w:r>
    </w:p>
    <w:p w14:paraId="32917203">
      <w:pPr>
        <w:rPr>
          <w:rFonts w:hint="default"/>
          <w:color w:val="auto"/>
          <w:lang w:val="en-US" w:eastAsia="zh-CN"/>
        </w:rPr>
      </w:pPr>
      <w:r>
        <w:rPr>
          <w:rFonts w:hint="eastAsia"/>
          <w:color w:val="auto"/>
          <w:lang w:val="en-US" w:eastAsia="zh-CN"/>
        </w:rPr>
        <w:t>2. 气象</w:t>
      </w:r>
    </w:p>
    <w:p w14:paraId="2000DAF2">
      <w:pPr>
        <w:rPr>
          <w:rFonts w:hint="default"/>
          <w:color w:val="auto"/>
          <w:lang w:val="en-US" w:eastAsia="zh-CN"/>
        </w:rPr>
      </w:pPr>
      <w:r>
        <w:rPr>
          <w:rFonts w:hint="default"/>
          <w:color w:val="auto"/>
          <w:lang w:val="en-US" w:eastAsia="zh-CN"/>
        </w:rPr>
        <w:t>矿区属亚热带东南季风性气候，气候温和湿润，雨量充沛，年平均气温18.0℃，最低气温</w:t>
      </w:r>
      <w:r>
        <w:rPr>
          <w:rFonts w:hint="eastAsia" w:asciiTheme="minorEastAsia" w:hAnsiTheme="minorEastAsia" w:eastAsiaTheme="minorEastAsia" w:cstheme="minorEastAsia"/>
          <w:color w:val="auto"/>
          <w:lang w:val="en-US" w:eastAsia="zh-CN"/>
        </w:rPr>
        <w:t>-</w:t>
      </w:r>
      <w:r>
        <w:rPr>
          <w:rFonts w:hint="default"/>
          <w:color w:val="auto"/>
          <w:lang w:val="en-US" w:eastAsia="zh-CN"/>
        </w:rPr>
        <w:t>8.0℃，最高气温40.7℃。平均年降水量1816mm，蒸发量1200mm。4～6月份为雨季，降雨量约占全年的一半，平均为1021.8mm，历年一日最大暴雨量为159mm（2006年6月13日，弋阳县气象局提供），每年9月至翌年1月为旱季，降水量仅占全年降水量的15%。最小频率风向为西北风，夏季主导风向为东南风。</w:t>
      </w:r>
    </w:p>
    <w:p w14:paraId="41EF5B06">
      <w:pPr>
        <w:pStyle w:val="3"/>
        <w:bidi w:val="0"/>
        <w:rPr>
          <w:rFonts w:hint="default"/>
          <w:color w:val="auto"/>
          <w:lang w:val="en-US" w:eastAsia="zh-CN"/>
        </w:rPr>
      </w:pPr>
      <w:bookmarkStart w:id="97" w:name="_Toc10440"/>
      <w:bookmarkStart w:id="98" w:name="_Toc7564"/>
      <w:bookmarkStart w:id="99" w:name="_Toc11927"/>
      <w:bookmarkStart w:id="100" w:name="_Toc15715"/>
      <w:r>
        <w:rPr>
          <w:rFonts w:hint="default"/>
          <w:color w:val="auto"/>
          <w:lang w:val="en-US" w:eastAsia="zh-CN"/>
        </w:rPr>
        <w:t>2.3 地质概况</w:t>
      </w:r>
      <w:bookmarkEnd w:id="97"/>
      <w:bookmarkEnd w:id="98"/>
      <w:bookmarkEnd w:id="99"/>
      <w:bookmarkEnd w:id="100"/>
    </w:p>
    <w:p w14:paraId="3C260211">
      <w:pPr>
        <w:pStyle w:val="4"/>
        <w:bidi w:val="0"/>
        <w:rPr>
          <w:rFonts w:hint="default"/>
          <w:color w:val="auto"/>
          <w:lang w:val="en-US" w:eastAsia="zh-CN"/>
        </w:rPr>
      </w:pPr>
      <w:bookmarkStart w:id="101" w:name="_Toc10913"/>
      <w:bookmarkStart w:id="102" w:name="_Toc6461"/>
      <w:bookmarkStart w:id="103" w:name="_Toc6691"/>
      <w:bookmarkStart w:id="104" w:name="_Toc19947"/>
      <w:r>
        <w:rPr>
          <w:rFonts w:hint="default"/>
          <w:color w:val="auto"/>
          <w:lang w:val="en-US" w:eastAsia="zh-CN"/>
        </w:rPr>
        <w:t>2.3.1</w:t>
      </w:r>
      <w:r>
        <w:rPr>
          <w:rFonts w:hint="eastAsia"/>
          <w:color w:val="auto"/>
          <w:lang w:val="en-US" w:eastAsia="zh-CN"/>
        </w:rPr>
        <w:t xml:space="preserve"> </w:t>
      </w:r>
      <w:r>
        <w:rPr>
          <w:rFonts w:hint="default"/>
          <w:color w:val="auto"/>
          <w:lang w:val="en-US" w:eastAsia="zh-CN"/>
        </w:rPr>
        <w:t>矿区地质概况</w:t>
      </w:r>
      <w:bookmarkEnd w:id="101"/>
      <w:bookmarkEnd w:id="102"/>
      <w:bookmarkEnd w:id="103"/>
      <w:bookmarkEnd w:id="104"/>
    </w:p>
    <w:p w14:paraId="6395D62C">
      <w:pPr>
        <w:rPr>
          <w:rFonts w:hint="default"/>
          <w:color w:val="auto"/>
          <w:lang w:val="en-US" w:eastAsia="zh-CN"/>
        </w:rPr>
      </w:pPr>
      <w:r>
        <w:rPr>
          <w:rFonts w:hint="eastAsia"/>
          <w:color w:val="auto"/>
          <w:lang w:val="en-US" w:eastAsia="zh-CN"/>
        </w:rPr>
        <w:t>1. 矿区地层</w:t>
      </w:r>
    </w:p>
    <w:p w14:paraId="4920FE18">
      <w:pPr>
        <w:rPr>
          <w:rFonts w:hint="default"/>
          <w:color w:val="auto"/>
          <w:lang w:val="en-US" w:eastAsia="zh-CN"/>
        </w:rPr>
      </w:pPr>
      <w:r>
        <w:rPr>
          <w:rFonts w:hint="default"/>
          <w:color w:val="auto"/>
          <w:lang w:val="en-US" w:eastAsia="zh-CN"/>
        </w:rPr>
        <w:t>矿区出露的地层较简单，主要有为石炭系上统黄龙组上段（C</w:t>
      </w:r>
      <w:r>
        <w:rPr>
          <w:rFonts w:hint="default"/>
          <w:color w:val="auto"/>
          <w:vertAlign w:val="subscript"/>
          <w:lang w:val="en-US" w:eastAsia="zh-CN"/>
        </w:rPr>
        <w:t>2</w:t>
      </w:r>
      <w:r>
        <w:rPr>
          <w:rFonts w:hint="default"/>
          <w:color w:val="auto"/>
          <w:lang w:val="en-US" w:eastAsia="zh-CN"/>
        </w:rPr>
        <w:t>h</w:t>
      </w:r>
      <w:r>
        <w:rPr>
          <w:rFonts w:hint="default"/>
          <w:color w:val="auto"/>
          <w:vertAlign w:val="superscript"/>
          <w:lang w:val="en-US" w:eastAsia="zh-CN"/>
        </w:rPr>
        <w:t>3</w:t>
      </w:r>
      <w:r>
        <w:rPr>
          <w:rFonts w:hint="default"/>
          <w:color w:val="auto"/>
          <w:lang w:val="en-US" w:eastAsia="zh-CN"/>
        </w:rPr>
        <w:t>）、二叠系下统马平组（P</w:t>
      </w:r>
      <w:r>
        <w:rPr>
          <w:rFonts w:hint="default"/>
          <w:color w:val="auto"/>
          <w:vertAlign w:val="subscript"/>
          <w:lang w:val="en-US" w:eastAsia="zh-CN"/>
        </w:rPr>
        <w:t>1</w:t>
      </w:r>
      <w:r>
        <w:rPr>
          <w:rFonts w:hint="default"/>
          <w:color w:val="auto"/>
          <w:lang w:val="en-US" w:eastAsia="zh-CN"/>
        </w:rPr>
        <w:t>m）、中统梁山组（P</w:t>
      </w:r>
      <w:r>
        <w:rPr>
          <w:rFonts w:hint="default"/>
          <w:color w:val="auto"/>
          <w:vertAlign w:val="subscript"/>
          <w:lang w:val="en-US" w:eastAsia="zh-CN"/>
        </w:rPr>
        <w:t>2</w:t>
      </w:r>
      <w:r>
        <w:rPr>
          <w:rFonts w:hint="default"/>
          <w:color w:val="auto"/>
          <w:lang w:val="en-US" w:eastAsia="zh-CN"/>
        </w:rPr>
        <w:t>l）和第四系（Q）。现由老至新分述如下：</w:t>
      </w:r>
    </w:p>
    <w:p w14:paraId="1B066973">
      <w:pPr>
        <w:rPr>
          <w:rFonts w:hint="default"/>
          <w:color w:val="auto"/>
          <w:lang w:val="en-US" w:eastAsia="zh-CN"/>
        </w:rPr>
      </w:pPr>
      <w:r>
        <w:rPr>
          <w:rFonts w:hint="eastAsia"/>
          <w:color w:val="auto"/>
          <w:lang w:val="en-US" w:eastAsia="zh-CN"/>
        </w:rPr>
        <w:t>（</w:t>
      </w:r>
      <w:r>
        <w:rPr>
          <w:rFonts w:hint="default"/>
          <w:color w:val="auto"/>
          <w:lang w:val="en-US" w:eastAsia="zh-CN"/>
        </w:rPr>
        <w:t>1）石炭系上统黄龙组上段（C</w:t>
      </w:r>
      <w:r>
        <w:rPr>
          <w:rFonts w:hint="default"/>
          <w:color w:val="auto"/>
          <w:vertAlign w:val="subscript"/>
          <w:lang w:val="en-US" w:eastAsia="zh-CN"/>
        </w:rPr>
        <w:t>2</w:t>
      </w:r>
      <w:r>
        <w:rPr>
          <w:rFonts w:hint="default"/>
          <w:color w:val="auto"/>
          <w:lang w:val="en-US" w:eastAsia="zh-CN"/>
        </w:rPr>
        <w:t>h</w:t>
      </w:r>
      <w:r>
        <w:rPr>
          <w:rFonts w:hint="default"/>
          <w:color w:val="auto"/>
          <w:vertAlign w:val="superscript"/>
          <w:lang w:val="en-US" w:eastAsia="zh-CN"/>
        </w:rPr>
        <w:t>3</w:t>
      </w:r>
      <w:r>
        <w:rPr>
          <w:rFonts w:hint="default"/>
          <w:color w:val="auto"/>
          <w:lang w:val="en-US" w:eastAsia="zh-CN"/>
        </w:rPr>
        <w:t>）：分布于矿区南部，紧靠石炭系上统黄龙组中段（C</w:t>
      </w:r>
      <w:r>
        <w:rPr>
          <w:rFonts w:hint="default"/>
          <w:color w:val="auto"/>
          <w:vertAlign w:val="subscript"/>
          <w:lang w:val="en-US" w:eastAsia="zh-CN"/>
        </w:rPr>
        <w:t>2</w:t>
      </w:r>
      <w:r>
        <w:rPr>
          <w:rFonts w:hint="default"/>
          <w:color w:val="auto"/>
          <w:lang w:val="en-US" w:eastAsia="zh-CN"/>
        </w:rPr>
        <w:t>h</w:t>
      </w:r>
      <w:r>
        <w:rPr>
          <w:rFonts w:hint="default"/>
          <w:color w:val="auto"/>
          <w:vertAlign w:val="superscript"/>
          <w:lang w:val="en-US" w:eastAsia="zh-CN"/>
        </w:rPr>
        <w:t>2</w:t>
      </w:r>
      <w:r>
        <w:rPr>
          <w:rFonts w:hint="default"/>
          <w:color w:val="auto"/>
          <w:lang w:val="en-US" w:eastAsia="zh-CN"/>
        </w:rPr>
        <w:t>）出露，岩性为微晶灰岩夹白云岩、白云质灰岩和砾屑灰岩，岩性呈浅灰～深灰等色，泥晶、微晶结构，厚～巨厚层状构造，岩石主要由大量的泥晶、微晶方解石和极少量的泥铁质等矿物组成。厚度349m。</w:t>
      </w:r>
    </w:p>
    <w:p w14:paraId="22A80ADB">
      <w:pPr>
        <w:rPr>
          <w:rFonts w:hint="default"/>
          <w:color w:val="auto"/>
          <w:lang w:val="en-US" w:eastAsia="zh-CN"/>
        </w:rPr>
      </w:pPr>
      <w:r>
        <w:rPr>
          <w:rFonts w:hint="eastAsia"/>
          <w:color w:val="auto"/>
          <w:lang w:val="en-US" w:eastAsia="zh-CN"/>
        </w:rPr>
        <w:t>（</w:t>
      </w:r>
      <w:r>
        <w:rPr>
          <w:rFonts w:hint="default"/>
          <w:color w:val="auto"/>
          <w:lang w:val="en-US" w:eastAsia="zh-CN"/>
        </w:rPr>
        <w:t>2）二叠系下统马平组（P</w:t>
      </w:r>
      <w:r>
        <w:rPr>
          <w:rFonts w:hint="default"/>
          <w:color w:val="auto"/>
          <w:vertAlign w:val="subscript"/>
          <w:lang w:val="en-US" w:eastAsia="zh-CN"/>
        </w:rPr>
        <w:t>1</w:t>
      </w:r>
      <w:r>
        <w:rPr>
          <w:rFonts w:hint="default"/>
          <w:color w:val="auto"/>
          <w:lang w:val="en-US" w:eastAsia="zh-CN"/>
        </w:rPr>
        <w:t>m）：分布于矿区大面积出露。岩性为泥晶微晶灰岩夹泥晶微晶生物碎屑灰岩和白云质灰岩、白云岩，呈浅灰～深灰等色，泥晶、微晶、生物碎屑结构，厚～巨厚层状构造，岩石主要由大量的泥晶、微晶方解石矿物和生物遗体碎屑等组成。底部和上部灰岩中含少量燧石条带和团块。与下覆石炭系上统黄龙组上段（C</w:t>
      </w:r>
      <w:r>
        <w:rPr>
          <w:rFonts w:hint="default"/>
          <w:color w:val="auto"/>
          <w:vertAlign w:val="subscript"/>
          <w:lang w:val="en-US" w:eastAsia="zh-CN"/>
        </w:rPr>
        <w:t>2</w:t>
      </w:r>
      <w:r>
        <w:rPr>
          <w:rFonts w:hint="default"/>
          <w:color w:val="auto"/>
          <w:lang w:val="en-US" w:eastAsia="zh-CN"/>
        </w:rPr>
        <w:t>h</w:t>
      </w:r>
      <w:r>
        <w:rPr>
          <w:rFonts w:hint="default"/>
          <w:color w:val="auto"/>
          <w:vertAlign w:val="superscript"/>
          <w:lang w:val="en-US" w:eastAsia="zh-CN"/>
        </w:rPr>
        <w:t>3</w:t>
      </w:r>
      <w:r>
        <w:rPr>
          <w:rFonts w:hint="default"/>
          <w:color w:val="auto"/>
          <w:lang w:val="en-US" w:eastAsia="zh-CN"/>
        </w:rPr>
        <w:t>）呈连续沉积渐变过渡。厚度223m。</w:t>
      </w:r>
    </w:p>
    <w:p w14:paraId="28157074">
      <w:pPr>
        <w:rPr>
          <w:rFonts w:hint="default"/>
          <w:color w:val="auto"/>
          <w:lang w:val="en-US" w:eastAsia="zh-CN"/>
        </w:rPr>
      </w:pPr>
      <w:r>
        <w:rPr>
          <w:rFonts w:hint="eastAsia"/>
          <w:color w:val="auto"/>
          <w:lang w:val="en-US" w:eastAsia="zh-CN"/>
        </w:rPr>
        <w:t>（</w:t>
      </w:r>
      <w:r>
        <w:rPr>
          <w:rFonts w:hint="default"/>
          <w:color w:val="auto"/>
          <w:lang w:val="en-US" w:eastAsia="zh-CN"/>
        </w:rPr>
        <w:t>3）二叠系中统梁山组（P</w:t>
      </w:r>
      <w:r>
        <w:rPr>
          <w:rFonts w:hint="default"/>
          <w:color w:val="auto"/>
          <w:vertAlign w:val="subscript"/>
          <w:lang w:val="en-US" w:eastAsia="zh-CN"/>
        </w:rPr>
        <w:t>2</w:t>
      </w:r>
      <w:r>
        <w:rPr>
          <w:rFonts w:hint="default"/>
          <w:color w:val="auto"/>
          <w:lang w:val="en-US" w:eastAsia="zh-CN"/>
        </w:rPr>
        <w:t>l）：分布于矿区西北部局部。岩性为灰黄色中细粒石英砂岩，中～厚层状构造，岩石主要由石英、岩屑和胶结物等组成。整合接触于马平组之上。厚度14.6m。</w:t>
      </w:r>
    </w:p>
    <w:p w14:paraId="7D583920">
      <w:pPr>
        <w:rPr>
          <w:rFonts w:hint="default"/>
          <w:color w:val="auto"/>
          <w:lang w:val="en-US" w:eastAsia="zh-CN"/>
        </w:rPr>
      </w:pPr>
      <w:r>
        <w:rPr>
          <w:rFonts w:hint="eastAsia"/>
          <w:color w:val="auto"/>
          <w:lang w:val="en-US" w:eastAsia="zh-CN"/>
        </w:rPr>
        <w:t>（</w:t>
      </w:r>
      <w:r>
        <w:rPr>
          <w:rFonts w:hint="default"/>
          <w:color w:val="auto"/>
          <w:lang w:val="en-US" w:eastAsia="zh-CN"/>
        </w:rPr>
        <w:t>4）第四系（Q）：分布于矿区西北部</w:t>
      </w:r>
      <w:r>
        <w:rPr>
          <w:rFonts w:hint="eastAsia"/>
          <w:color w:val="auto"/>
          <w:lang w:val="en-US" w:eastAsia="zh-CN"/>
        </w:rPr>
        <w:t>。</w:t>
      </w:r>
      <w:r>
        <w:rPr>
          <w:rFonts w:hint="default"/>
          <w:color w:val="auto"/>
          <w:lang w:val="en-US" w:eastAsia="zh-CN"/>
        </w:rPr>
        <w:t>残坡积物，岩性为土红、土黄色含砾砂质粘土及黑褐色腐植土，砾石主要为灰岩和砂岩等碎块。厚度0m～6.30m。</w:t>
      </w:r>
    </w:p>
    <w:p w14:paraId="7549D3AD">
      <w:pPr>
        <w:rPr>
          <w:rFonts w:hint="eastAsia"/>
          <w:color w:val="auto"/>
          <w:lang w:val="en-US" w:eastAsia="zh-CN"/>
        </w:rPr>
      </w:pPr>
      <w:r>
        <w:rPr>
          <w:rFonts w:hint="eastAsia"/>
          <w:color w:val="auto"/>
          <w:lang w:val="en-US" w:eastAsia="zh-CN"/>
        </w:rPr>
        <w:t>2. 矿区构造</w:t>
      </w:r>
    </w:p>
    <w:p w14:paraId="15294159">
      <w:pPr>
        <w:rPr>
          <w:rFonts w:hint="eastAsia"/>
          <w:color w:val="auto"/>
          <w:lang w:val="en-US" w:eastAsia="zh-CN"/>
        </w:rPr>
      </w:pPr>
      <w:r>
        <w:rPr>
          <w:rFonts w:hint="eastAsia"/>
          <w:color w:val="auto"/>
          <w:lang w:val="en-US" w:eastAsia="zh-CN"/>
        </w:rPr>
        <w:t>矿区为轴向近东西向的向斜构造，东端略向北偏移，西端底部稍向上翘，向斜北翼总体产状153°～224°∠2°～16°，南翼总体产状350°～53°∠8°～24°，形成南陡北缓之向斜。</w:t>
      </w:r>
    </w:p>
    <w:p w14:paraId="2F3D668C">
      <w:pPr>
        <w:rPr>
          <w:rFonts w:hint="eastAsia"/>
          <w:color w:val="auto"/>
          <w:lang w:val="en-US" w:eastAsia="zh-CN"/>
        </w:rPr>
      </w:pPr>
      <w:r>
        <w:rPr>
          <w:rFonts w:hint="eastAsia"/>
          <w:color w:val="auto"/>
          <w:lang w:val="en-US" w:eastAsia="zh-CN"/>
        </w:rPr>
        <w:t>断裂构造不发育，矿区及周边见2条断裂构造，分别为F4和F5。</w:t>
      </w:r>
    </w:p>
    <w:p w14:paraId="2535111E">
      <w:pPr>
        <w:rPr>
          <w:rFonts w:hint="eastAsia"/>
          <w:color w:val="auto"/>
          <w:lang w:val="en-US" w:eastAsia="zh-CN"/>
        </w:rPr>
      </w:pPr>
      <w:r>
        <w:rPr>
          <w:rFonts w:hint="eastAsia"/>
          <w:color w:val="auto"/>
          <w:lang w:val="en-US" w:eastAsia="zh-CN"/>
        </w:rPr>
        <w:t>F4位于矿区南部边缘，为一正断层，倾向北东，倾角约70°，地表见0m～21m破碎带，破碎带白云岩化明显，沿产状伴有后期黄褐色煌斑岩侵入。切割石炭系上统黄龙组上段、二叠系下统马平组地层。对矿体的整体性和矿石质量影响不大。</w:t>
      </w:r>
    </w:p>
    <w:p w14:paraId="7F99FDD8">
      <w:pPr>
        <w:rPr>
          <w:rFonts w:hint="default"/>
          <w:color w:val="auto"/>
          <w:lang w:val="en-US" w:eastAsia="zh-CN"/>
        </w:rPr>
      </w:pPr>
      <w:r>
        <w:rPr>
          <w:rFonts w:hint="eastAsia"/>
          <w:color w:val="auto"/>
          <w:lang w:val="en-US" w:eastAsia="zh-CN"/>
        </w:rPr>
        <w:t>F5位于矿区西南角，至郑家坞一线，切割地层有石炭系上统黄龙组上段和二叠系下统马平组地层，并错断F4。断层走向呈北东东，走向长约1.8km，倾向北西，倾角52°～65°。地表见0m～62m宽破碎带，破碎带白云岩化明显，断裂中充填断层角砾岩和断层泥，断面及角砾未见溶蚀现象，沿产状伴有后期黄褐色煌斑岩侵入</w:t>
      </w:r>
      <w:r>
        <w:rPr>
          <w:rFonts w:hint="default"/>
          <w:color w:val="auto"/>
          <w:lang w:val="en-US" w:eastAsia="zh-CN"/>
        </w:rPr>
        <w:t>。</w:t>
      </w:r>
    </w:p>
    <w:p w14:paraId="66C2B136">
      <w:pPr>
        <w:rPr>
          <w:rFonts w:hint="eastAsia"/>
          <w:color w:val="auto"/>
          <w:lang w:val="en-US" w:eastAsia="zh-CN"/>
        </w:rPr>
      </w:pPr>
      <w:r>
        <w:rPr>
          <w:rFonts w:hint="eastAsia"/>
          <w:color w:val="auto"/>
          <w:lang w:val="en-US" w:eastAsia="zh-CN"/>
        </w:rPr>
        <w:t>3. 岩浆岩</w:t>
      </w:r>
    </w:p>
    <w:p w14:paraId="3D904FEB">
      <w:pPr>
        <w:rPr>
          <w:rFonts w:hint="default"/>
          <w:color w:val="auto"/>
          <w:lang w:val="en-US" w:eastAsia="zh-CN"/>
        </w:rPr>
      </w:pPr>
      <w:r>
        <w:rPr>
          <w:rFonts w:hint="default"/>
          <w:color w:val="auto"/>
          <w:lang w:val="en-US" w:eastAsia="zh-CN"/>
        </w:rPr>
        <w:t>矿区岩浆岩不发育，仅在0线南部和2线中部断层部位分别见到岩浆岩脉沿与断层产状相近的节理侵入，岩性为黄褐色的闪斜煌斑岩。为燕山晚期第一阶段侵入岩。</w:t>
      </w:r>
    </w:p>
    <w:p w14:paraId="3BC2861A">
      <w:pPr>
        <w:rPr>
          <w:rFonts w:hint="eastAsia"/>
          <w:color w:val="auto"/>
          <w:lang w:val="en-US" w:eastAsia="zh-CN"/>
        </w:rPr>
      </w:pPr>
      <w:r>
        <w:rPr>
          <w:rFonts w:hint="eastAsia"/>
          <w:color w:val="auto"/>
          <w:lang w:val="en-US" w:eastAsia="zh-CN"/>
        </w:rPr>
        <w:t>4. 岩溶</w:t>
      </w:r>
    </w:p>
    <w:p w14:paraId="3E73C009">
      <w:pPr>
        <w:rPr>
          <w:rFonts w:hint="default"/>
          <w:color w:val="auto"/>
          <w:lang w:val="en-US" w:eastAsia="zh-CN"/>
        </w:rPr>
      </w:pPr>
      <w:r>
        <w:rPr>
          <w:rFonts w:hint="default"/>
          <w:color w:val="auto"/>
          <w:lang w:val="en-US" w:eastAsia="zh-CN"/>
        </w:rPr>
        <w:t>矿区地表岩溶较发育，表现为溶沟、石芽、岩溶漏斗、岩溶谷地、溶隙等，其中岩溶漏斗、岩溶谷地更为突出。</w:t>
      </w:r>
    </w:p>
    <w:p w14:paraId="2AA88500">
      <w:pPr>
        <w:rPr>
          <w:rFonts w:hint="default"/>
          <w:color w:val="auto"/>
          <w:lang w:val="en-US" w:eastAsia="zh-CN"/>
        </w:rPr>
      </w:pPr>
      <w:r>
        <w:rPr>
          <w:rFonts w:hint="default"/>
          <w:color w:val="auto"/>
          <w:lang w:val="en-US" w:eastAsia="zh-CN"/>
        </w:rPr>
        <w:t>矿区深部岩溶局部较发育。古溶洞为古岩溶充填物堆积，充填堆积物已胶结成致密状，机械钻探呈圆柱状；近代溶洞多为空洞或岩溶充填物堆积，充填堆积物呈松散状。</w:t>
      </w:r>
    </w:p>
    <w:p w14:paraId="7BDD53F1">
      <w:pPr>
        <w:rPr>
          <w:rFonts w:hint="default"/>
          <w:color w:val="auto"/>
          <w:lang w:val="en-US" w:eastAsia="zh-CN"/>
        </w:rPr>
      </w:pPr>
      <w:r>
        <w:rPr>
          <w:rFonts w:hint="default"/>
          <w:color w:val="auto"/>
          <w:lang w:val="en-US" w:eastAsia="zh-CN"/>
        </w:rPr>
        <w:t>矿区岩溶与矿区构造关系密切。规模较大的岩溶谷地、岩溶漏斗、古溶洞多分布于矿区断裂发育地段。</w:t>
      </w:r>
    </w:p>
    <w:p w14:paraId="79E1E4E2">
      <w:pPr>
        <w:rPr>
          <w:rFonts w:hint="default"/>
          <w:color w:val="auto"/>
          <w:lang w:val="en-US" w:eastAsia="zh-CN"/>
        </w:rPr>
      </w:pPr>
      <w:r>
        <w:rPr>
          <w:rFonts w:hint="default"/>
          <w:color w:val="auto"/>
          <w:lang w:val="en-US" w:eastAsia="zh-CN"/>
        </w:rPr>
        <w:t>矿区岩溶堆积物主要有三种类型：地表岩溶堆积物、地下岩溶充填物、古溶洞充填物。地表岩溶堆积物主要分布于一些较大的溶沟、溶隙及岩溶漏斗中，为第四系残坡积物，岩性为粘土、亚粘土、含燧石碎屑粘土亚粘土。矿区古岩溶充填物主要发育于古溶洞、岩溶谷地、古岩溶漏斗中，主要类型有细～粉砂岩、粉砂质泥岩、角砾灰岩。角砾灰岩主要发育于纯灰岩矿层中，化学成份与灰岩相近，多数能为工业利用。其它古岩溶堆积物需进行剥离。</w:t>
      </w:r>
    </w:p>
    <w:p w14:paraId="094F0014">
      <w:pPr>
        <w:pStyle w:val="4"/>
        <w:bidi w:val="0"/>
        <w:rPr>
          <w:rFonts w:hint="default"/>
          <w:color w:val="auto"/>
          <w:lang w:val="en-US" w:eastAsia="zh-CN"/>
        </w:rPr>
      </w:pPr>
      <w:bookmarkStart w:id="105" w:name="_Toc19536"/>
      <w:bookmarkStart w:id="106" w:name="_Toc14635"/>
      <w:bookmarkStart w:id="107" w:name="_Toc20372"/>
      <w:bookmarkStart w:id="108" w:name="_Toc24688"/>
      <w:r>
        <w:rPr>
          <w:rFonts w:hint="default"/>
          <w:color w:val="auto"/>
          <w:lang w:val="en-US" w:eastAsia="zh-CN"/>
        </w:rPr>
        <w:t>2.3.2 水文地质概况</w:t>
      </w:r>
      <w:bookmarkEnd w:id="105"/>
      <w:bookmarkEnd w:id="106"/>
      <w:bookmarkEnd w:id="107"/>
      <w:bookmarkEnd w:id="108"/>
    </w:p>
    <w:p w14:paraId="48471A28">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水文气象特征</w:t>
      </w:r>
    </w:p>
    <w:p w14:paraId="4FCDC5ED">
      <w:pPr>
        <w:rPr>
          <w:rFonts w:hint="default"/>
          <w:color w:val="auto"/>
          <w:lang w:val="en-US" w:eastAsia="zh-CN"/>
        </w:rPr>
      </w:pPr>
      <w:r>
        <w:rPr>
          <w:rFonts w:hint="default"/>
          <w:color w:val="auto"/>
          <w:lang w:val="en-US" w:eastAsia="zh-CN"/>
        </w:rPr>
        <w:t>矿区东侧外围有一小溪（马鞍山溪），流向北东向，最大洪水量约100m</w:t>
      </w:r>
      <w:r>
        <w:rPr>
          <w:rFonts w:hint="eastAsia"/>
          <w:color w:val="auto"/>
          <w:vertAlign w:val="superscript"/>
          <w:lang w:val="en-US" w:eastAsia="zh-CN"/>
        </w:rPr>
        <w:t>3</w:t>
      </w:r>
      <w:r>
        <w:rPr>
          <w:rFonts w:hint="default"/>
          <w:color w:val="auto"/>
          <w:lang w:val="en-US" w:eastAsia="zh-CN"/>
        </w:rPr>
        <w:t>/s（1998年），常年流量约0.1m</w:t>
      </w:r>
      <w:r>
        <w:rPr>
          <w:rFonts w:hint="eastAsia"/>
          <w:color w:val="auto"/>
          <w:vertAlign w:val="superscript"/>
          <w:lang w:val="en-US" w:eastAsia="zh-CN"/>
        </w:rPr>
        <w:t>3</w:t>
      </w:r>
      <w:r>
        <w:rPr>
          <w:rFonts w:hint="default"/>
          <w:color w:val="auto"/>
          <w:lang w:val="en-US" w:eastAsia="zh-CN"/>
        </w:rPr>
        <w:t>/s，最高洪水位+53.5m，小溪对矿坑无充水影响。</w:t>
      </w:r>
    </w:p>
    <w:p w14:paraId="68D0E381">
      <w:pPr>
        <w:rPr>
          <w:rFonts w:hint="default"/>
          <w:color w:val="auto"/>
          <w:lang w:val="en-US" w:eastAsia="zh-CN"/>
        </w:rPr>
      </w:pPr>
      <w:r>
        <w:rPr>
          <w:rFonts w:hint="default"/>
          <w:color w:val="auto"/>
          <w:lang w:val="en-US" w:eastAsia="zh-CN"/>
        </w:rPr>
        <w:t>矿区东侧向郑家坞一带约260m见一大型溶洞出水口，泉眼标高</w:t>
      </w:r>
      <w:r>
        <w:rPr>
          <w:rFonts w:hint="eastAsia"/>
          <w:color w:val="auto"/>
          <w:lang w:val="en-US" w:eastAsia="zh-CN"/>
        </w:rPr>
        <w:t>+</w:t>
      </w:r>
      <w:r>
        <w:rPr>
          <w:rFonts w:hint="default"/>
          <w:color w:val="auto"/>
          <w:lang w:val="en-US" w:eastAsia="zh-CN"/>
        </w:rPr>
        <w:t>45.27m，常年流量约0.2m</w:t>
      </w:r>
      <w:r>
        <w:rPr>
          <w:rFonts w:hint="eastAsia"/>
          <w:color w:val="auto"/>
          <w:vertAlign w:val="superscript"/>
          <w:lang w:val="en-US" w:eastAsia="zh-CN"/>
        </w:rPr>
        <w:t>3</w:t>
      </w:r>
      <w:r>
        <w:rPr>
          <w:rFonts w:hint="default"/>
          <w:color w:val="auto"/>
          <w:lang w:val="en-US" w:eastAsia="zh-CN"/>
        </w:rPr>
        <w:t>/s，对矿坑无充水影响。</w:t>
      </w:r>
    </w:p>
    <w:p w14:paraId="21AF4BAF">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区域水文地质</w:t>
      </w:r>
    </w:p>
    <w:p w14:paraId="16AB470A">
      <w:pPr>
        <w:rPr>
          <w:rFonts w:hint="default"/>
          <w:color w:val="auto"/>
          <w:lang w:val="en-US" w:eastAsia="zh-CN"/>
        </w:rPr>
      </w:pPr>
      <w:r>
        <w:rPr>
          <w:rFonts w:hint="default"/>
          <w:color w:val="auto"/>
          <w:lang w:val="en-US" w:eastAsia="zh-CN"/>
        </w:rPr>
        <w:t>区域水文测区位于一南北向的狭长盆地倾伏端，位于邵坂河下游，是地表水、地下水径流区，内地表水受地形制约，地下水为地层、构造控制，是一个完整的水文地质单元，汇水面积达225km</w:t>
      </w:r>
      <w:r>
        <w:rPr>
          <w:rFonts w:hint="eastAsia"/>
          <w:color w:val="auto"/>
          <w:vertAlign w:val="superscript"/>
          <w:lang w:val="en-US" w:eastAsia="zh-CN"/>
        </w:rPr>
        <w:t>2</w:t>
      </w:r>
      <w:r>
        <w:rPr>
          <w:rFonts w:hint="default"/>
          <w:color w:val="auto"/>
          <w:lang w:val="en-US" w:eastAsia="zh-CN"/>
        </w:rPr>
        <w:t>，矿区位于水文地质单元西北角。盆地周边碎屑岩为隔水层，而盆地中心的第四系及其下伏灰岩溶洞发育带是本区含水层，即地下水储存和运动的场所。测区又处于径流～排浅区，具备了良好的补给条件，除可以直接接受降水的垂向补给，还可获得地下径流及地表河流的侧向补给。</w:t>
      </w:r>
    </w:p>
    <w:p w14:paraId="6C921E68">
      <w:pPr>
        <w:rPr>
          <w:rFonts w:hint="default"/>
          <w:color w:val="auto"/>
          <w:lang w:val="en-US" w:eastAsia="zh-CN"/>
        </w:rPr>
      </w:pPr>
      <w:r>
        <w:rPr>
          <w:rFonts w:hint="default"/>
          <w:color w:val="auto"/>
          <w:lang w:val="en-US" w:eastAsia="zh-CN"/>
        </w:rPr>
        <w:t>矿区内石炭系、二叠系的灰岩、白云质灰岩为区域内的主要含水层，富水性中等～强，溶洞、裂隙发育；溶洞发育标高一般在+75.24m以上，其它地层均为富水性弱的相对隔水层。区域地下水位标高一般为+30m～+50m，低于矿区最低开采标高，故对矿区无充水影响。</w:t>
      </w:r>
    </w:p>
    <w:p w14:paraId="229F4A5A">
      <w:pPr>
        <w:rPr>
          <w:rFonts w:hint="default"/>
          <w:color w:val="auto"/>
          <w:lang w:val="en-US" w:eastAsia="zh-CN"/>
        </w:rPr>
      </w:pPr>
      <w:r>
        <w:rPr>
          <w:rFonts w:hint="default"/>
          <w:color w:val="auto"/>
          <w:lang w:val="en-US" w:eastAsia="zh-CN"/>
        </w:rPr>
        <w:t>区域内主要发育有宽展型褶皱和一些规模较大的走向及横向断裂，与矿区有关的为曹溪断裂群，发育于晚石炭～早二叠世地层中，位于低于矿区最低开采标高的曹溪盆地内，尽管其导水性、富水性中等～强，但对矿区无充水影响。</w:t>
      </w:r>
    </w:p>
    <w:p w14:paraId="142D6943">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含水层类型及特征</w:t>
      </w:r>
    </w:p>
    <w:p w14:paraId="657B0C0A">
      <w:pPr>
        <w:rPr>
          <w:rFonts w:hint="default"/>
          <w:color w:val="auto"/>
          <w:lang w:val="en-US" w:eastAsia="zh-CN"/>
        </w:rPr>
      </w:pPr>
      <w:r>
        <w:rPr>
          <w:rFonts w:hint="default"/>
          <w:color w:val="auto"/>
          <w:lang w:val="en-US" w:eastAsia="zh-CN"/>
        </w:rPr>
        <w:t>根据矿区含水层的特征和地下水富集规律，将矿区疏排水范围内地下水含水系统划分为松散岩类孔隙含水层和碳酸盐岩类岩溶含水层两个含水层。</w:t>
      </w:r>
    </w:p>
    <w:p w14:paraId="71C8446F">
      <w:pPr>
        <w:rPr>
          <w:rFonts w:hint="default"/>
          <w:color w:val="auto"/>
          <w:lang w:val="en-US" w:eastAsia="zh-CN"/>
        </w:rPr>
      </w:pPr>
      <w:r>
        <w:rPr>
          <w:rFonts w:hint="default"/>
          <w:color w:val="auto"/>
          <w:lang w:val="en-US" w:eastAsia="zh-CN"/>
        </w:rPr>
        <w:t>（1）散岩类孔隙含水层：赋存与第四系残坡积物中，岩性土红、土黄色含砾砂质粘土及黑褐色腐植土，厚度0m～6.30m，由于本组土层粘土含量一般在60％以上，其导水性弱，在土层部位未发现流量大于</w:t>
      </w:r>
      <w:r>
        <w:rPr>
          <w:rFonts w:hint="eastAsia"/>
          <w:color w:val="auto"/>
          <w:lang w:val="en-US" w:eastAsia="zh-CN"/>
        </w:rPr>
        <w:t>0</w:t>
      </w:r>
      <w:r>
        <w:rPr>
          <w:rFonts w:hint="default"/>
          <w:color w:val="auto"/>
          <w:lang w:val="en-US" w:eastAsia="zh-CN"/>
        </w:rPr>
        <w:t>.10L</w:t>
      </w:r>
      <w:r>
        <w:rPr>
          <w:rFonts w:hint="eastAsia"/>
          <w:color w:val="auto"/>
          <w:lang w:val="en-US" w:eastAsia="zh-CN"/>
        </w:rPr>
        <w:t>/</w:t>
      </w:r>
      <w:r>
        <w:rPr>
          <w:rFonts w:hint="default"/>
          <w:color w:val="auto"/>
          <w:lang w:val="en-US" w:eastAsia="zh-CN"/>
        </w:rPr>
        <w:t>s的泉点，故其富水性弱，是为弱含水层。</w:t>
      </w:r>
    </w:p>
    <w:p w14:paraId="31F9D475">
      <w:pPr>
        <w:rPr>
          <w:rFonts w:hint="default"/>
          <w:color w:val="auto"/>
          <w:lang w:val="en-US" w:eastAsia="zh-CN"/>
        </w:rPr>
      </w:pPr>
      <w:r>
        <w:rPr>
          <w:rFonts w:hint="default"/>
          <w:color w:val="auto"/>
          <w:lang w:val="en-US" w:eastAsia="zh-CN"/>
        </w:rPr>
        <w:t>（2）碳酸盐岩类岩溶含水层：赋存于石炭系上统黄龙组上段、二叠系下统马平组溶洞及裂隙中。</w:t>
      </w:r>
    </w:p>
    <w:p w14:paraId="5DEBBE13">
      <w:pPr>
        <w:rPr>
          <w:rFonts w:hint="default"/>
          <w:color w:val="auto"/>
          <w:lang w:val="en-US" w:eastAsia="zh-CN"/>
        </w:rPr>
      </w:pPr>
      <w:r>
        <w:rPr>
          <w:rFonts w:hint="default"/>
          <w:color w:val="auto"/>
          <w:lang w:val="en-US" w:eastAsia="zh-CN"/>
        </w:rPr>
        <w:t>本组岩层地表岩溶较发育，表现为溶沟、石芽、岩溶漏斗、岩溶谷地、溶隙等，其中岩溶漏斗、岩溶谷地为主要岩溶地貌。</w:t>
      </w:r>
    </w:p>
    <w:p w14:paraId="43FA5BAF">
      <w:pPr>
        <w:rPr>
          <w:rFonts w:hint="default"/>
          <w:color w:val="auto"/>
          <w:lang w:val="en-US" w:eastAsia="zh-CN"/>
        </w:rPr>
      </w:pPr>
      <w:r>
        <w:rPr>
          <w:rFonts w:hint="default"/>
          <w:color w:val="auto"/>
          <w:lang w:val="en-US" w:eastAsia="zh-CN"/>
        </w:rPr>
        <w:t>钻探孔共12个，遇溶洞钻孔5个，见洞率41.7%。根据本次勘查钻孔揭露的溶洞统计，矿层深部溶洞共有11个，10个为古溶洞，仅1个为近代溶洞。古溶洞为古岩溶充填物堆积，多为胶结充填状态；近代溶洞多为空洞，少数为泥砂质半充填。单个溶洞最大深度为3.32m，最小为0.30m，平均岩溶率为1.60%＜3%。综上岩溶较发育。</w:t>
      </w:r>
    </w:p>
    <w:p w14:paraId="7E318802">
      <w:pPr>
        <w:rPr>
          <w:rFonts w:hint="default"/>
          <w:color w:val="auto"/>
          <w:lang w:val="en-US" w:eastAsia="zh-CN"/>
        </w:rPr>
      </w:pPr>
      <w:r>
        <w:rPr>
          <w:rFonts w:hint="default"/>
          <w:color w:val="auto"/>
          <w:lang w:val="en-US" w:eastAsia="zh-CN"/>
        </w:rPr>
        <w:t>据钻孔简易水文观测，在标高</w:t>
      </w:r>
      <w:r>
        <w:rPr>
          <w:rFonts w:hint="eastAsia"/>
          <w:color w:val="auto"/>
          <w:lang w:val="en-US" w:eastAsia="zh-CN"/>
        </w:rPr>
        <w:t>+</w:t>
      </w:r>
      <w:r>
        <w:rPr>
          <w:rFonts w:hint="default"/>
          <w:color w:val="auto"/>
          <w:lang w:val="en-US" w:eastAsia="zh-CN"/>
        </w:rPr>
        <w:t>100m以上均为干孔，因此，在此标高之上的本组岩层富水性弱。</w:t>
      </w:r>
    </w:p>
    <w:p w14:paraId="485BE2DB">
      <w:pPr>
        <w:rPr>
          <w:rFonts w:hint="default"/>
          <w:color w:val="auto"/>
          <w:lang w:val="en-US" w:eastAsia="zh-CN"/>
        </w:rPr>
      </w:pPr>
      <w:r>
        <w:rPr>
          <w:rFonts w:hint="default"/>
          <w:color w:val="auto"/>
          <w:lang w:val="en-US" w:eastAsia="zh-CN"/>
        </w:rPr>
        <w:t>（3）矿区构造</w:t>
      </w:r>
    </w:p>
    <w:p w14:paraId="5E58B0C7">
      <w:pPr>
        <w:rPr>
          <w:rFonts w:hint="default"/>
          <w:color w:val="auto"/>
          <w:lang w:val="en-US" w:eastAsia="zh-CN"/>
        </w:rPr>
      </w:pPr>
      <w:r>
        <w:rPr>
          <w:rFonts w:hint="default"/>
          <w:color w:val="auto"/>
          <w:lang w:val="en-US" w:eastAsia="zh-CN"/>
        </w:rPr>
        <w:t>矿区总体构造为一向斜，向斜北翼倾角2</w:t>
      </w:r>
      <w:r>
        <w:rPr>
          <w:rFonts w:hint="eastAsia" w:asciiTheme="minorEastAsia" w:hAnsiTheme="minorEastAsia" w:eastAsiaTheme="minorEastAsia" w:cstheme="minorEastAsia"/>
          <w:color w:val="auto"/>
          <w:lang w:val="en-US" w:eastAsia="zh-CN"/>
        </w:rPr>
        <w:t>°</w:t>
      </w:r>
      <w:r>
        <w:rPr>
          <w:rFonts w:hint="default"/>
          <w:color w:val="auto"/>
          <w:lang w:val="en-US" w:eastAsia="zh-CN"/>
        </w:rPr>
        <w:t>～16</w:t>
      </w:r>
      <w:r>
        <w:rPr>
          <w:rFonts w:hint="eastAsia" w:asciiTheme="minorEastAsia" w:hAnsiTheme="minorEastAsia" w:eastAsiaTheme="minorEastAsia" w:cstheme="minorEastAsia"/>
          <w:color w:val="auto"/>
          <w:lang w:val="en-US" w:eastAsia="zh-CN"/>
        </w:rPr>
        <w:t>°</w:t>
      </w:r>
      <w:r>
        <w:rPr>
          <w:rFonts w:hint="default"/>
          <w:color w:val="auto"/>
          <w:lang w:val="en-US" w:eastAsia="zh-CN"/>
        </w:rPr>
        <w:t>，南翼倾角8</w:t>
      </w:r>
      <w:r>
        <w:rPr>
          <w:rFonts w:hint="eastAsia" w:asciiTheme="minorEastAsia" w:hAnsiTheme="minorEastAsia" w:eastAsiaTheme="minorEastAsia" w:cstheme="minorEastAsia"/>
          <w:color w:val="auto"/>
          <w:lang w:val="en-US" w:eastAsia="zh-CN"/>
        </w:rPr>
        <w:t>°</w:t>
      </w:r>
      <w:r>
        <w:rPr>
          <w:rFonts w:hint="default"/>
          <w:color w:val="auto"/>
          <w:lang w:val="en-US" w:eastAsia="zh-CN"/>
        </w:rPr>
        <w:t>～24</w:t>
      </w:r>
      <w:r>
        <w:rPr>
          <w:rFonts w:hint="eastAsia" w:asciiTheme="minorEastAsia" w:hAnsiTheme="minorEastAsia" w:eastAsiaTheme="minorEastAsia" w:cstheme="minorEastAsia"/>
          <w:color w:val="auto"/>
          <w:lang w:val="en-US" w:eastAsia="zh-CN"/>
        </w:rPr>
        <w:t>°</w:t>
      </w:r>
      <w:r>
        <w:rPr>
          <w:rFonts w:hint="default"/>
          <w:color w:val="auto"/>
          <w:lang w:val="en-US" w:eastAsia="zh-CN"/>
        </w:rPr>
        <w:t>。断裂构造不发育，勘查区及周边见2条断裂构造，分别为F4正断层和F5逆断层。断层中破碎带白云岩化明显，充填断层角砾岩和断层泥，断面及角砾未见溶蚀现象，沿产状伴有后期黄褐色煌斑岩侵入，规模一般长数2km，宽数0m～62m。在标高100m以上未发现有流量大于0.1L/s的泉点，富水性弱。</w:t>
      </w:r>
    </w:p>
    <w:p w14:paraId="21772852">
      <w:pPr>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地下水补给、径流、排泄条件</w:t>
      </w:r>
    </w:p>
    <w:p w14:paraId="7858D656">
      <w:pPr>
        <w:rPr>
          <w:rFonts w:hint="default"/>
          <w:color w:val="auto"/>
          <w:lang w:val="en-US" w:eastAsia="zh-CN"/>
        </w:rPr>
      </w:pPr>
      <w:r>
        <w:rPr>
          <w:rFonts w:hint="default"/>
          <w:color w:val="auto"/>
          <w:lang w:val="en-US" w:eastAsia="zh-CN"/>
        </w:rPr>
        <w:t>矿区地下水补给来源主要为大气降水，矿区地表水系不发育，大气降水所形成的地表径流可沿矿区东西两侧山坡以散流形式排入矿区东、南外围的沟谷水溪中。在矿区东侧外围，发育一条流向向南的水溪，水溪为矿区大气降水所形成的地表径流提供自然排出矿区的良好通道条件，同时也是矿区供水水源。</w:t>
      </w:r>
    </w:p>
    <w:p w14:paraId="07FB0636">
      <w:pPr>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水文地质条件评价</w:t>
      </w:r>
    </w:p>
    <w:p w14:paraId="7DA5152C">
      <w:pPr>
        <w:rPr>
          <w:rFonts w:hint="default"/>
          <w:color w:val="auto"/>
          <w:lang w:val="en-US" w:eastAsia="zh-CN"/>
        </w:rPr>
      </w:pPr>
      <w:r>
        <w:rPr>
          <w:rFonts w:hint="default"/>
          <w:color w:val="auto"/>
          <w:lang w:val="en-US" w:eastAsia="zh-CN"/>
        </w:rPr>
        <w:t>经分析，矿区最低开采标高+100m，在此标高以上的岩土层及断裂构造富水性弱，矿坑主要充水因素为大气降水，矿区最低排泄基准面标高</w:t>
      </w:r>
      <w:r>
        <w:rPr>
          <w:rFonts w:hint="eastAsia"/>
          <w:color w:val="auto"/>
          <w:lang w:val="en-US" w:eastAsia="zh-CN"/>
        </w:rPr>
        <w:t>+</w:t>
      </w:r>
      <w:r>
        <w:rPr>
          <w:rFonts w:hint="default"/>
          <w:color w:val="auto"/>
          <w:lang w:val="en-US" w:eastAsia="zh-CN"/>
        </w:rPr>
        <w:t>44.00m，低于矿区最低开采标高，矿坑水可自然排泄，矿区水文地质条件简单。</w:t>
      </w:r>
    </w:p>
    <w:p w14:paraId="5E40ACCB">
      <w:pPr>
        <w:pStyle w:val="4"/>
        <w:bidi w:val="0"/>
        <w:rPr>
          <w:rFonts w:hint="default"/>
          <w:color w:val="auto"/>
          <w:lang w:val="en-US" w:eastAsia="zh-CN"/>
        </w:rPr>
      </w:pPr>
      <w:bookmarkStart w:id="109" w:name="_Toc6826"/>
      <w:bookmarkStart w:id="110" w:name="_Toc11895"/>
      <w:bookmarkStart w:id="111" w:name="_Toc12945"/>
      <w:bookmarkStart w:id="112" w:name="_Toc3023"/>
      <w:r>
        <w:rPr>
          <w:rFonts w:hint="eastAsia"/>
          <w:color w:val="auto"/>
          <w:lang w:val="en-US" w:eastAsia="zh-CN"/>
        </w:rPr>
        <w:t xml:space="preserve">2.3.3 </w:t>
      </w:r>
      <w:r>
        <w:rPr>
          <w:rFonts w:hint="default"/>
          <w:color w:val="auto"/>
          <w:lang w:val="en-US" w:eastAsia="zh-CN"/>
        </w:rPr>
        <w:t>工程地质概况</w:t>
      </w:r>
      <w:bookmarkEnd w:id="109"/>
      <w:bookmarkEnd w:id="110"/>
      <w:bookmarkEnd w:id="111"/>
      <w:bookmarkEnd w:id="112"/>
    </w:p>
    <w:p w14:paraId="7D76BE7A">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岩土工程地质岩组</w:t>
      </w:r>
    </w:p>
    <w:p w14:paraId="0E7D9471">
      <w:pPr>
        <w:rPr>
          <w:rFonts w:hint="default"/>
          <w:color w:val="auto"/>
          <w:lang w:val="en-US" w:eastAsia="zh-CN"/>
        </w:rPr>
      </w:pPr>
      <w:r>
        <w:rPr>
          <w:rFonts w:hint="default"/>
          <w:color w:val="auto"/>
          <w:lang w:val="en-US" w:eastAsia="zh-CN"/>
        </w:rPr>
        <w:t>按岩土体结构特征，矿区岩土体工程地质类型可划分为：松散岩软弱岩组、坚硬岩组。</w:t>
      </w:r>
    </w:p>
    <w:p w14:paraId="7C54BD00">
      <w:pPr>
        <w:rPr>
          <w:rFonts w:hint="default"/>
          <w:color w:val="auto"/>
          <w:lang w:val="en-US" w:eastAsia="zh-CN"/>
        </w:rPr>
      </w:pPr>
      <w:r>
        <w:rPr>
          <w:rFonts w:hint="default"/>
          <w:color w:val="auto"/>
          <w:lang w:val="en-US" w:eastAsia="zh-CN"/>
        </w:rPr>
        <w:t>（1）松散岩软弱岩组：分布于矿区西北部，由第四系残坡积物组成。普遍具二元结构，上部为黑色腐殖土、耕植土，下部为含砾砂质粘土，结构松散，密实度差，透水性较好，易产生垮塌、崩塌，稳定性差，全层厚度0m～6.3m，开采过程中被剥离，对矿床开采影响较小。</w:t>
      </w:r>
    </w:p>
    <w:p w14:paraId="1AF7FCEC">
      <w:pPr>
        <w:rPr>
          <w:rFonts w:hint="default"/>
          <w:color w:val="auto"/>
          <w:lang w:val="en-US" w:eastAsia="zh-CN"/>
        </w:rPr>
      </w:pPr>
      <w:r>
        <w:rPr>
          <w:rFonts w:hint="default"/>
          <w:color w:val="auto"/>
          <w:lang w:val="en-US" w:eastAsia="zh-CN"/>
        </w:rPr>
        <w:t>（2）坚硬岩组：遍布全矿区，由二叠系下统马平组微晶灰岩、白云质灰岩组成，局部白云岩，厚～巨厚层状，矿层产状平缓，矿体顶板为二叠系中统梁山组石英砂岩，底板为石炭系上统黄龙组微晶灰岩、白云质灰岩、白云岩互层，底板及夹石岩石裂隙不发育。矿体、夹石及底板单轴抗压强度一般在51.60</w:t>
      </w:r>
      <w:r>
        <w:rPr>
          <w:rFonts w:hint="default"/>
          <w:color w:val="FF0000"/>
          <w:lang w:val="en-US" w:eastAsia="zh-CN"/>
        </w:rPr>
        <w:t>M</w:t>
      </w:r>
      <w:r>
        <w:rPr>
          <w:rFonts w:hint="eastAsia"/>
          <w:color w:val="FF0000"/>
          <w:lang w:val="en-US" w:eastAsia="zh-CN"/>
        </w:rPr>
        <w:t>P</w:t>
      </w:r>
      <w:r>
        <w:rPr>
          <w:rFonts w:hint="default"/>
          <w:color w:val="FF0000"/>
          <w:lang w:val="en-US" w:eastAsia="zh-CN"/>
        </w:rPr>
        <w:t>a</w:t>
      </w:r>
      <w:r>
        <w:rPr>
          <w:rFonts w:hint="default"/>
          <w:color w:val="auto"/>
          <w:lang w:val="en-US" w:eastAsia="zh-CN"/>
        </w:rPr>
        <w:t>～83.80</w:t>
      </w:r>
      <w:r>
        <w:rPr>
          <w:rFonts w:hint="default"/>
          <w:color w:val="FF0000"/>
          <w:lang w:val="en-US" w:eastAsia="zh-CN"/>
        </w:rPr>
        <w:t>M</w:t>
      </w:r>
      <w:r>
        <w:rPr>
          <w:rFonts w:hint="eastAsia"/>
          <w:color w:val="FF0000"/>
          <w:lang w:val="en-US" w:eastAsia="zh-CN"/>
        </w:rPr>
        <w:t>P</w:t>
      </w:r>
      <w:r>
        <w:rPr>
          <w:rFonts w:hint="default"/>
          <w:color w:val="FF0000"/>
          <w:lang w:val="en-US" w:eastAsia="zh-CN"/>
        </w:rPr>
        <w:t>a</w:t>
      </w:r>
      <w:r>
        <w:rPr>
          <w:rFonts w:hint="default"/>
          <w:color w:val="auto"/>
          <w:lang w:val="en-US" w:eastAsia="zh-CN"/>
        </w:rPr>
        <w:t>，平均为63.36</w:t>
      </w:r>
      <w:r>
        <w:rPr>
          <w:rFonts w:hint="default"/>
          <w:color w:val="FF0000"/>
          <w:lang w:val="en-US" w:eastAsia="zh-CN"/>
        </w:rPr>
        <w:t>M</w:t>
      </w:r>
      <w:r>
        <w:rPr>
          <w:rFonts w:hint="eastAsia"/>
          <w:color w:val="FF0000"/>
          <w:lang w:val="en-US" w:eastAsia="zh-CN"/>
        </w:rPr>
        <w:t>P</w:t>
      </w:r>
      <w:r>
        <w:rPr>
          <w:rFonts w:hint="default"/>
          <w:color w:val="FF0000"/>
          <w:lang w:val="en-US" w:eastAsia="zh-CN"/>
        </w:rPr>
        <w:t>a</w:t>
      </w:r>
      <w:r>
        <w:rPr>
          <w:rFonts w:hint="default"/>
          <w:color w:val="auto"/>
          <w:lang w:val="en-US" w:eastAsia="zh-CN"/>
        </w:rPr>
        <w:t>，力学强度较高，均属坚硬完整稳固型岩层。</w:t>
      </w:r>
    </w:p>
    <w:p w14:paraId="58848C79">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结构面</w:t>
      </w:r>
    </w:p>
    <w:p w14:paraId="1A3C0666">
      <w:pPr>
        <w:rPr>
          <w:rFonts w:hint="default"/>
          <w:color w:val="auto"/>
          <w:lang w:val="en-US" w:eastAsia="zh-CN"/>
        </w:rPr>
      </w:pPr>
      <w:r>
        <w:rPr>
          <w:rFonts w:hint="default"/>
          <w:color w:val="auto"/>
          <w:lang w:val="en-US" w:eastAsia="zh-CN"/>
        </w:rPr>
        <w:t>矿区总体构造为一向斜，向斜北翼倾角2</w:t>
      </w:r>
      <w:r>
        <w:rPr>
          <w:rFonts w:hint="eastAsia" w:asciiTheme="minorEastAsia" w:hAnsiTheme="minorEastAsia" w:eastAsiaTheme="minorEastAsia" w:cstheme="minorEastAsia"/>
          <w:color w:val="auto"/>
          <w:lang w:val="en-US" w:eastAsia="zh-CN"/>
        </w:rPr>
        <w:t>°</w:t>
      </w:r>
      <w:r>
        <w:rPr>
          <w:rFonts w:hint="default"/>
          <w:color w:val="auto"/>
          <w:lang w:val="en-US" w:eastAsia="zh-CN"/>
        </w:rPr>
        <w:t>～16</w:t>
      </w:r>
      <w:r>
        <w:rPr>
          <w:rFonts w:hint="eastAsia" w:asciiTheme="minorEastAsia" w:hAnsiTheme="minorEastAsia" w:eastAsiaTheme="minorEastAsia" w:cstheme="minorEastAsia"/>
          <w:color w:val="auto"/>
          <w:lang w:val="en-US" w:eastAsia="zh-CN"/>
        </w:rPr>
        <w:t>°</w:t>
      </w:r>
      <w:r>
        <w:rPr>
          <w:rFonts w:hint="default"/>
          <w:color w:val="auto"/>
          <w:lang w:val="en-US" w:eastAsia="zh-CN"/>
        </w:rPr>
        <w:t>，南翼倾角8</w:t>
      </w:r>
      <w:r>
        <w:rPr>
          <w:rFonts w:hint="eastAsia" w:asciiTheme="minorEastAsia" w:hAnsiTheme="minorEastAsia" w:eastAsiaTheme="minorEastAsia" w:cstheme="minorEastAsia"/>
          <w:color w:val="auto"/>
          <w:lang w:val="en-US" w:eastAsia="zh-CN"/>
        </w:rPr>
        <w:t>°</w:t>
      </w:r>
      <w:r>
        <w:rPr>
          <w:rFonts w:hint="default"/>
          <w:color w:val="auto"/>
          <w:lang w:val="en-US" w:eastAsia="zh-CN"/>
        </w:rPr>
        <w:t>～20</w:t>
      </w:r>
      <w:r>
        <w:rPr>
          <w:rFonts w:hint="eastAsia" w:asciiTheme="minorEastAsia" w:hAnsiTheme="minorEastAsia" w:eastAsiaTheme="minorEastAsia" w:cstheme="minorEastAsia"/>
          <w:color w:val="auto"/>
          <w:lang w:val="en-US" w:eastAsia="zh-CN"/>
        </w:rPr>
        <w:t>°</w:t>
      </w:r>
      <w:r>
        <w:rPr>
          <w:rFonts w:hint="default"/>
          <w:color w:val="auto"/>
          <w:lang w:val="en-US" w:eastAsia="zh-CN"/>
        </w:rPr>
        <w:t>。断裂构造较不发育，矿区及周边见F4正断层及F5逆断层。</w:t>
      </w:r>
    </w:p>
    <w:p w14:paraId="3371648B">
      <w:pPr>
        <w:rPr>
          <w:rFonts w:hint="default"/>
          <w:color w:val="auto"/>
          <w:lang w:val="en-US" w:eastAsia="zh-CN"/>
        </w:rPr>
      </w:pPr>
      <w:r>
        <w:rPr>
          <w:rFonts w:hint="default"/>
          <w:color w:val="auto"/>
          <w:lang w:val="en-US" w:eastAsia="zh-CN"/>
        </w:rPr>
        <w:t>F4位于矿区南部边缘，倾向北东，倾角约70</w:t>
      </w:r>
      <w:r>
        <w:rPr>
          <w:rFonts w:hint="eastAsia" w:asciiTheme="minorEastAsia" w:hAnsiTheme="minorEastAsia" w:eastAsiaTheme="minorEastAsia" w:cstheme="minorEastAsia"/>
          <w:color w:val="auto"/>
          <w:lang w:val="en-US" w:eastAsia="zh-CN"/>
        </w:rPr>
        <w:t>°</w:t>
      </w:r>
      <w:r>
        <w:rPr>
          <w:rFonts w:hint="default"/>
          <w:color w:val="auto"/>
          <w:lang w:val="en-US" w:eastAsia="zh-CN"/>
        </w:rPr>
        <w:t>，地表见0m～21m破碎带，破碎带白云岩化明显，沿产状伴有后期黄褐色煌斑岩侵入。切割石炭系上统黄龙组上段、二叠系下统马平组地层。对南部开采边坡的完整性具一定的破坏作用，并可能影响到开采边坡的稳定性。</w:t>
      </w:r>
    </w:p>
    <w:p w14:paraId="5D797B36">
      <w:pPr>
        <w:rPr>
          <w:rFonts w:hint="default"/>
          <w:color w:val="auto"/>
          <w:lang w:val="en-US" w:eastAsia="zh-CN"/>
        </w:rPr>
      </w:pPr>
      <w:r>
        <w:rPr>
          <w:rFonts w:hint="default"/>
          <w:color w:val="auto"/>
          <w:lang w:val="en-US" w:eastAsia="zh-CN"/>
        </w:rPr>
        <w:t>F5断层走向呈北东东，走向长约1.8km，倾向北西，倾角52</w:t>
      </w:r>
      <w:r>
        <w:rPr>
          <w:rFonts w:hint="eastAsia" w:asciiTheme="minorEastAsia" w:hAnsiTheme="minorEastAsia" w:eastAsiaTheme="minorEastAsia" w:cstheme="minorEastAsia"/>
          <w:color w:val="auto"/>
          <w:lang w:val="en-US" w:eastAsia="zh-CN"/>
        </w:rPr>
        <w:t>°</w:t>
      </w:r>
      <w:r>
        <w:rPr>
          <w:rFonts w:hint="default"/>
          <w:color w:val="auto"/>
          <w:lang w:val="en-US" w:eastAsia="zh-CN"/>
        </w:rPr>
        <w:t>～65</w:t>
      </w:r>
      <w:r>
        <w:rPr>
          <w:rFonts w:hint="eastAsia" w:asciiTheme="minorEastAsia" w:hAnsiTheme="minorEastAsia" w:eastAsiaTheme="minorEastAsia" w:cstheme="minorEastAsia"/>
          <w:color w:val="auto"/>
          <w:lang w:val="en-US" w:eastAsia="zh-CN"/>
        </w:rPr>
        <w:t>°</w:t>
      </w:r>
      <w:r>
        <w:rPr>
          <w:rFonts w:hint="default"/>
          <w:color w:val="auto"/>
          <w:lang w:val="en-US" w:eastAsia="zh-CN"/>
        </w:rPr>
        <w:t>。地表见0m～62m宽破碎带，破碎带白云岩化明显，断裂中充填断层角砾岩和断层泥，断面及角砾未见溶蚀现象，沿产状伴有后期黄褐色煌斑岩侵入。断层面紧闭，不影响开采边坡的完整性、稳定性。</w:t>
      </w:r>
    </w:p>
    <w:p w14:paraId="4B587A3E">
      <w:pPr>
        <w:rPr>
          <w:rFonts w:hint="default"/>
          <w:color w:val="auto"/>
          <w:lang w:val="en-US" w:eastAsia="zh-CN"/>
        </w:rPr>
      </w:pPr>
      <w:r>
        <w:rPr>
          <w:rFonts w:hint="default"/>
          <w:color w:val="auto"/>
          <w:lang w:val="en-US" w:eastAsia="zh-CN"/>
        </w:rPr>
        <w:t>综上所述，矿区工程地质条件为简单型</w:t>
      </w:r>
      <w:r>
        <w:rPr>
          <w:rFonts w:hint="eastAsia"/>
          <w:color w:val="auto"/>
          <w:lang w:val="en-US" w:eastAsia="zh-CN"/>
        </w:rPr>
        <w:t>。</w:t>
      </w:r>
    </w:p>
    <w:p w14:paraId="17429340">
      <w:pPr>
        <w:pStyle w:val="4"/>
        <w:bidi w:val="0"/>
        <w:rPr>
          <w:rFonts w:hint="default"/>
          <w:color w:val="auto"/>
          <w:lang w:val="en-US" w:eastAsia="zh-CN"/>
        </w:rPr>
      </w:pPr>
      <w:bookmarkStart w:id="113" w:name="_Toc10970"/>
      <w:bookmarkStart w:id="114" w:name="_Toc26302"/>
      <w:bookmarkStart w:id="115" w:name="_Toc7641"/>
      <w:bookmarkStart w:id="116" w:name="_Toc8159"/>
      <w:r>
        <w:rPr>
          <w:rFonts w:hint="eastAsia"/>
          <w:color w:val="auto"/>
          <w:lang w:val="en-US" w:eastAsia="zh-CN"/>
        </w:rPr>
        <w:t>2.3.4 环境地质概况</w:t>
      </w:r>
      <w:bookmarkEnd w:id="113"/>
      <w:bookmarkEnd w:id="114"/>
      <w:bookmarkEnd w:id="115"/>
      <w:bookmarkEnd w:id="116"/>
    </w:p>
    <w:p w14:paraId="348EFEE5">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区域稳定性及地震</w:t>
      </w:r>
    </w:p>
    <w:p w14:paraId="3E44A491">
      <w:pPr>
        <w:rPr>
          <w:rFonts w:hint="default"/>
          <w:color w:val="auto"/>
          <w:lang w:val="en-US" w:eastAsia="zh-CN"/>
        </w:rPr>
      </w:pPr>
      <w:r>
        <w:rPr>
          <w:rFonts w:hint="default"/>
          <w:color w:val="auto"/>
          <w:lang w:val="en-US" w:eastAsia="zh-CN"/>
        </w:rPr>
        <w:t>（1）区域稳定性</w:t>
      </w:r>
    </w:p>
    <w:p w14:paraId="192D811B">
      <w:pPr>
        <w:rPr>
          <w:rFonts w:hint="default"/>
          <w:color w:val="auto"/>
          <w:lang w:val="en-US" w:eastAsia="zh-CN"/>
        </w:rPr>
      </w:pPr>
      <w:r>
        <w:rPr>
          <w:rFonts w:hint="default"/>
          <w:color w:val="auto"/>
          <w:lang w:val="en-US" w:eastAsia="zh-CN"/>
        </w:rPr>
        <w:t>据《中国地震烈度区划图》和《中国地震动参数区划图》（GB18306-2015），本区地震动峰值加速度等于0.05g，地震动加速度反应谱特征周期0.35（s），地震基本烈度6度，属区域稳定区。</w:t>
      </w:r>
    </w:p>
    <w:p w14:paraId="0B7A97B6">
      <w:pPr>
        <w:rPr>
          <w:rFonts w:hint="default"/>
          <w:color w:val="auto"/>
          <w:lang w:val="en-US" w:eastAsia="zh-CN"/>
        </w:rPr>
      </w:pPr>
      <w:r>
        <w:rPr>
          <w:rFonts w:hint="default"/>
          <w:color w:val="auto"/>
          <w:lang w:val="en-US" w:eastAsia="zh-CN"/>
        </w:rPr>
        <w:t>（2）矿区稳定性</w:t>
      </w:r>
    </w:p>
    <w:p w14:paraId="23CA5FA6">
      <w:pPr>
        <w:rPr>
          <w:rFonts w:hint="default"/>
          <w:color w:val="auto"/>
          <w:lang w:val="en-US" w:eastAsia="zh-CN"/>
        </w:rPr>
      </w:pPr>
      <w:r>
        <w:rPr>
          <w:rFonts w:hint="default"/>
          <w:color w:val="auto"/>
          <w:lang w:val="en-US" w:eastAsia="zh-CN"/>
        </w:rPr>
        <w:t>矿区为丘陵正地形，地形切割强烈，</w:t>
      </w:r>
      <w:r>
        <w:rPr>
          <w:rFonts w:hint="eastAsia" w:asciiTheme="minorEastAsia" w:hAnsiTheme="minorEastAsia" w:eastAsiaTheme="minorEastAsia" w:cstheme="minorEastAsia"/>
          <w:color w:val="auto"/>
          <w:lang w:val="en-US" w:eastAsia="zh-CN"/>
        </w:rPr>
        <w:t>“</w:t>
      </w:r>
      <w:r>
        <w:rPr>
          <w:rFonts w:hint="default"/>
          <w:color w:val="auto"/>
          <w:lang w:val="en-US" w:eastAsia="zh-CN"/>
        </w:rPr>
        <w:t>V</w:t>
      </w:r>
      <w:r>
        <w:rPr>
          <w:rFonts w:hint="eastAsia" w:asciiTheme="minorEastAsia" w:hAnsiTheme="minorEastAsia" w:eastAsiaTheme="minorEastAsia" w:cstheme="minorEastAsia"/>
          <w:color w:val="auto"/>
          <w:lang w:val="en-US" w:eastAsia="zh-CN"/>
        </w:rPr>
        <w:t>”</w:t>
      </w:r>
      <w:r>
        <w:rPr>
          <w:rFonts w:hint="default"/>
          <w:color w:val="auto"/>
          <w:lang w:val="en-US" w:eastAsia="zh-CN"/>
        </w:rPr>
        <w:t>型沟谷发育，植被茂盛。矿区地处两条北东向近代活动性的区域深大断裂挟持部位，受区域断裂影响，矿区及周边见F4正断层及F5逆断层。F4为张扭性断层，形成0m～21m破碎带，破碎带白云岩化明显，沿产状伴有后期黄褐色煌斑岩侵入。破碎角砾间及侵入岩间结合程度差，其自稳能力较差，对矿区稳定性可能有影响；F5为压扭性断层，受挤压形成破碎带，破碎角砾岩块间多成密实状态，其自稳能力相对较好，对矿区稳定性影响不大。</w:t>
      </w:r>
    </w:p>
    <w:p w14:paraId="30E7129C">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矿区地质环境现状</w:t>
      </w:r>
    </w:p>
    <w:p w14:paraId="324FA0DB">
      <w:pPr>
        <w:rPr>
          <w:rFonts w:hint="default"/>
          <w:color w:val="auto"/>
          <w:lang w:val="en-US" w:eastAsia="zh-CN"/>
        </w:rPr>
      </w:pPr>
      <w:r>
        <w:rPr>
          <w:rFonts w:hint="default"/>
          <w:color w:val="auto"/>
          <w:lang w:val="en-US" w:eastAsia="zh-CN"/>
        </w:rPr>
        <w:t>（1）水环境现状</w:t>
      </w:r>
    </w:p>
    <w:p w14:paraId="02B14629">
      <w:pPr>
        <w:rPr>
          <w:rFonts w:hint="default"/>
          <w:color w:val="auto"/>
          <w:lang w:val="en-US" w:eastAsia="zh-CN"/>
        </w:rPr>
      </w:pPr>
      <w:r>
        <w:rPr>
          <w:rFonts w:hint="default"/>
          <w:color w:val="auto"/>
          <w:lang w:val="en-US" w:eastAsia="zh-CN"/>
        </w:rPr>
        <w:t>矿山位于居民生活区1km以外。矿区采用爆破法开采，对矿坑水质无明显的污染，矿区没有其它的污染源。矿石属碳酸盐岩灰岩矿石，不易氧化，无自燃现象，矿石中不含有毒有害元素，采矿活动不会对这一地区的地下水、地表水产生污染。</w:t>
      </w:r>
    </w:p>
    <w:p w14:paraId="1EE223A5">
      <w:pPr>
        <w:rPr>
          <w:rFonts w:hint="default"/>
          <w:color w:val="auto"/>
          <w:lang w:val="en-US" w:eastAsia="zh-CN"/>
        </w:rPr>
      </w:pPr>
      <w:r>
        <w:rPr>
          <w:rFonts w:hint="default"/>
          <w:color w:val="auto"/>
          <w:lang w:val="en-US" w:eastAsia="zh-CN"/>
        </w:rPr>
        <w:t>（2）地质灾害现状</w:t>
      </w:r>
    </w:p>
    <w:p w14:paraId="7F04588C">
      <w:pPr>
        <w:rPr>
          <w:rFonts w:hint="default"/>
          <w:color w:val="auto"/>
          <w:lang w:val="en-US" w:eastAsia="zh-CN"/>
        </w:rPr>
      </w:pPr>
      <w:r>
        <w:rPr>
          <w:rFonts w:hint="default"/>
          <w:color w:val="auto"/>
          <w:lang w:val="en-US" w:eastAsia="zh-CN"/>
        </w:rPr>
        <w:t>通过对矿山及周边地区的现场调查，矿山开采以前，自然状态下山体边坡较稳定，未发现滑坡、泥石流、地裂缝等地质灾害现象。</w:t>
      </w:r>
    </w:p>
    <w:p w14:paraId="06DA0A1A">
      <w:pPr>
        <w:rPr>
          <w:rFonts w:hint="default"/>
          <w:color w:val="auto"/>
          <w:lang w:val="en-US" w:eastAsia="zh-CN"/>
        </w:rPr>
      </w:pPr>
      <w:r>
        <w:rPr>
          <w:rFonts w:hint="default"/>
          <w:color w:val="auto"/>
          <w:lang w:val="en-US" w:eastAsia="zh-CN"/>
        </w:rPr>
        <w:t>在2016年12月3日～2017年3月6日期间，矿区东南侧500m西港村发生岩溶地面塌陷灾害12处，2017年后此地经江西省地矿局赣东北大队地灾恢复治理后至今未出现地面塌陷现象。</w:t>
      </w:r>
    </w:p>
    <w:p w14:paraId="73051491">
      <w:pPr>
        <w:rPr>
          <w:rFonts w:hint="default"/>
          <w:color w:val="auto"/>
          <w:lang w:val="en-US" w:eastAsia="zh-CN"/>
        </w:rPr>
      </w:pPr>
      <w:r>
        <w:rPr>
          <w:rFonts w:hint="default"/>
          <w:color w:val="auto"/>
          <w:lang w:val="en-US" w:eastAsia="zh-CN"/>
        </w:rPr>
        <w:t>矿山开采以来对环境的影响主要表现为原有地形地貌的改变、凿岩及爆破的噪音、粉尘、剥离废土石等，矿山采取了剥离废土石选择有利地形堆放、局部砌筑了拦挡墙等相应措施，目前矿山开采尚未对周围环境造成明显不良影响。</w:t>
      </w:r>
    </w:p>
    <w:p w14:paraId="4FEFB4BC">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预测开采对地质环境影响</w:t>
      </w:r>
    </w:p>
    <w:p w14:paraId="0BCFED59">
      <w:pPr>
        <w:rPr>
          <w:rFonts w:hint="default"/>
          <w:color w:val="auto"/>
          <w:lang w:val="en-US" w:eastAsia="zh-CN"/>
        </w:rPr>
      </w:pPr>
      <w:r>
        <w:rPr>
          <w:rFonts w:hint="default"/>
          <w:color w:val="auto"/>
          <w:lang w:val="en-US" w:eastAsia="zh-CN"/>
        </w:rPr>
        <w:t>（1）由于最终开采边坡局部岩层裂隙发育及部分边坡为断裂带所切割，甚至边坡本身即由断裂带构成，造成边坡稳定性较差，而未来矿山采用爆破法，爆破将使岩层产生爆破裂隙，将降低岩坡的稳定性，加之爆破将产生震动作用，将影响到一定范围的周围环境，并可能致使似稳定状态的岩坡在震动作用下失稳。降低爆破带来的不利影响应做到：降低炸药用量，监测和加固似稳定地段。</w:t>
      </w:r>
    </w:p>
    <w:p w14:paraId="6FD2B6E2">
      <w:pPr>
        <w:rPr>
          <w:rFonts w:hint="default"/>
          <w:color w:val="auto"/>
          <w:lang w:val="en-US" w:eastAsia="zh-CN"/>
        </w:rPr>
      </w:pPr>
      <w:r>
        <w:rPr>
          <w:rFonts w:hint="default"/>
          <w:color w:val="auto"/>
          <w:lang w:val="en-US" w:eastAsia="zh-CN"/>
        </w:rPr>
        <w:t>（2）矿床开采将造成矿区一定范围内地表植被、地貌景观的破坏，应本着边开发边治理的原则，做好环境恢复和土地复垦工作。</w:t>
      </w:r>
    </w:p>
    <w:p w14:paraId="6E578FF9">
      <w:pPr>
        <w:rPr>
          <w:rFonts w:hint="default"/>
          <w:color w:val="auto"/>
          <w:lang w:val="en-US" w:eastAsia="zh-CN"/>
        </w:rPr>
      </w:pPr>
      <w:r>
        <w:rPr>
          <w:rFonts w:hint="default"/>
          <w:color w:val="auto"/>
          <w:lang w:val="en-US" w:eastAsia="zh-CN"/>
        </w:rPr>
        <w:t>（3）矿区内开采方式为从上至下露天开采，矿体开采完后所形成采空区将形成地表地形较平的盆地，所开采出的矿石大部外运，其废土、石的堆积量有限。但随着开采量的增加，其废土、石堆积量也将不断增加，须对废土、石按规划的地区排弃，在废渣土堆放场地下方应建筑挡土坝，并控制堆放高度，以免在暴雨的作用下造成水土流失、水环境污染或，诱发泥石流。</w:t>
      </w:r>
    </w:p>
    <w:p w14:paraId="02FD827E">
      <w:pPr>
        <w:rPr>
          <w:rFonts w:hint="default"/>
          <w:color w:val="auto"/>
          <w:lang w:val="en-US" w:eastAsia="zh-CN"/>
        </w:rPr>
      </w:pPr>
      <w:r>
        <w:rPr>
          <w:rFonts w:hint="default"/>
          <w:color w:val="auto"/>
          <w:lang w:val="en-US" w:eastAsia="zh-CN"/>
        </w:rPr>
        <w:t>（4）矿区及其周边位于岩溶地面塌陷易发区，后期需注意开采方式，防止引发和加剧岩溶地面塌陷灾害。</w:t>
      </w:r>
    </w:p>
    <w:p w14:paraId="324BBC06">
      <w:pPr>
        <w:rPr>
          <w:rFonts w:hint="default"/>
          <w:color w:val="auto"/>
          <w:lang w:val="en-US" w:eastAsia="zh-CN"/>
        </w:rPr>
      </w:pPr>
      <w:r>
        <w:rPr>
          <w:rFonts w:hint="default"/>
          <w:color w:val="auto"/>
          <w:lang w:val="en-US" w:eastAsia="zh-CN"/>
        </w:rPr>
        <w:t>总之，矿区开采属地面剥采，断裂构造造成矿区局部稳固性较差，矿石及废弃物不易分解出有害组分，采矿活动不易形成对水体的污染，但可能会诱发周边岩溶塌陷，故矿区地质环境质量为中等</w:t>
      </w:r>
      <w:r>
        <w:rPr>
          <w:rFonts w:hint="eastAsia"/>
          <w:color w:val="auto"/>
          <w:lang w:val="en-US" w:eastAsia="zh-CN"/>
        </w:rPr>
        <w:t>。</w:t>
      </w:r>
    </w:p>
    <w:p w14:paraId="4BA39F9C">
      <w:pPr>
        <w:pStyle w:val="3"/>
        <w:bidi w:val="0"/>
        <w:rPr>
          <w:rFonts w:hint="default"/>
          <w:color w:val="auto"/>
          <w:lang w:val="en-US" w:eastAsia="zh-CN"/>
        </w:rPr>
      </w:pPr>
      <w:bookmarkStart w:id="117" w:name="_Toc2117"/>
      <w:bookmarkStart w:id="118" w:name="_Toc20095"/>
      <w:bookmarkStart w:id="119" w:name="_Toc24321"/>
      <w:bookmarkStart w:id="120" w:name="_Toc27306"/>
      <w:r>
        <w:rPr>
          <w:rFonts w:hint="default"/>
          <w:color w:val="auto"/>
          <w:lang w:val="en-US" w:eastAsia="zh-CN"/>
        </w:rPr>
        <w:t>2.</w:t>
      </w:r>
      <w:r>
        <w:rPr>
          <w:rFonts w:hint="eastAsia"/>
          <w:color w:val="auto"/>
          <w:lang w:val="en-US" w:eastAsia="zh-CN"/>
        </w:rPr>
        <w:t>4</w:t>
      </w:r>
      <w:r>
        <w:rPr>
          <w:rFonts w:hint="default"/>
          <w:color w:val="auto"/>
          <w:lang w:val="en-US" w:eastAsia="zh-CN"/>
        </w:rPr>
        <w:t xml:space="preserve"> 矿山生产现状</w:t>
      </w:r>
      <w:bookmarkEnd w:id="117"/>
      <w:bookmarkEnd w:id="118"/>
      <w:bookmarkEnd w:id="119"/>
      <w:bookmarkEnd w:id="120"/>
    </w:p>
    <w:p w14:paraId="576E6B82">
      <w:pPr>
        <w:pStyle w:val="4"/>
        <w:bidi w:val="0"/>
        <w:rPr>
          <w:rFonts w:hint="default"/>
          <w:color w:val="auto"/>
          <w:lang w:val="en-US" w:eastAsia="zh-CN"/>
        </w:rPr>
      </w:pPr>
      <w:bookmarkStart w:id="121" w:name="_Toc13462"/>
      <w:bookmarkStart w:id="122" w:name="_Toc1792"/>
      <w:bookmarkStart w:id="123" w:name="_Toc5979"/>
      <w:bookmarkStart w:id="124" w:name="_Toc14965"/>
      <w:r>
        <w:rPr>
          <w:rFonts w:hint="eastAsia"/>
          <w:color w:val="auto"/>
          <w:lang w:val="en-US" w:eastAsia="zh-CN"/>
        </w:rPr>
        <w:t>2.4.1 设计情况</w:t>
      </w:r>
      <w:bookmarkEnd w:id="121"/>
      <w:bookmarkEnd w:id="122"/>
      <w:bookmarkEnd w:id="123"/>
      <w:bookmarkEnd w:id="124"/>
    </w:p>
    <w:p w14:paraId="67725205">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 </w:t>
      </w:r>
      <w:r>
        <w:rPr>
          <w:rFonts w:hint="default" w:ascii="Times New Roman" w:hAnsi="Times New Roman" w:eastAsia="宋体" w:cs="Times New Roman"/>
          <w:color w:val="auto"/>
          <w:lang w:val="en-US" w:eastAsia="zh-CN"/>
        </w:rPr>
        <w:t>设计范围</w:t>
      </w:r>
    </w:p>
    <w:p w14:paraId="66D7FC94">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垂直范围</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开采深度+</w:t>
      </w:r>
      <w:r>
        <w:rPr>
          <w:rFonts w:hint="eastAsia" w:cs="Times New Roman"/>
          <w:color w:val="auto"/>
          <w:lang w:val="en-US" w:eastAsia="zh-CN"/>
        </w:rPr>
        <w:t>329</w:t>
      </w:r>
      <w:r>
        <w:rPr>
          <w:rFonts w:hint="default" w:ascii="Times New Roman" w:hAnsi="Times New Roman" w:eastAsia="宋体" w:cs="Times New Roman"/>
          <w:color w:val="auto"/>
          <w:lang w:val="en-US" w:eastAsia="zh-CN"/>
        </w:rPr>
        <w:t>m至+1</w:t>
      </w:r>
      <w:r>
        <w:rPr>
          <w:rFonts w:hint="eastAsia" w:cs="Times New Roman"/>
          <w:color w:val="auto"/>
          <w:lang w:val="en-US" w:eastAsia="zh-CN"/>
        </w:rPr>
        <w:t>00</w:t>
      </w:r>
      <w:r>
        <w:rPr>
          <w:rFonts w:hint="default" w:ascii="Times New Roman" w:hAnsi="Times New Roman" w:eastAsia="宋体" w:cs="Times New Roman"/>
          <w:color w:val="auto"/>
          <w:lang w:val="en-US" w:eastAsia="zh-CN"/>
        </w:rPr>
        <w:t>m标高</w:t>
      </w:r>
      <w:r>
        <w:rPr>
          <w:rFonts w:hint="eastAsia" w:ascii="Times New Roman" w:hAnsi="Times New Roman" w:eastAsia="宋体" w:cs="Times New Roman"/>
          <w:color w:val="auto"/>
          <w:lang w:val="en-US" w:eastAsia="zh-CN"/>
        </w:rPr>
        <w:t>；</w:t>
      </w:r>
    </w:p>
    <w:p w14:paraId="3CAB59B8">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平面范围</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采矿许可证范围</w:t>
      </w:r>
      <w:r>
        <w:rPr>
          <w:rFonts w:hint="eastAsia" w:ascii="Times New Roman" w:hAnsi="Times New Roman" w:eastAsia="宋体" w:cs="Times New Roman"/>
          <w:color w:val="auto"/>
          <w:lang w:val="en-US" w:eastAsia="zh-CN"/>
        </w:rPr>
        <w:t>（详见</w:t>
      </w:r>
      <w:r>
        <w:rPr>
          <w:rFonts w:hint="default" w:ascii="Times New Roman" w:hAnsi="Times New Roman" w:eastAsia="宋体" w:cs="Times New Roman"/>
          <w:color w:val="auto"/>
          <w:lang w:val="en-US" w:eastAsia="zh-CN"/>
        </w:rPr>
        <w:t>表2</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w:t>
      </w:r>
    </w:p>
    <w:p w14:paraId="44A5660A">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总图运输</w:t>
      </w:r>
    </w:p>
    <w:p w14:paraId="12321B41">
      <w:pPr>
        <w:rPr>
          <w:rFonts w:hint="default" w:ascii="Times New Roman" w:hAnsi="Times New Roman" w:eastAsia="宋体" w:cs="Times New Roman"/>
          <w:color w:val="auto"/>
          <w:lang w:val="en-US" w:eastAsia="zh-CN"/>
        </w:rPr>
      </w:pPr>
      <w:r>
        <w:rPr>
          <w:rFonts w:hint="eastAsia" w:cs="Times New Roman"/>
          <w:color w:val="auto"/>
          <w:lang w:val="en-US" w:eastAsia="zh-CN"/>
        </w:rPr>
        <w:t>矿山组成</w:t>
      </w:r>
      <w:r>
        <w:rPr>
          <w:rFonts w:hint="default" w:ascii="Times New Roman" w:hAnsi="Times New Roman" w:eastAsia="宋体" w:cs="Times New Roman"/>
          <w:color w:val="auto"/>
          <w:lang w:val="en-US" w:eastAsia="zh-CN"/>
        </w:rPr>
        <w:t>主要</w:t>
      </w:r>
      <w:r>
        <w:rPr>
          <w:rFonts w:hint="eastAsia" w:cs="Times New Roman"/>
          <w:color w:val="auto"/>
          <w:lang w:val="en-US" w:eastAsia="zh-CN"/>
        </w:rPr>
        <w:t>为：</w:t>
      </w:r>
      <w:r>
        <w:rPr>
          <w:rFonts w:hint="default" w:ascii="Times New Roman" w:hAnsi="Times New Roman" w:eastAsia="宋体" w:cs="Times New Roman"/>
          <w:color w:val="auto"/>
          <w:lang w:val="en-US" w:eastAsia="zh-CN"/>
        </w:rPr>
        <w:t>露天采场、破碎系统工业场地、工业辅助设施等。</w:t>
      </w:r>
    </w:p>
    <w:p w14:paraId="6E6760C0">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（1）露天采场</w:t>
      </w:r>
    </w:p>
    <w:p w14:paraId="5266B46B">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露天采场位于矿山采矿权范围内，最高台段标高：+2</w:t>
      </w:r>
      <w:r>
        <w:rPr>
          <w:rFonts w:hint="eastAsia" w:cs="Times New Roman"/>
          <w:color w:val="auto"/>
          <w:lang w:val="en-US" w:eastAsia="zh-CN"/>
        </w:rPr>
        <w:t>80</w:t>
      </w:r>
      <w:r>
        <w:rPr>
          <w:rFonts w:hint="eastAsia" w:ascii="Times New Roman" w:hAnsi="Times New Roman" w:eastAsia="宋体" w:cs="Times New Roman"/>
          <w:color w:val="auto"/>
          <w:lang w:val="en-US" w:eastAsia="zh-CN"/>
        </w:rPr>
        <w:t>m，最低开采标高：+100m。</w:t>
      </w:r>
    </w:p>
    <w:p w14:paraId="60D061C5">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3</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破碎系统工业场地</w:t>
      </w:r>
    </w:p>
    <w:p w14:paraId="19C7993B">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破碎系统已单独立项审批，位于矿区南侧</w:t>
      </w:r>
      <w:r>
        <w:rPr>
          <w:rFonts w:hint="eastAsia" w:cs="Times New Roman"/>
          <w:color w:val="auto"/>
          <w:lang w:val="en-US" w:eastAsia="zh-CN"/>
        </w:rPr>
        <w:t>（</w:t>
      </w:r>
      <w:r>
        <w:rPr>
          <w:rFonts w:hint="default" w:ascii="Times New Roman" w:hAnsi="Times New Roman" w:eastAsia="宋体" w:cs="Times New Roman"/>
          <w:color w:val="auto"/>
          <w:lang w:val="en-US" w:eastAsia="zh-CN"/>
        </w:rPr>
        <w:t>曹溪一矿矿权范围内</w:t>
      </w:r>
      <w:r>
        <w:rPr>
          <w:rFonts w:hint="eastAsia" w:cs="Times New Roman"/>
          <w:color w:val="auto"/>
          <w:lang w:val="en-US" w:eastAsia="zh-CN"/>
        </w:rPr>
        <w:t>）</w:t>
      </w:r>
      <w:r>
        <w:rPr>
          <w:rFonts w:hint="default" w:ascii="Times New Roman" w:hAnsi="Times New Roman" w:eastAsia="宋体" w:cs="Times New Roman"/>
          <w:color w:val="auto"/>
          <w:lang w:val="en-US" w:eastAsia="zh-CN"/>
        </w:rPr>
        <w:t>。破碎站后期将影响曹溪一矿的生产，后期破碎站移至曹溪一矿破碎站旁。</w:t>
      </w:r>
    </w:p>
    <w:p w14:paraId="310A57A6">
      <w:pPr>
        <w:rPr>
          <w:rFonts w:hint="default"/>
          <w:color w:val="auto"/>
          <w:lang w:val="en-US" w:eastAsia="zh-CN"/>
        </w:rPr>
      </w:pPr>
      <w:r>
        <w:rPr>
          <w:rFonts w:hint="default"/>
          <w:color w:val="auto"/>
          <w:lang w:val="en-US" w:eastAsia="zh-CN"/>
        </w:rPr>
        <w:t>高位水池</w:t>
      </w:r>
      <w:r>
        <w:rPr>
          <w:rFonts w:hint="eastAsia"/>
          <w:color w:val="auto"/>
          <w:lang w:val="en-US" w:eastAsia="zh-CN"/>
        </w:rPr>
        <w:t>位于破碎站旁</w:t>
      </w:r>
      <w:r>
        <w:rPr>
          <w:rFonts w:hint="default"/>
          <w:color w:val="auto"/>
          <w:lang w:val="en-US" w:eastAsia="zh-CN"/>
        </w:rPr>
        <w:t>，容积</w:t>
      </w:r>
      <w:r>
        <w:rPr>
          <w:rFonts w:hint="eastAsia" w:cs="Times New Roman"/>
          <w:color w:val="auto"/>
          <w:lang w:val="en-US" w:eastAsia="zh-CN"/>
        </w:rPr>
        <w:t>为200</w:t>
      </w:r>
      <w:r>
        <w:rPr>
          <w:rFonts w:hint="default"/>
          <w:color w:val="auto"/>
          <w:lang w:val="en-US" w:eastAsia="zh-CN"/>
        </w:rPr>
        <w:t>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水源来自刘家湾供水管网。</w:t>
      </w:r>
    </w:p>
    <w:p w14:paraId="03C64195">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4</w:t>
      </w:r>
      <w:r>
        <w:rPr>
          <w:rFonts w:hint="eastAsia" w:ascii="Times New Roman" w:hAnsi="Times New Roman" w:eastAsia="宋体" w:cs="Times New Roman"/>
          <w:color w:val="auto"/>
          <w:lang w:val="en-US" w:eastAsia="zh-CN"/>
        </w:rPr>
        <w:t>）工业辅助设施</w:t>
      </w:r>
    </w:p>
    <w:p w14:paraId="27D1539D">
      <w:pPr>
        <w:rPr>
          <w:rFonts w:hint="default" w:ascii="Times New Roman" w:hAnsi="Times New Roman" w:eastAsia="宋体" w:cs="Times New Roman"/>
          <w:color w:val="FF0000"/>
          <w:lang w:val="en-US" w:eastAsia="zh-CN"/>
        </w:rPr>
      </w:pPr>
      <w:r>
        <w:rPr>
          <w:rFonts w:hint="default" w:ascii="Times New Roman" w:hAnsi="Times New Roman" w:eastAsia="宋体" w:cs="Times New Roman"/>
          <w:color w:val="FF0000"/>
          <w:lang w:val="en-US" w:eastAsia="zh-CN"/>
        </w:rPr>
        <w:t>矿山工业场地在矿区东南侧，场地标高为+55m。工业场地内有办公室、洗车台、机修车间、综合材料库、食堂等设施。</w:t>
      </w:r>
    </w:p>
    <w:p w14:paraId="22F44B1E">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开拓运输系统</w:t>
      </w:r>
    </w:p>
    <w:p w14:paraId="260B7F17">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采用公路开拓、汽车运输。以破碎站卸料口为起点，沿山坡地形折返式向上延伸到采场各</w:t>
      </w:r>
      <w:r>
        <w:rPr>
          <w:rFonts w:hint="eastAsia" w:cs="Times New Roman"/>
          <w:color w:val="auto"/>
          <w:lang w:val="en-US" w:eastAsia="zh-CN"/>
        </w:rPr>
        <w:t>平台</w:t>
      </w:r>
      <w:r>
        <w:rPr>
          <w:rFonts w:hint="default" w:ascii="Times New Roman" w:hAnsi="Times New Roman" w:eastAsia="宋体" w:cs="Times New Roman"/>
          <w:color w:val="auto"/>
          <w:lang w:val="en-US" w:eastAsia="zh-CN"/>
        </w:rPr>
        <w:t>，平均运距约2.1km。运输道路采用双车道，路面宽18m，最小转弯半径25m，最大纵坡9%，纵坡限制坡长300m。</w:t>
      </w:r>
    </w:p>
    <w:p w14:paraId="0F6E3374">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采矿工艺</w:t>
      </w:r>
    </w:p>
    <w:p w14:paraId="4B58DED7">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开采方式</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FF0000"/>
          <w:lang w:val="en-US" w:eastAsia="zh-CN"/>
        </w:rPr>
        <w:t>矿山开采为+130m以上为山坡露天开采，+130m以下为凹陷露天开采。</w:t>
      </w:r>
    </w:p>
    <w:p w14:paraId="2CE86158">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开采顺序</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自上而下分台阶开采。</w:t>
      </w:r>
    </w:p>
    <w:p w14:paraId="22C26E55">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采场边坡要素</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台阶高度1</w:t>
      </w:r>
      <w:r>
        <w:rPr>
          <w:rFonts w:hint="eastAsia" w:cs="Times New Roman"/>
          <w:color w:val="auto"/>
          <w:lang w:val="en-US" w:eastAsia="zh-CN"/>
        </w:rPr>
        <w:t>5</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台阶坡面角约</w:t>
      </w:r>
      <w:r>
        <w:rPr>
          <w:rFonts w:hint="eastAsia" w:cs="Times New Roman"/>
          <w:color w:val="auto"/>
          <w:lang w:val="en-US" w:eastAsia="zh-CN"/>
        </w:rPr>
        <w:t>75</w:t>
      </w:r>
      <w:r>
        <w:rPr>
          <w:rFonts w:hint="eastAsia" w:ascii="宋体" w:hAnsi="宋体" w:eastAsia="宋体" w:cs="宋体"/>
          <w:color w:val="auto"/>
          <w:lang w:val="en-US" w:eastAsia="zh-CN"/>
        </w:rPr>
        <w:t>°</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3</w:t>
      </w:r>
      <w:r>
        <w:rPr>
          <w:rFonts w:hint="eastAsia" w:ascii="Times New Roman" w:hAnsi="Times New Roman" w:eastAsia="宋体" w:cs="Times New Roman"/>
          <w:color w:val="auto"/>
          <w:lang w:val="en-US" w:eastAsia="zh-CN"/>
        </w:rPr>
        <w:t>）</w:t>
      </w:r>
      <w:r>
        <w:rPr>
          <w:rFonts w:hint="eastAsia"/>
          <w:color w:val="000000" w:themeColor="text1"/>
          <w14:textFill>
            <w14:solidFill>
              <w14:schemeClr w14:val="tx1"/>
            </w14:solidFill>
          </w14:textFill>
        </w:rPr>
        <w:t>安全平台宽度</w:t>
      </w:r>
      <w:r>
        <w:rPr>
          <w:rFonts w:hint="eastAsia"/>
          <w:color w:val="000000" w:themeColor="text1"/>
          <w:lang w:val="en-US" w:eastAsia="zh-CN"/>
          <w14:textFill>
            <w14:solidFill>
              <w14:schemeClr w14:val="tx1"/>
            </w14:solidFill>
          </w14:textFill>
        </w:rPr>
        <w:t>南北帮6</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东西帮5m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4</w:t>
      </w:r>
      <w:r>
        <w:rPr>
          <w:rFonts w:hint="eastAsia" w:ascii="Times New Roman" w:hAnsi="Times New Roman" w:eastAsia="宋体" w:cs="Times New Roman"/>
          <w:color w:val="auto"/>
          <w:lang w:val="en-US" w:eastAsia="zh-CN"/>
        </w:rPr>
        <w:t>）</w:t>
      </w:r>
      <w:r>
        <w:rPr>
          <w:rFonts w:hint="eastAsia"/>
          <w:color w:val="000000" w:themeColor="text1"/>
          <w14:textFill>
            <w14:solidFill>
              <w14:schemeClr w14:val="tx1"/>
            </w14:solidFill>
          </w14:textFill>
        </w:rPr>
        <w:t>清扫平台宽度</w:t>
      </w:r>
      <w:r>
        <w:rPr>
          <w:rFonts w:hint="eastAsia"/>
          <w:color w:val="000000" w:themeColor="text1"/>
          <w:lang w:val="en-US" w:eastAsia="zh-CN"/>
          <w14:textFill>
            <w14:solidFill>
              <w14:schemeClr w14:val="tx1"/>
            </w14:solidFill>
          </w14:textFill>
        </w:rPr>
        <w:t>南北帮10</w:t>
      </w:r>
      <w:r>
        <w:rPr>
          <w:rFonts w:hint="eastAsia"/>
          <w:color w:val="000000" w:themeColor="text1"/>
          <w14:textFill>
            <w14:solidFill>
              <w14:schemeClr w14:val="tx1"/>
            </w14:solidFill>
          </w14:textFill>
        </w:rPr>
        <w:t>m</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东西帮8m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5</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采场最终边坡角4</w:t>
      </w:r>
      <w:r>
        <w:rPr>
          <w:rFonts w:hint="eastAsia" w:cs="Times New Roman"/>
          <w:color w:val="auto"/>
          <w:lang w:val="en-US" w:eastAsia="zh-CN"/>
        </w:rPr>
        <w:t>5</w:t>
      </w:r>
      <w:r>
        <w:rPr>
          <w:rFonts w:hint="eastAsia" w:ascii="宋体" w:hAnsi="宋体" w:eastAsia="宋体" w:cs="宋体"/>
          <w:color w:val="auto"/>
          <w:lang w:val="en-US" w:eastAsia="zh-CN"/>
        </w:rPr>
        <w:t>°</w:t>
      </w:r>
      <w:r>
        <w:rPr>
          <w:rFonts w:hint="default" w:ascii="Times New Roman" w:hAnsi="Times New Roman" w:eastAsia="宋体" w:cs="Times New Roman"/>
          <w:color w:val="auto"/>
          <w:lang w:val="en-US" w:eastAsia="zh-CN"/>
        </w:rPr>
        <w:t>～</w:t>
      </w:r>
      <w:r>
        <w:rPr>
          <w:rFonts w:hint="eastAsia" w:cs="Times New Roman"/>
          <w:color w:val="auto"/>
          <w:lang w:val="en-US" w:eastAsia="zh-CN"/>
        </w:rPr>
        <w:t>65</w:t>
      </w:r>
      <w:r>
        <w:rPr>
          <w:rFonts w:hint="eastAsia" w:ascii="宋体" w:hAnsi="宋体" w:eastAsia="宋体" w:cs="宋体"/>
          <w:color w:val="auto"/>
          <w:lang w:val="en-US" w:eastAsia="zh-CN"/>
        </w:rPr>
        <w:t>°</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6</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采场开采最大深度</w:t>
      </w:r>
      <w:r>
        <w:rPr>
          <w:rFonts w:hint="eastAsia" w:cs="Times New Roman"/>
          <w:color w:val="auto"/>
          <w:lang w:val="en-US" w:eastAsia="zh-CN"/>
        </w:rPr>
        <w:t>196</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7</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最小工作平台宽度</w:t>
      </w:r>
      <w:r>
        <w:rPr>
          <w:rFonts w:hint="eastAsia" w:cs="Times New Roman"/>
          <w:color w:val="auto"/>
          <w:lang w:val="en-US" w:eastAsia="zh-CN"/>
        </w:rPr>
        <w:t>54</w:t>
      </w:r>
      <w:r>
        <w:rPr>
          <w:rFonts w:hint="default" w:ascii="Times New Roman" w:hAnsi="Times New Roman" w:eastAsia="宋体" w:cs="Times New Roman"/>
          <w:color w:val="auto"/>
          <w:lang w:val="en-US" w:eastAsia="zh-CN"/>
        </w:rPr>
        <w:t>m。</w:t>
      </w:r>
    </w:p>
    <w:p w14:paraId="603093B1">
      <w:pPr>
        <w:pStyle w:val="4"/>
        <w:bidi w:val="0"/>
        <w:rPr>
          <w:rFonts w:hint="default"/>
          <w:color w:val="auto"/>
          <w:lang w:val="en-US" w:eastAsia="zh-CN"/>
        </w:rPr>
      </w:pPr>
      <w:bookmarkStart w:id="125" w:name="_Toc17160"/>
      <w:bookmarkStart w:id="126" w:name="_Toc26322"/>
      <w:bookmarkStart w:id="127" w:name="_Toc28823"/>
      <w:bookmarkStart w:id="128" w:name="_Toc32017"/>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2</w:t>
      </w:r>
      <w:r>
        <w:rPr>
          <w:rFonts w:hint="default"/>
          <w:color w:val="auto"/>
          <w:lang w:val="en-US" w:eastAsia="zh-CN"/>
        </w:rPr>
        <w:t xml:space="preserve"> 矿山开采上轮许可状况</w:t>
      </w:r>
      <w:bookmarkEnd w:id="125"/>
      <w:bookmarkEnd w:id="126"/>
      <w:bookmarkEnd w:id="127"/>
      <w:bookmarkEnd w:id="128"/>
    </w:p>
    <w:p w14:paraId="0926311C">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由广东万思邦科技有限公司20</w:t>
      </w:r>
      <w:r>
        <w:rPr>
          <w:rFonts w:hint="eastAsia" w:cs="Times New Roman"/>
          <w:color w:val="auto"/>
          <w:lang w:val="en-US" w:eastAsia="zh-CN"/>
        </w:rPr>
        <w:t>23</w:t>
      </w:r>
      <w:r>
        <w:rPr>
          <w:rFonts w:hint="default" w:ascii="Times New Roman" w:hAnsi="Times New Roman" w:eastAsia="宋体" w:cs="Times New Roman"/>
          <w:color w:val="auto"/>
          <w:lang w:val="en-US" w:eastAsia="zh-CN"/>
        </w:rPr>
        <w:t>年</w:t>
      </w:r>
      <w:r>
        <w:rPr>
          <w:rFonts w:hint="eastAsia" w:cs="Times New Roman"/>
          <w:color w:val="auto"/>
          <w:lang w:val="en-US" w:eastAsia="zh-CN"/>
        </w:rPr>
        <w:t>7</w:t>
      </w:r>
      <w:r>
        <w:rPr>
          <w:rFonts w:hint="default" w:ascii="Times New Roman" w:hAnsi="Times New Roman" w:eastAsia="宋体" w:cs="Times New Roman"/>
          <w:color w:val="auto"/>
          <w:lang w:val="en-US" w:eastAsia="zh-CN"/>
        </w:rPr>
        <w:t>月份提交了《弋阳海螺水泥有限责任公司江西省弋阳县曹溪二矿区制碱用灰岩矿800万吨/年采矿工程安全验收评价报告》，</w:t>
      </w:r>
      <w:r>
        <w:rPr>
          <w:rFonts w:hint="eastAsia" w:cs="Times New Roman"/>
          <w:color w:val="auto"/>
          <w:lang w:val="en-US" w:eastAsia="zh-CN"/>
        </w:rPr>
        <w:t>曹溪二矿</w:t>
      </w:r>
      <w:r>
        <w:rPr>
          <w:rFonts w:hint="default" w:ascii="Times New Roman" w:hAnsi="Times New Roman" w:eastAsia="宋体" w:cs="Times New Roman"/>
          <w:color w:val="auto"/>
          <w:lang w:val="en-US" w:eastAsia="zh-CN"/>
        </w:rPr>
        <w:t>露天开采工程采用公路开拓，汽车运输方式。通往采场的运输公路采用折返式布置，为山坡露天开采。最高</w:t>
      </w:r>
      <w:r>
        <w:rPr>
          <w:rFonts w:hint="eastAsia" w:ascii="Times New Roman" w:hAnsi="Times New Roman" w:eastAsia="宋体" w:cs="Times New Roman"/>
          <w:color w:val="auto"/>
          <w:lang w:val="en-US" w:eastAsia="zh-CN"/>
        </w:rPr>
        <w:t>平台</w:t>
      </w:r>
      <w:r>
        <w:rPr>
          <w:rFonts w:hint="default" w:ascii="Times New Roman" w:hAnsi="Times New Roman" w:eastAsia="宋体" w:cs="Times New Roman"/>
          <w:color w:val="auto"/>
          <w:lang w:val="en-US" w:eastAsia="zh-CN"/>
        </w:rPr>
        <w:t>标高+</w:t>
      </w:r>
      <w:r>
        <w:rPr>
          <w:rFonts w:hint="eastAsia" w:cs="Times New Roman"/>
          <w:color w:val="auto"/>
          <w:lang w:val="en-US" w:eastAsia="zh-CN"/>
        </w:rPr>
        <w:t>280</w:t>
      </w:r>
      <w:r>
        <w:rPr>
          <w:rFonts w:hint="default" w:ascii="Times New Roman" w:hAnsi="Times New Roman" w:eastAsia="宋体" w:cs="Times New Roman"/>
          <w:color w:val="auto"/>
          <w:lang w:val="en-US" w:eastAsia="zh-CN"/>
        </w:rPr>
        <w:t>m、最</w:t>
      </w:r>
      <w:r>
        <w:rPr>
          <w:rFonts w:hint="eastAsia" w:cs="Times New Roman"/>
          <w:color w:val="auto"/>
          <w:lang w:val="en-US" w:eastAsia="zh-CN"/>
        </w:rPr>
        <w:t>低</w:t>
      </w:r>
      <w:r>
        <w:rPr>
          <w:rFonts w:hint="eastAsia" w:ascii="Times New Roman" w:hAnsi="Times New Roman" w:eastAsia="宋体" w:cs="Times New Roman"/>
          <w:color w:val="auto"/>
          <w:lang w:val="en-US" w:eastAsia="zh-CN"/>
        </w:rPr>
        <w:t>平台</w:t>
      </w:r>
      <w:r>
        <w:rPr>
          <w:rFonts w:hint="default" w:ascii="Times New Roman" w:hAnsi="Times New Roman" w:eastAsia="宋体" w:cs="Times New Roman"/>
          <w:color w:val="auto"/>
          <w:lang w:val="en-US" w:eastAsia="zh-CN"/>
        </w:rPr>
        <w:t>标高</w:t>
      </w:r>
      <w:r>
        <w:rPr>
          <w:rFonts w:hint="eastAsia" w:cs="Times New Roman"/>
          <w:color w:val="auto"/>
          <w:lang w:val="en-US" w:eastAsia="zh-CN"/>
        </w:rPr>
        <w:t>+250</w:t>
      </w:r>
      <w:r>
        <w:rPr>
          <w:rFonts w:hint="default" w:ascii="Times New Roman" w:hAnsi="Times New Roman" w:eastAsia="宋体" w:cs="Times New Roman"/>
          <w:color w:val="auto"/>
          <w:lang w:val="en-US" w:eastAsia="zh-CN"/>
        </w:rPr>
        <w:t>m</w:t>
      </w:r>
      <w:r>
        <w:rPr>
          <w:rFonts w:hint="eastAsia" w:cs="Times New Roman"/>
          <w:color w:val="auto"/>
          <w:lang w:val="en-US" w:eastAsia="zh-CN"/>
        </w:rPr>
        <w:t>，未形成</w:t>
      </w:r>
      <w:r>
        <w:rPr>
          <w:rFonts w:hint="default" w:ascii="Times New Roman" w:hAnsi="Times New Roman" w:eastAsia="宋体" w:cs="Times New Roman"/>
          <w:color w:val="auto"/>
          <w:lang w:val="en-US" w:eastAsia="zh-CN"/>
        </w:rPr>
        <w:t>清扫平台</w:t>
      </w:r>
      <w:r>
        <w:rPr>
          <w:rFonts w:hint="eastAsia" w:cs="Times New Roman"/>
          <w:color w:val="auto"/>
          <w:lang w:val="en-US" w:eastAsia="zh-CN"/>
        </w:rPr>
        <w:t>和</w:t>
      </w:r>
      <w:r>
        <w:rPr>
          <w:rFonts w:hint="default" w:ascii="Times New Roman" w:hAnsi="Times New Roman" w:eastAsia="宋体" w:cs="Times New Roman"/>
          <w:color w:val="auto"/>
          <w:lang w:val="en-US" w:eastAsia="zh-CN"/>
        </w:rPr>
        <w:t>安全平台。</w:t>
      </w:r>
      <w:r>
        <w:rPr>
          <w:rFonts w:hint="eastAsia" w:cs="Times New Roman"/>
          <w:color w:val="auto"/>
          <w:lang w:val="en-US" w:eastAsia="zh-CN"/>
        </w:rPr>
        <w:t>生产平台</w:t>
      </w:r>
      <w:r>
        <w:rPr>
          <w:rFonts w:hint="default" w:ascii="Times New Roman" w:hAnsi="Times New Roman" w:eastAsia="宋体" w:cs="Times New Roman"/>
          <w:color w:val="auto"/>
          <w:lang w:val="en-US" w:eastAsia="zh-CN"/>
        </w:rPr>
        <w:t>为：+2</w:t>
      </w:r>
      <w:r>
        <w:rPr>
          <w:rFonts w:hint="eastAsia" w:cs="Times New Roman"/>
          <w:color w:val="auto"/>
          <w:lang w:val="en-US" w:eastAsia="zh-CN"/>
        </w:rPr>
        <w:t>65</w:t>
      </w:r>
      <w:r>
        <w:rPr>
          <w:rFonts w:hint="default" w:ascii="Times New Roman" w:hAnsi="Times New Roman" w:eastAsia="宋体" w:cs="Times New Roman"/>
          <w:color w:val="auto"/>
          <w:lang w:val="en-US" w:eastAsia="zh-CN"/>
        </w:rPr>
        <w:t>m、+2</w:t>
      </w:r>
      <w:r>
        <w:rPr>
          <w:rFonts w:hint="eastAsia" w:cs="Times New Roman"/>
          <w:color w:val="auto"/>
          <w:lang w:val="en-US" w:eastAsia="zh-CN"/>
        </w:rPr>
        <w:t>5</w:t>
      </w:r>
      <w:r>
        <w:rPr>
          <w:rFonts w:hint="default" w:ascii="Times New Roman" w:hAnsi="Times New Roman" w:eastAsia="宋体" w:cs="Times New Roman"/>
          <w:color w:val="auto"/>
          <w:lang w:val="en-US" w:eastAsia="zh-CN"/>
        </w:rPr>
        <w:t>0m平台。平台采剥作业台阶高度为1</w:t>
      </w:r>
      <w:r>
        <w:rPr>
          <w:rFonts w:hint="eastAsia" w:cs="Times New Roman"/>
          <w:color w:val="auto"/>
          <w:lang w:val="en-US" w:eastAsia="zh-CN"/>
        </w:rPr>
        <w:t>5</w:t>
      </w:r>
      <w:r>
        <w:rPr>
          <w:rFonts w:hint="default" w:ascii="Times New Roman" w:hAnsi="Times New Roman" w:eastAsia="宋体" w:cs="Times New Roman"/>
          <w:color w:val="auto"/>
          <w:lang w:val="en-US" w:eastAsia="zh-CN"/>
        </w:rPr>
        <w:t>m，采用1台型号为DM30型</w:t>
      </w:r>
      <w:r>
        <w:rPr>
          <w:rFonts w:hint="eastAsia" w:cs="Times New Roman"/>
          <w:color w:val="auto"/>
          <w:lang w:val="en-US" w:eastAsia="zh-CN"/>
        </w:rPr>
        <w:t>（</w:t>
      </w:r>
      <w:r>
        <w:rPr>
          <w:rFonts w:hint="default" w:ascii="Times New Roman" w:hAnsi="Times New Roman" w:eastAsia="宋体" w:cs="Times New Roman"/>
          <w:color w:val="auto"/>
          <w:lang w:val="en-US" w:eastAsia="zh-CN"/>
        </w:rPr>
        <w:t>直径</w:t>
      </w:r>
      <w:r>
        <w:rPr>
          <w:rFonts w:hint="eastAsia" w:ascii="宋体" w:hAnsi="宋体" w:eastAsia="宋体" w:cs="宋体"/>
          <w:color w:val="auto"/>
          <w:sz w:val="28"/>
          <w:szCs w:val="28"/>
          <w:lang w:val="zh-CN"/>
        </w:rPr>
        <w:t>φ</w:t>
      </w:r>
      <w:r>
        <w:rPr>
          <w:rFonts w:hint="default" w:ascii="Times New Roman" w:hAnsi="Times New Roman" w:eastAsia="宋体" w:cs="Times New Roman"/>
          <w:color w:val="auto"/>
          <w:lang w:val="en-US" w:eastAsia="zh-CN"/>
        </w:rPr>
        <w:t>170mm</w:t>
      </w:r>
      <w:r>
        <w:rPr>
          <w:rFonts w:hint="eastAsia" w:cs="Times New Roman"/>
          <w:color w:val="auto"/>
          <w:lang w:val="en-US" w:eastAsia="zh-CN"/>
        </w:rPr>
        <w:t>）和2台型号为D50型（直径</w:t>
      </w:r>
      <w:r>
        <w:rPr>
          <w:rFonts w:hint="eastAsia" w:cs="Times New Roman" w:eastAsiaTheme="minorEastAsia"/>
          <w:color w:val="auto"/>
          <w:lang w:val="en-US" w:eastAsia="zh-CN"/>
        </w:rPr>
        <w:t>φ</w:t>
      </w:r>
      <w:r>
        <w:rPr>
          <w:rFonts w:hint="eastAsia" w:cs="Times New Roman"/>
          <w:color w:val="auto"/>
          <w:lang w:val="en-US" w:eastAsia="zh-CN"/>
        </w:rPr>
        <w:t>140mm）液压潜孔钻机</w:t>
      </w:r>
      <w:r>
        <w:rPr>
          <w:rFonts w:hint="default" w:ascii="Times New Roman" w:hAnsi="Times New Roman" w:eastAsia="宋体" w:cs="Times New Roman"/>
          <w:color w:val="auto"/>
          <w:lang w:val="en-US" w:eastAsia="zh-CN"/>
        </w:rPr>
        <w:t>穿孔，爆破作业</w:t>
      </w:r>
      <w:r>
        <w:rPr>
          <w:rFonts w:hint="eastAsia" w:cs="Times New Roman"/>
          <w:color w:val="auto"/>
          <w:lang w:val="en-US" w:eastAsia="zh-CN"/>
        </w:rPr>
        <w:t>为</w:t>
      </w:r>
      <w:r>
        <w:rPr>
          <w:rFonts w:hint="default" w:ascii="Times New Roman" w:hAnsi="Times New Roman" w:eastAsia="宋体" w:cs="Times New Roman"/>
          <w:color w:val="auto"/>
          <w:lang w:val="en-US" w:eastAsia="zh-CN"/>
        </w:rPr>
        <w:t>深孔爆破</w:t>
      </w:r>
      <w:r>
        <w:rPr>
          <w:rFonts w:hint="eastAsia" w:cs="Times New Roman"/>
          <w:color w:val="auto"/>
          <w:lang w:val="en-US" w:eastAsia="zh-CN"/>
        </w:rPr>
        <w:t>，靠近最终边坡时，采用预裂爆破</w:t>
      </w:r>
      <w:r>
        <w:rPr>
          <w:rFonts w:hint="default" w:ascii="Times New Roman" w:hAnsi="Times New Roman" w:eastAsia="宋体" w:cs="Times New Roman"/>
          <w:color w:val="auto"/>
          <w:lang w:val="en-US" w:eastAsia="zh-CN"/>
        </w:rPr>
        <w:t>。铲装选用挖掘机配自卸式汽车，装车后运输至破碎站进行加工破碎。矿山配备了2台PC2000型（斗容12m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，最大挖掘高度13.4m）液压挖掘机，2台SH500LHD型（斗容2.8m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，最大挖掘高度10.56m）液压挖掘机，均配置破碎锤用于禁爆区机械开采及采场大块二次破；购有2台柳工856型（3.5m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）轮式装载机进行铲装作业。1</w:t>
      </w:r>
      <w:r>
        <w:rPr>
          <w:rFonts w:hint="eastAsia" w:cs="Times New Roman"/>
          <w:color w:val="auto"/>
          <w:lang w:val="en-US" w:eastAsia="zh-CN"/>
        </w:rPr>
        <w:t>3</w:t>
      </w:r>
      <w:r>
        <w:rPr>
          <w:rFonts w:hint="default" w:ascii="Times New Roman" w:hAnsi="Times New Roman" w:eastAsia="宋体" w:cs="Times New Roman"/>
          <w:color w:val="auto"/>
          <w:lang w:val="en-US" w:eastAsia="zh-CN"/>
        </w:rPr>
        <w:t>台TR100AT型（载重90t）矿用自卸汽车</w:t>
      </w:r>
      <w:r>
        <w:rPr>
          <w:rFonts w:hint="eastAsia" w:cs="Times New Roman"/>
          <w:color w:val="auto"/>
          <w:lang w:val="en-US" w:eastAsia="zh-CN"/>
        </w:rPr>
        <w:t>，其中12台使用，1台备用。</w:t>
      </w:r>
      <w:r>
        <w:rPr>
          <w:rFonts w:hint="default" w:ascii="Times New Roman" w:hAnsi="Times New Roman" w:eastAsia="宋体" w:cs="Times New Roman"/>
          <w:color w:val="auto"/>
          <w:lang w:val="en-US" w:eastAsia="zh-CN"/>
        </w:rPr>
        <w:t>2台DFH1180BX1V洒水车。</w:t>
      </w:r>
      <w:r>
        <w:rPr>
          <w:rFonts w:hint="eastAsia" w:cs="Times New Roman"/>
          <w:color w:val="auto"/>
          <w:lang w:val="en-US" w:eastAsia="zh-CN"/>
        </w:rPr>
        <w:t>矿区破碎站建有一座10kV变电所，S</w:t>
      </w:r>
      <w:r>
        <w:rPr>
          <w:rFonts w:hint="eastAsia" w:cs="Times New Roman"/>
          <w:color w:val="auto"/>
          <w:vertAlign w:val="subscript"/>
          <w:lang w:val="en-US" w:eastAsia="zh-CN"/>
        </w:rPr>
        <w:t>13</w:t>
      </w:r>
      <w:r>
        <w:rPr>
          <w:rFonts w:hint="eastAsia" w:cs="Times New Roman"/>
          <w:color w:val="auto"/>
          <w:lang w:val="en-US" w:eastAsia="zh-CN"/>
        </w:rPr>
        <w:t>-2000变压器1台，可为项目提供380V电源</w:t>
      </w:r>
      <w:r>
        <w:rPr>
          <w:rFonts w:hint="default" w:ascii="Times New Roman" w:hAnsi="Times New Roman" w:eastAsia="宋体" w:cs="Times New Roman"/>
          <w:color w:val="auto"/>
          <w:lang w:val="en-US" w:eastAsia="zh-CN"/>
        </w:rPr>
        <w:t>，10kV专用电源架空线路引自曹溪变电站。</w:t>
      </w:r>
    </w:p>
    <w:p w14:paraId="3ADBE286">
      <w:pPr>
        <w:pStyle w:val="4"/>
        <w:bidi w:val="0"/>
        <w:rPr>
          <w:rFonts w:hint="default"/>
          <w:color w:val="auto"/>
          <w:lang w:val="en-US" w:eastAsia="zh-CN"/>
        </w:rPr>
      </w:pPr>
      <w:bookmarkStart w:id="129" w:name="_Toc2807"/>
      <w:bookmarkStart w:id="130" w:name="_Toc25909"/>
      <w:bookmarkStart w:id="131" w:name="_Toc4415"/>
      <w:bookmarkStart w:id="132" w:name="_Toc11962"/>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3</w:t>
      </w:r>
      <w:r>
        <w:rPr>
          <w:rFonts w:hint="default"/>
          <w:color w:val="auto"/>
          <w:lang w:val="en-US" w:eastAsia="zh-CN"/>
        </w:rPr>
        <w:t xml:space="preserve"> 生产规模及工作制度</w:t>
      </w:r>
      <w:bookmarkEnd w:id="129"/>
      <w:bookmarkEnd w:id="130"/>
      <w:bookmarkEnd w:id="131"/>
      <w:bookmarkEnd w:id="132"/>
    </w:p>
    <w:p w14:paraId="3F59FB63">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生产规模</w:t>
      </w:r>
    </w:p>
    <w:p w14:paraId="0138E104">
      <w:pPr>
        <w:rPr>
          <w:rFonts w:hint="default"/>
          <w:color w:val="auto"/>
          <w:lang w:val="en-US" w:eastAsia="zh-CN"/>
        </w:rPr>
      </w:pPr>
      <w:r>
        <w:rPr>
          <w:rFonts w:hint="default"/>
          <w:color w:val="auto"/>
          <w:lang w:val="en-US" w:eastAsia="zh-CN"/>
        </w:rPr>
        <w:t>生产规模为</w:t>
      </w:r>
      <w:r>
        <w:rPr>
          <w:rFonts w:hint="eastAsia"/>
          <w:color w:val="auto"/>
          <w:lang w:val="en-US" w:eastAsia="zh-CN"/>
        </w:rPr>
        <w:t>8</w:t>
      </w:r>
      <w:r>
        <w:rPr>
          <w:rFonts w:hint="default"/>
          <w:color w:val="auto"/>
          <w:lang w:val="en-US" w:eastAsia="zh-CN"/>
        </w:rPr>
        <w:t>00万t/a。</w:t>
      </w:r>
    </w:p>
    <w:p w14:paraId="418F1A5C">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工作制度</w:t>
      </w:r>
    </w:p>
    <w:p w14:paraId="29491BB0">
      <w:pPr>
        <w:rPr>
          <w:rFonts w:hint="default"/>
          <w:color w:val="auto"/>
          <w:lang w:val="en-US" w:eastAsia="zh-CN"/>
        </w:rPr>
      </w:pPr>
      <w:r>
        <w:rPr>
          <w:rFonts w:hint="default"/>
          <w:color w:val="auto"/>
          <w:lang w:val="en-US" w:eastAsia="zh-CN"/>
        </w:rPr>
        <w:t>采用间断工作制，年工作300d，每天工作2班，每班工作8h，爆破作业在白天进行。</w:t>
      </w:r>
    </w:p>
    <w:p w14:paraId="1E628598">
      <w:pPr>
        <w:pStyle w:val="4"/>
        <w:bidi w:val="0"/>
        <w:rPr>
          <w:rFonts w:hint="default"/>
          <w:color w:val="auto"/>
          <w:lang w:val="en-US" w:eastAsia="zh-CN"/>
        </w:rPr>
      </w:pPr>
      <w:bookmarkStart w:id="133" w:name="_Toc29428"/>
      <w:bookmarkStart w:id="134" w:name="_Toc27558"/>
      <w:bookmarkStart w:id="135" w:name="_Toc28640"/>
      <w:bookmarkStart w:id="136" w:name="_Toc29912"/>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4</w:t>
      </w:r>
      <w:r>
        <w:rPr>
          <w:rFonts w:hint="default"/>
          <w:color w:val="auto"/>
          <w:lang w:val="en-US" w:eastAsia="zh-CN"/>
        </w:rPr>
        <w:t xml:space="preserve"> 总图运输</w:t>
      </w:r>
      <w:bookmarkEnd w:id="133"/>
      <w:bookmarkEnd w:id="134"/>
      <w:bookmarkEnd w:id="135"/>
      <w:bookmarkEnd w:id="136"/>
    </w:p>
    <w:p w14:paraId="4605A7CE">
      <w:pPr>
        <w:rPr>
          <w:rFonts w:hint="default"/>
          <w:color w:val="auto"/>
          <w:lang w:val="en-US" w:eastAsia="zh-CN"/>
        </w:rPr>
      </w:pPr>
      <w:r>
        <w:rPr>
          <w:rFonts w:hint="eastAsia" w:cs="Times New Roman"/>
          <w:color w:val="auto"/>
          <w:lang w:val="en-US" w:eastAsia="zh-CN"/>
        </w:rPr>
        <w:t>矿山组成</w:t>
      </w:r>
      <w:r>
        <w:rPr>
          <w:rFonts w:hint="default" w:ascii="Times New Roman" w:hAnsi="Times New Roman" w:eastAsia="宋体" w:cs="Times New Roman"/>
          <w:color w:val="auto"/>
          <w:lang w:val="en-US" w:eastAsia="zh-CN"/>
        </w:rPr>
        <w:t>主要</w:t>
      </w:r>
      <w:r>
        <w:rPr>
          <w:rFonts w:hint="eastAsia" w:cs="Times New Roman"/>
          <w:color w:val="auto"/>
          <w:lang w:val="en-US" w:eastAsia="zh-CN"/>
        </w:rPr>
        <w:t>为：</w:t>
      </w:r>
      <w:r>
        <w:rPr>
          <w:rFonts w:hint="default" w:ascii="Times New Roman" w:hAnsi="Times New Roman" w:eastAsia="宋体" w:cs="Times New Roman"/>
          <w:color w:val="auto"/>
          <w:lang w:val="en-US" w:eastAsia="zh-CN"/>
        </w:rPr>
        <w:t>露天采场、破碎系统工业场地、工业辅助设施等</w:t>
      </w:r>
      <w:r>
        <w:rPr>
          <w:rFonts w:hint="default"/>
          <w:color w:val="auto"/>
          <w:lang w:val="en-US" w:eastAsia="zh-CN"/>
        </w:rPr>
        <w:t>。</w:t>
      </w:r>
    </w:p>
    <w:p w14:paraId="7E933F9B">
      <w:pPr>
        <w:rPr>
          <w:rFonts w:hint="eastAsia"/>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ascii="Times New Roman" w:hAnsi="Times New Roman" w:eastAsia="宋体" w:cs="Times New Roman"/>
          <w:color w:val="auto"/>
          <w:lang w:val="en-US" w:eastAsia="zh-CN"/>
        </w:rPr>
        <w:t>露天采场</w:t>
      </w:r>
    </w:p>
    <w:p w14:paraId="026B8842">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露天采场位于矿山采矿权范围内，最高</w:t>
      </w:r>
      <w:r>
        <w:rPr>
          <w:rFonts w:hint="eastAsia" w:cs="Times New Roman"/>
          <w:color w:val="auto"/>
          <w:lang w:val="en-US" w:eastAsia="zh-CN"/>
        </w:rPr>
        <w:t>台段</w:t>
      </w:r>
      <w:r>
        <w:rPr>
          <w:rFonts w:hint="eastAsia" w:ascii="Times New Roman" w:hAnsi="Times New Roman" w:eastAsia="宋体" w:cs="Times New Roman"/>
          <w:color w:val="auto"/>
          <w:lang w:val="en-US" w:eastAsia="zh-CN"/>
        </w:rPr>
        <w:t>标高：+280m，最低开采标高：+100m。</w:t>
      </w:r>
    </w:p>
    <w:p w14:paraId="689FA532">
      <w:pPr>
        <w:rPr>
          <w:rFonts w:hint="default"/>
          <w:color w:val="auto"/>
          <w:lang w:val="en-US" w:eastAsia="zh-CN"/>
        </w:rPr>
      </w:pPr>
      <w:r>
        <w:rPr>
          <w:rFonts w:hint="eastAsia"/>
          <w:color w:val="auto"/>
          <w:lang w:val="en-US" w:eastAsia="zh-CN"/>
        </w:rPr>
        <w:t xml:space="preserve">2. </w:t>
      </w:r>
      <w:r>
        <w:rPr>
          <w:rFonts w:hint="default" w:ascii="Times New Roman" w:hAnsi="Times New Roman" w:eastAsia="宋体" w:cs="Times New Roman"/>
          <w:color w:val="auto"/>
          <w:lang w:val="en-US" w:eastAsia="zh-CN"/>
        </w:rPr>
        <w:t>破碎系统工业场地</w:t>
      </w:r>
    </w:p>
    <w:p w14:paraId="5CA68E02">
      <w:pPr>
        <w:rPr>
          <w:rFonts w:hint="default" w:ascii="Times New Roman" w:hAnsi="Times New Roman" w:eastAsia="宋体" w:cs="Times New Roman"/>
          <w:color w:val="auto"/>
          <w:lang w:val="en-US" w:eastAsia="zh-CN"/>
        </w:rPr>
      </w:pPr>
      <w:r>
        <w:rPr>
          <w:rFonts w:hint="eastAsia" w:cs="Times New Roman"/>
          <w:color w:val="auto"/>
          <w:lang w:val="en-US" w:eastAsia="zh-CN"/>
        </w:rPr>
        <w:t>目前</w:t>
      </w:r>
      <w:r>
        <w:rPr>
          <w:rFonts w:hint="default" w:ascii="Times New Roman" w:hAnsi="Times New Roman" w:eastAsia="宋体" w:cs="Times New Roman"/>
          <w:color w:val="auto"/>
          <w:lang w:val="en-US" w:eastAsia="zh-CN"/>
        </w:rPr>
        <w:t>破碎站位于矿区南侧</w:t>
      </w:r>
      <w:r>
        <w:rPr>
          <w:rFonts w:hint="eastAsia" w:cs="Times New Roman"/>
          <w:color w:val="auto"/>
          <w:lang w:val="en-US" w:eastAsia="zh-CN"/>
        </w:rPr>
        <w:t>（</w:t>
      </w:r>
      <w:r>
        <w:rPr>
          <w:rFonts w:hint="default" w:ascii="Times New Roman" w:hAnsi="Times New Roman" w:eastAsia="宋体" w:cs="Times New Roman"/>
          <w:color w:val="auto"/>
          <w:lang w:val="en-US" w:eastAsia="zh-CN"/>
        </w:rPr>
        <w:t>曹溪一矿矿权范围内</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p>
    <w:p w14:paraId="74991C2F">
      <w:pPr>
        <w:rPr>
          <w:rFonts w:hint="default"/>
          <w:color w:val="auto"/>
          <w:lang w:val="en-US" w:eastAsia="zh-CN"/>
        </w:rPr>
      </w:pPr>
      <w:r>
        <w:rPr>
          <w:rFonts w:hint="default"/>
          <w:color w:val="auto"/>
          <w:lang w:val="en-US" w:eastAsia="zh-CN"/>
        </w:rPr>
        <w:t>高位水池</w:t>
      </w:r>
      <w:r>
        <w:rPr>
          <w:rFonts w:hint="eastAsia"/>
          <w:color w:val="auto"/>
          <w:lang w:val="en-US" w:eastAsia="zh-CN"/>
        </w:rPr>
        <w:t>位于破碎站旁</w:t>
      </w:r>
      <w:r>
        <w:rPr>
          <w:rFonts w:hint="default"/>
          <w:color w:val="auto"/>
          <w:lang w:val="en-US" w:eastAsia="zh-CN"/>
        </w:rPr>
        <w:t>，容积</w:t>
      </w:r>
      <w:r>
        <w:rPr>
          <w:rFonts w:hint="eastAsia" w:cs="Times New Roman"/>
          <w:color w:val="auto"/>
          <w:lang w:val="en-US" w:eastAsia="zh-CN"/>
        </w:rPr>
        <w:t>为200</w:t>
      </w:r>
      <w:r>
        <w:rPr>
          <w:rFonts w:hint="default"/>
          <w:color w:val="auto"/>
          <w:lang w:val="en-US" w:eastAsia="zh-CN"/>
        </w:rPr>
        <w:t>m</w:t>
      </w:r>
      <w:r>
        <w:rPr>
          <w:rFonts w:hint="eastAsia"/>
          <w:color w:val="auto"/>
          <w:vertAlign w:val="superscript"/>
          <w:lang w:val="en-US" w:eastAsia="zh-CN"/>
        </w:rPr>
        <w:t>3</w:t>
      </w:r>
      <w:r>
        <w:rPr>
          <w:rFonts w:hint="eastAsia"/>
          <w:color w:val="auto"/>
          <w:vertAlign w:val="baseline"/>
          <w:lang w:val="en-US" w:eastAsia="zh-CN"/>
        </w:rPr>
        <w:t>，</w:t>
      </w:r>
      <w:r>
        <w:rPr>
          <w:rFonts w:hint="eastAsia"/>
          <w:color w:val="auto"/>
          <w:lang w:val="en-US" w:eastAsia="zh-CN"/>
        </w:rPr>
        <w:t>水源来自刘家湾供水管网。</w:t>
      </w:r>
    </w:p>
    <w:p w14:paraId="64672C6D">
      <w:pP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3. </w:t>
      </w:r>
      <w:r>
        <w:rPr>
          <w:rFonts w:hint="default" w:ascii="Times New Roman" w:hAnsi="Times New Roman" w:eastAsia="宋体" w:cs="Times New Roman"/>
          <w:color w:val="auto"/>
          <w:lang w:val="en-US" w:eastAsia="zh-CN"/>
        </w:rPr>
        <w:t>工业辅助设施</w:t>
      </w:r>
    </w:p>
    <w:p w14:paraId="0934EDD5">
      <w:pPr>
        <w:rPr>
          <w:rFonts w:hint="default" w:ascii="Times New Roman" w:hAnsi="Times New Roman" w:eastAsia="宋体" w:cs="Times New Roman"/>
          <w:color w:val="FF0000"/>
          <w:lang w:val="en-US" w:eastAsia="zh-CN"/>
        </w:rPr>
      </w:pPr>
      <w:bookmarkStart w:id="137" w:name="_Toc19061"/>
      <w:bookmarkStart w:id="138" w:name="_Toc7232"/>
      <w:bookmarkStart w:id="139" w:name="_Toc20708"/>
      <w:r>
        <w:rPr>
          <w:rFonts w:hint="default" w:ascii="Times New Roman" w:hAnsi="Times New Roman" w:eastAsia="宋体" w:cs="Times New Roman"/>
          <w:color w:val="FF0000"/>
          <w:lang w:val="en-US" w:eastAsia="zh-CN"/>
        </w:rPr>
        <w:t>矿山工业场地在矿区东南侧，场地标高为+55m。工业场地内有办公室、洗车台、机修车间、综合材料库、食堂等设施。</w:t>
      </w:r>
    </w:p>
    <w:p w14:paraId="35284E93">
      <w:pPr>
        <w:bidi w:val="0"/>
        <w:rPr>
          <w:rFonts w:hint="default"/>
          <w:color w:val="FF0000"/>
          <w:lang w:val="en-US" w:eastAsia="zh-CN"/>
        </w:rPr>
      </w:pPr>
      <w:r>
        <w:rPr>
          <w:rFonts w:hint="eastAsia"/>
          <w:color w:val="FF0000"/>
          <w:lang w:val="en-US" w:eastAsia="zh-CN"/>
        </w:rPr>
        <w:t>4. 其他</w:t>
      </w:r>
    </w:p>
    <w:p w14:paraId="46A488E8">
      <w:pPr>
        <w:bidi w:val="0"/>
        <w:rPr>
          <w:rFonts w:hint="default"/>
          <w:color w:val="FF0000"/>
          <w:lang w:val="en-US" w:eastAsia="zh-CN"/>
        </w:rPr>
      </w:pPr>
      <w:r>
        <w:rPr>
          <w:rFonts w:hint="eastAsia"/>
          <w:color w:val="FF0000"/>
          <w:lang w:val="en-US" w:eastAsia="zh-CN"/>
        </w:rPr>
        <w:t>矿山</w:t>
      </w:r>
      <w:r>
        <w:rPr>
          <w:rFonts w:hint="default"/>
          <w:color w:val="FF0000"/>
          <w:lang w:val="en-US" w:eastAsia="zh-CN"/>
        </w:rPr>
        <w:t>爆破材料库位于距矿山约6km处的弋阳县三县岭乡油溪村，由弋阳县安泽民爆器材专营有限责任公司管理。</w:t>
      </w:r>
    </w:p>
    <w:p w14:paraId="60793C7B">
      <w:pPr>
        <w:pStyle w:val="4"/>
        <w:bidi w:val="0"/>
        <w:rPr>
          <w:rFonts w:hint="default"/>
          <w:color w:val="auto"/>
          <w:lang w:val="en-US" w:eastAsia="zh-CN"/>
        </w:rPr>
      </w:pPr>
      <w:bookmarkStart w:id="140" w:name="_Toc13552"/>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5</w:t>
      </w:r>
      <w:r>
        <w:rPr>
          <w:rFonts w:hint="default"/>
          <w:color w:val="auto"/>
          <w:lang w:val="en-US" w:eastAsia="zh-CN"/>
        </w:rPr>
        <w:t xml:space="preserve"> 开采范围</w:t>
      </w:r>
      <w:bookmarkEnd w:id="137"/>
      <w:bookmarkEnd w:id="138"/>
      <w:bookmarkEnd w:id="139"/>
      <w:bookmarkEnd w:id="140"/>
    </w:p>
    <w:p w14:paraId="6B71EF68">
      <w:pPr>
        <w:rPr>
          <w:rFonts w:hint="default"/>
          <w:color w:val="auto"/>
          <w:lang w:val="en-US" w:eastAsia="zh-CN"/>
        </w:rPr>
      </w:pPr>
      <w:r>
        <w:rPr>
          <w:rFonts w:hint="default"/>
          <w:color w:val="auto"/>
          <w:lang w:val="en-US" w:eastAsia="zh-CN"/>
        </w:rPr>
        <w:t>开采范围</w:t>
      </w:r>
      <w:r>
        <w:rPr>
          <w:rFonts w:hint="eastAsia"/>
          <w:color w:val="auto"/>
          <w:lang w:val="en-US" w:eastAsia="zh-CN"/>
        </w:rPr>
        <w:t>：</w:t>
      </w:r>
      <w:r>
        <w:rPr>
          <w:rFonts w:hint="default"/>
          <w:color w:val="auto"/>
          <w:lang w:val="en-US" w:eastAsia="zh-CN"/>
        </w:rPr>
        <w:t>《采矿许可证》划定的矿区开采范围</w:t>
      </w:r>
      <w:r>
        <w:rPr>
          <w:rFonts w:hint="eastAsia"/>
          <w:color w:val="auto"/>
          <w:lang w:val="en-US" w:eastAsia="zh-CN"/>
        </w:rPr>
        <w:t>9</w:t>
      </w:r>
      <w:r>
        <w:rPr>
          <w:rFonts w:hint="default"/>
          <w:color w:val="auto"/>
          <w:lang w:val="en-US" w:eastAsia="zh-CN"/>
        </w:rPr>
        <w:t>个拐点圈定，矿区面积为0.6633km</w:t>
      </w:r>
      <w:r>
        <w:rPr>
          <w:rFonts w:hint="eastAsia"/>
          <w:color w:val="auto"/>
          <w:vertAlign w:val="superscript"/>
          <w:lang w:val="en-US" w:eastAsia="zh-CN"/>
        </w:rPr>
        <w:t>2</w:t>
      </w:r>
      <w:r>
        <w:rPr>
          <w:rFonts w:hint="default"/>
          <w:color w:val="auto"/>
          <w:lang w:val="en-US" w:eastAsia="zh-CN"/>
        </w:rPr>
        <w:t>，开采深度+</w:t>
      </w:r>
      <w:r>
        <w:rPr>
          <w:rFonts w:hint="eastAsia"/>
          <w:color w:val="auto"/>
          <w:lang w:val="en-US" w:eastAsia="zh-CN"/>
        </w:rPr>
        <w:t>329</w:t>
      </w:r>
      <w:r>
        <w:rPr>
          <w:rFonts w:hint="default"/>
          <w:color w:val="auto"/>
          <w:lang w:val="en-US" w:eastAsia="zh-CN"/>
        </w:rPr>
        <w:t>m</w:t>
      </w:r>
      <w:r>
        <w:rPr>
          <w:rFonts w:hint="default" w:ascii="Times New Roman" w:hAnsi="Times New Roman" w:eastAsia="宋体" w:cs="Times New Roman"/>
          <w:color w:val="auto"/>
          <w:lang w:val="en-US" w:eastAsia="zh-CN"/>
        </w:rPr>
        <w:t>～</w:t>
      </w:r>
      <w:r>
        <w:rPr>
          <w:rFonts w:hint="default"/>
          <w:color w:val="auto"/>
          <w:lang w:val="en-US" w:eastAsia="zh-CN"/>
        </w:rPr>
        <w:t>+</w:t>
      </w:r>
      <w:r>
        <w:rPr>
          <w:rFonts w:hint="eastAsia"/>
          <w:color w:val="auto"/>
          <w:lang w:val="en-US" w:eastAsia="zh-CN"/>
        </w:rPr>
        <w:t>100</w:t>
      </w:r>
      <w:r>
        <w:rPr>
          <w:rFonts w:hint="default"/>
          <w:color w:val="auto"/>
          <w:lang w:val="en-US" w:eastAsia="zh-CN"/>
        </w:rPr>
        <w:t>m。</w:t>
      </w:r>
    </w:p>
    <w:p w14:paraId="18831CB0">
      <w:pPr>
        <w:pStyle w:val="4"/>
        <w:bidi w:val="0"/>
        <w:rPr>
          <w:rFonts w:hint="default"/>
          <w:color w:val="auto"/>
          <w:lang w:val="en-US" w:eastAsia="zh-CN"/>
        </w:rPr>
      </w:pPr>
      <w:bookmarkStart w:id="141" w:name="_Toc3405"/>
      <w:bookmarkStart w:id="142" w:name="_Toc1833"/>
      <w:bookmarkStart w:id="143" w:name="_Toc27545"/>
      <w:bookmarkStart w:id="144" w:name="_Toc23200"/>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6</w:t>
      </w:r>
      <w:r>
        <w:rPr>
          <w:rFonts w:hint="default"/>
          <w:color w:val="auto"/>
          <w:lang w:val="en-US" w:eastAsia="zh-CN"/>
        </w:rPr>
        <w:t xml:space="preserve"> 开拓运输</w:t>
      </w:r>
      <w:bookmarkEnd w:id="141"/>
      <w:bookmarkEnd w:id="142"/>
      <w:bookmarkEnd w:id="143"/>
      <w:bookmarkEnd w:id="144"/>
    </w:p>
    <w:p w14:paraId="586BE8F3">
      <w:pPr>
        <w:rPr>
          <w:rFonts w:hint="default"/>
          <w:color w:val="auto"/>
          <w:lang w:val="en-US" w:eastAsia="zh-CN"/>
        </w:rPr>
      </w:pPr>
      <w:r>
        <w:rPr>
          <w:rFonts w:hint="default"/>
          <w:color w:val="auto"/>
          <w:lang w:val="en-US" w:eastAsia="zh-CN"/>
        </w:rPr>
        <w:t>1</w:t>
      </w:r>
      <w:r>
        <w:rPr>
          <w:rFonts w:hint="eastAsia" w:ascii="Times New Roman" w:hAnsi="Times New Roman" w:eastAsia="宋体" w:cs="Times New Roman"/>
          <w:color w:val="auto"/>
          <w:lang w:val="en-US" w:eastAsia="zh-CN"/>
        </w:rPr>
        <w:t xml:space="preserve">. </w:t>
      </w:r>
      <w:r>
        <w:rPr>
          <w:rFonts w:hint="default"/>
          <w:color w:val="auto"/>
          <w:lang w:val="en-US" w:eastAsia="zh-CN"/>
        </w:rPr>
        <w:t>开拓</w:t>
      </w:r>
      <w:r>
        <w:rPr>
          <w:rFonts w:hint="eastAsia"/>
          <w:color w:val="auto"/>
          <w:lang w:val="en-US" w:eastAsia="zh-CN"/>
        </w:rPr>
        <w:t>方式</w:t>
      </w:r>
    </w:p>
    <w:p w14:paraId="59321DBA">
      <w:pPr>
        <w:rPr>
          <w:rFonts w:hint="default"/>
          <w:color w:val="auto"/>
          <w:lang w:val="en-US" w:eastAsia="zh-CN"/>
        </w:rPr>
      </w:pPr>
      <w:r>
        <w:rPr>
          <w:rFonts w:hint="default"/>
          <w:color w:val="auto"/>
          <w:lang w:val="en-US" w:eastAsia="zh-CN"/>
        </w:rPr>
        <w:t>依据矿山开采方式，</w:t>
      </w:r>
      <w:r>
        <w:rPr>
          <w:rFonts w:hint="default"/>
          <w:color w:val="FF0000"/>
          <w:lang w:val="en-US" w:eastAsia="zh-CN"/>
        </w:rPr>
        <w:t>采用公路开拓</w:t>
      </w:r>
      <w:r>
        <w:rPr>
          <w:rFonts w:hint="default"/>
          <w:color w:val="auto"/>
          <w:lang w:val="en-US" w:eastAsia="zh-CN"/>
        </w:rPr>
        <w:t>，通往采场的运矿道路采用折返式布置，运矿道路以破碎站卸料口为起点，沿山坡地形折返式向上延伸到采场各</w:t>
      </w:r>
      <w:r>
        <w:rPr>
          <w:rFonts w:hint="eastAsia"/>
          <w:color w:val="auto"/>
          <w:lang w:val="en-US" w:eastAsia="zh-CN"/>
        </w:rPr>
        <w:t>平台</w:t>
      </w:r>
      <w:r>
        <w:rPr>
          <w:rFonts w:hint="default"/>
          <w:color w:val="auto"/>
          <w:lang w:val="en-US" w:eastAsia="zh-CN"/>
        </w:rPr>
        <w:t>。开拓运输道路采用双车道，路面宽18m，最小转弯半径25m，最大纵坡9%，纵坡限制坡长300m。</w:t>
      </w:r>
    </w:p>
    <w:p w14:paraId="76030C65">
      <w:pPr>
        <w:rPr>
          <w:rFonts w:hint="default"/>
          <w:color w:val="FF0000"/>
          <w:lang w:val="en-US" w:eastAsia="zh-CN"/>
        </w:rPr>
      </w:pPr>
      <w:r>
        <w:rPr>
          <w:rFonts w:hint="default"/>
          <w:color w:val="FF0000"/>
          <w:lang w:val="en-US" w:eastAsia="zh-CN"/>
        </w:rPr>
        <w:t>路旁设置有排水沟、限速标志和安全警示标志等，破碎站卸料口至各个平台的道路为泥结碎石道路，路旁采用土石混合设置有车挡。</w:t>
      </w:r>
    </w:p>
    <w:p w14:paraId="496B9628">
      <w:pPr>
        <w:rPr>
          <w:rFonts w:hint="default"/>
          <w:color w:val="auto"/>
          <w:lang w:val="en-US" w:eastAsia="zh-CN"/>
        </w:rPr>
      </w:pPr>
      <w:r>
        <w:rPr>
          <w:rFonts w:hint="default"/>
          <w:color w:val="auto"/>
          <w:lang w:val="en-US" w:eastAsia="zh-CN"/>
        </w:rPr>
        <w:t>2</w:t>
      </w:r>
      <w:r>
        <w:rPr>
          <w:rFonts w:hint="eastAsia" w:ascii="Times New Roman" w:hAnsi="Times New Roman" w:eastAsia="宋体" w:cs="Times New Roman"/>
          <w:color w:val="auto"/>
          <w:lang w:val="en-US" w:eastAsia="zh-CN"/>
        </w:rPr>
        <w:t xml:space="preserve">. </w:t>
      </w:r>
      <w:r>
        <w:rPr>
          <w:rFonts w:hint="default"/>
          <w:color w:val="auto"/>
          <w:lang w:val="en-US" w:eastAsia="zh-CN"/>
        </w:rPr>
        <w:t>运输方</w:t>
      </w:r>
      <w:r>
        <w:rPr>
          <w:rFonts w:hint="eastAsia"/>
          <w:color w:val="auto"/>
          <w:lang w:val="en-US" w:eastAsia="zh-CN"/>
        </w:rPr>
        <w:t>式</w:t>
      </w:r>
    </w:p>
    <w:p w14:paraId="000082C6">
      <w:pPr>
        <w:rPr>
          <w:rFonts w:hint="default"/>
          <w:color w:val="auto"/>
          <w:lang w:val="en-US" w:eastAsia="zh-CN"/>
        </w:rPr>
      </w:pPr>
      <w:r>
        <w:rPr>
          <w:rFonts w:hint="default"/>
          <w:color w:val="auto"/>
          <w:lang w:val="en-US" w:eastAsia="zh-CN"/>
        </w:rPr>
        <w:t>矿山运输车辆选用</w:t>
      </w:r>
      <w:r>
        <w:rPr>
          <w:rFonts w:hint="eastAsia"/>
          <w:color w:val="auto"/>
          <w:lang w:val="en-US" w:eastAsia="zh-CN"/>
        </w:rPr>
        <w:t>4台</w:t>
      </w:r>
      <w:r>
        <w:rPr>
          <w:rFonts w:hint="default"/>
          <w:color w:val="auto"/>
          <w:lang w:val="en-US" w:eastAsia="zh-CN"/>
        </w:rPr>
        <w:t>TR</w:t>
      </w:r>
      <w:r>
        <w:rPr>
          <w:rFonts w:hint="eastAsia"/>
          <w:color w:val="auto"/>
          <w:lang w:val="en-US" w:eastAsia="zh-CN"/>
        </w:rPr>
        <w:t>50</w:t>
      </w:r>
      <w:r>
        <w:rPr>
          <w:rFonts w:hint="default"/>
          <w:color w:val="auto"/>
          <w:lang w:val="en-US" w:eastAsia="zh-CN"/>
        </w:rPr>
        <w:t>型（载重</w:t>
      </w:r>
      <w:r>
        <w:rPr>
          <w:rFonts w:hint="eastAsia"/>
          <w:color w:val="auto"/>
          <w:lang w:val="en-US" w:eastAsia="zh-CN"/>
        </w:rPr>
        <w:t>45</w:t>
      </w:r>
      <w:r>
        <w:rPr>
          <w:rFonts w:hint="default"/>
          <w:color w:val="auto"/>
          <w:lang w:val="en-US" w:eastAsia="zh-CN"/>
        </w:rPr>
        <w:t>t）</w:t>
      </w:r>
      <w:r>
        <w:rPr>
          <w:rFonts w:hint="eastAsia"/>
          <w:color w:val="auto"/>
          <w:lang w:val="en-US" w:eastAsia="zh-CN"/>
        </w:rPr>
        <w:t>和7台</w:t>
      </w:r>
      <w:r>
        <w:rPr>
          <w:rFonts w:hint="default" w:ascii="Times New Roman" w:hAnsi="Times New Roman" w:eastAsia="宋体" w:cs="Times New Roman"/>
          <w:color w:val="auto"/>
          <w:lang w:val="en-US" w:eastAsia="zh-CN"/>
        </w:rPr>
        <w:t>TR100AT型</w:t>
      </w:r>
      <w:r>
        <w:rPr>
          <w:rFonts w:hint="default"/>
          <w:color w:val="auto"/>
          <w:lang w:val="en-US" w:eastAsia="zh-CN"/>
        </w:rPr>
        <w:t>（载重</w:t>
      </w:r>
      <w:r>
        <w:rPr>
          <w:rFonts w:hint="eastAsia"/>
          <w:color w:val="auto"/>
          <w:lang w:val="en-US" w:eastAsia="zh-CN"/>
        </w:rPr>
        <w:t>90</w:t>
      </w:r>
      <w:r>
        <w:rPr>
          <w:rFonts w:hint="default"/>
          <w:color w:val="auto"/>
          <w:lang w:val="en-US" w:eastAsia="zh-CN"/>
        </w:rPr>
        <w:t>t）矿用自卸汽车</w:t>
      </w:r>
      <w:r>
        <w:rPr>
          <w:rFonts w:hint="eastAsia"/>
          <w:color w:val="auto"/>
          <w:lang w:val="en-US" w:eastAsia="zh-CN"/>
        </w:rPr>
        <w:t>，</w:t>
      </w:r>
      <w:r>
        <w:rPr>
          <w:rFonts w:hint="default"/>
          <w:color w:val="auto"/>
          <w:lang w:val="en-US" w:eastAsia="zh-CN"/>
        </w:rPr>
        <w:t>采场内采出的矿石经矿用自卸式汽车运输至破碎站进行加工破碎。</w:t>
      </w:r>
    </w:p>
    <w:p w14:paraId="1F4B7EBD">
      <w:pPr>
        <w:pStyle w:val="4"/>
        <w:bidi w:val="0"/>
        <w:rPr>
          <w:rFonts w:hint="default"/>
          <w:color w:val="auto"/>
          <w:lang w:val="en-US" w:eastAsia="zh-CN"/>
        </w:rPr>
      </w:pPr>
      <w:bookmarkStart w:id="145" w:name="_Toc843"/>
      <w:bookmarkStart w:id="146" w:name="_Toc16748"/>
      <w:bookmarkStart w:id="147" w:name="_Toc23589"/>
      <w:bookmarkStart w:id="148" w:name="_Toc31747"/>
      <w:r>
        <w:rPr>
          <w:rFonts w:hint="default"/>
          <w:color w:val="auto"/>
          <w:lang w:val="en-US" w:eastAsia="zh-CN"/>
        </w:rPr>
        <w:t>2.</w:t>
      </w:r>
      <w:r>
        <w:rPr>
          <w:rFonts w:hint="eastAsia"/>
          <w:color w:val="auto"/>
          <w:lang w:val="en-US" w:eastAsia="zh-CN"/>
        </w:rPr>
        <w:t>4</w:t>
      </w:r>
      <w:r>
        <w:rPr>
          <w:rFonts w:hint="default"/>
          <w:color w:val="auto"/>
          <w:lang w:val="en-US" w:eastAsia="zh-CN"/>
        </w:rPr>
        <w:t>.</w:t>
      </w:r>
      <w:r>
        <w:rPr>
          <w:rFonts w:hint="eastAsia"/>
          <w:color w:val="auto"/>
          <w:lang w:val="en-US" w:eastAsia="zh-CN"/>
        </w:rPr>
        <w:t>7</w:t>
      </w:r>
      <w:r>
        <w:rPr>
          <w:rFonts w:hint="default"/>
          <w:color w:val="auto"/>
          <w:lang w:val="en-US" w:eastAsia="zh-CN"/>
        </w:rPr>
        <w:t xml:space="preserve"> 采矿工艺</w:t>
      </w:r>
      <w:bookmarkEnd w:id="145"/>
      <w:bookmarkEnd w:id="146"/>
      <w:bookmarkEnd w:id="147"/>
      <w:bookmarkEnd w:id="148"/>
    </w:p>
    <w:p w14:paraId="26D825BB">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开采方式</w:t>
      </w:r>
      <w:r>
        <w:rPr>
          <w:rFonts w:hint="eastAsia"/>
          <w:color w:val="auto"/>
          <w:lang w:val="en-US" w:eastAsia="zh-CN"/>
        </w:rPr>
        <w:t>：</w:t>
      </w:r>
      <w:r>
        <w:rPr>
          <w:rFonts w:hint="default"/>
          <w:color w:val="auto"/>
          <w:lang w:val="en-US" w:eastAsia="zh-CN"/>
        </w:rPr>
        <w:t>矿山采用自上而下分台阶开采，根据矿体赋存条件，工作面采用垂直矿体布置、沿矿体走向推进或采用扇形布置等两种方式进行开采，以适应矿石规模逐渐扩大的要求</w:t>
      </w:r>
      <w:r>
        <w:rPr>
          <w:rFonts w:hint="eastAsia"/>
          <w:color w:val="auto"/>
          <w:lang w:val="en-US" w:eastAsia="zh-CN"/>
        </w:rPr>
        <w:t>。</w:t>
      </w:r>
      <w:r>
        <w:rPr>
          <w:rFonts w:hint="default"/>
          <w:color w:val="auto"/>
          <w:lang w:val="en-US" w:eastAsia="zh-CN"/>
        </w:rPr>
        <w:t>现开采方向总体为由西北往东南推进。</w:t>
      </w:r>
    </w:p>
    <w:p w14:paraId="5FD212B2">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露天采场工作台阶几何要素现状</w:t>
      </w:r>
    </w:p>
    <w:p w14:paraId="1A7EAFA6">
      <w:pPr>
        <w:rPr>
          <w:rFonts w:hint="default"/>
          <w:color w:val="auto"/>
          <w:lang w:val="en-US" w:eastAsia="zh-CN"/>
        </w:rPr>
      </w:pPr>
      <w:r>
        <w:rPr>
          <w:rFonts w:hint="default"/>
          <w:color w:val="auto"/>
          <w:lang w:val="en-US" w:eastAsia="zh-CN"/>
        </w:rPr>
        <w:t>根据</w:t>
      </w:r>
      <w:r>
        <w:rPr>
          <w:rFonts w:hint="default"/>
          <w:b w:val="0"/>
          <w:bCs w:val="0"/>
          <w:color w:val="auto"/>
          <w:lang w:val="en-US" w:eastAsia="zh-CN"/>
        </w:rPr>
        <w:t>企业202</w:t>
      </w:r>
      <w:r>
        <w:rPr>
          <w:rFonts w:hint="eastAsia"/>
          <w:b w:val="0"/>
          <w:bCs w:val="0"/>
          <w:color w:val="auto"/>
          <w:lang w:val="en-US" w:eastAsia="zh-CN"/>
        </w:rPr>
        <w:t>6</w:t>
      </w:r>
      <w:r>
        <w:rPr>
          <w:rFonts w:hint="default"/>
          <w:b w:val="0"/>
          <w:bCs w:val="0"/>
          <w:color w:val="auto"/>
          <w:lang w:val="en-US" w:eastAsia="zh-CN"/>
        </w:rPr>
        <w:t>年</w:t>
      </w:r>
      <w:r>
        <w:rPr>
          <w:rFonts w:hint="eastAsia"/>
          <w:b w:val="0"/>
          <w:bCs w:val="0"/>
          <w:color w:val="auto"/>
          <w:lang w:val="en-US" w:eastAsia="zh-CN"/>
        </w:rPr>
        <w:t>2</w:t>
      </w:r>
      <w:r>
        <w:rPr>
          <w:rFonts w:hint="default"/>
          <w:b w:val="0"/>
          <w:bCs w:val="0"/>
          <w:color w:val="auto"/>
          <w:lang w:val="en-US" w:eastAsia="zh-CN"/>
        </w:rPr>
        <w:t>月提供的</w:t>
      </w:r>
      <w:r>
        <w:rPr>
          <w:rFonts w:hint="default"/>
          <w:color w:val="auto"/>
          <w:lang w:val="en-US" w:eastAsia="zh-CN"/>
        </w:rPr>
        <w:t>开采现状图及现场勘察</w:t>
      </w:r>
      <w:r>
        <w:rPr>
          <w:rFonts w:hint="eastAsia"/>
          <w:color w:val="auto"/>
          <w:lang w:val="en-US" w:eastAsia="zh-CN"/>
        </w:rPr>
        <w:t>情况</w:t>
      </w:r>
      <w:r>
        <w:rPr>
          <w:rFonts w:hint="default"/>
          <w:color w:val="auto"/>
          <w:lang w:val="en-US" w:eastAsia="zh-CN"/>
        </w:rPr>
        <w:t>，目前矿山按照设计已开采至+2</w:t>
      </w:r>
      <w:r>
        <w:rPr>
          <w:rFonts w:hint="eastAsia"/>
          <w:color w:val="auto"/>
          <w:lang w:val="en-US" w:eastAsia="zh-CN"/>
        </w:rPr>
        <w:t>50</w:t>
      </w:r>
      <w:r>
        <w:rPr>
          <w:rFonts w:hint="default"/>
          <w:color w:val="auto"/>
          <w:lang w:val="en-US" w:eastAsia="zh-CN"/>
        </w:rPr>
        <w:t>m平台，其中+</w:t>
      </w:r>
      <w:r>
        <w:rPr>
          <w:rFonts w:hint="eastAsia"/>
          <w:color w:val="auto"/>
          <w:lang w:val="en-US" w:eastAsia="zh-CN"/>
        </w:rPr>
        <w:t>265</w:t>
      </w:r>
      <w:r>
        <w:rPr>
          <w:rFonts w:hint="default"/>
          <w:color w:val="auto"/>
          <w:lang w:val="en-US" w:eastAsia="zh-CN"/>
        </w:rPr>
        <w:t>m平台、+</w:t>
      </w:r>
      <w:r>
        <w:rPr>
          <w:rFonts w:hint="eastAsia"/>
          <w:color w:val="auto"/>
          <w:lang w:val="en-US" w:eastAsia="zh-CN"/>
        </w:rPr>
        <w:t>250</w:t>
      </w:r>
      <w:r>
        <w:rPr>
          <w:rFonts w:hint="default"/>
          <w:color w:val="auto"/>
          <w:lang w:val="en-US" w:eastAsia="zh-CN"/>
        </w:rPr>
        <w:t>m平台作为生产平台，</w:t>
      </w:r>
      <w:r>
        <w:rPr>
          <w:rFonts w:hint="eastAsia"/>
          <w:color w:val="auto"/>
          <w:lang w:val="en-US" w:eastAsia="zh-CN"/>
        </w:rPr>
        <w:t>，</w:t>
      </w:r>
      <w:r>
        <w:rPr>
          <w:rFonts w:hint="default"/>
          <w:color w:val="auto"/>
          <w:lang w:val="en-US" w:eastAsia="zh-CN"/>
        </w:rPr>
        <w:t>+2</w:t>
      </w:r>
      <w:r>
        <w:rPr>
          <w:rFonts w:hint="eastAsia"/>
          <w:color w:val="auto"/>
          <w:lang w:val="en-US" w:eastAsia="zh-CN"/>
        </w:rPr>
        <w:t>80</w:t>
      </w:r>
      <w:r>
        <w:rPr>
          <w:rFonts w:hint="default"/>
          <w:color w:val="auto"/>
          <w:lang w:val="en-US" w:eastAsia="zh-CN"/>
        </w:rPr>
        <w:t>m平台以上已靠帮。各平台参数如下：</w:t>
      </w:r>
    </w:p>
    <w:p w14:paraId="4E2EC33E">
      <w:pPr>
        <w:rPr>
          <w:rFonts w:hint="default"/>
          <w:b/>
          <w:bCs/>
          <w:color w:val="auto"/>
          <w:lang w:val="en-US" w:eastAsia="zh-CN"/>
        </w:rPr>
      </w:pPr>
      <w:r>
        <w:rPr>
          <w:rFonts w:hint="eastAsia"/>
          <w:color w:val="auto"/>
          <w:lang w:val="en-US" w:eastAsia="zh-CN"/>
        </w:rPr>
        <w:t>+280</w:t>
      </w:r>
      <w:r>
        <w:rPr>
          <w:rFonts w:hint="default"/>
          <w:color w:val="auto"/>
          <w:lang w:val="en-US" w:eastAsia="zh-CN"/>
        </w:rPr>
        <w:t>m平台长约</w:t>
      </w:r>
      <w:r>
        <w:rPr>
          <w:rFonts w:hint="eastAsia"/>
          <w:color w:val="auto"/>
          <w:lang w:val="en-US" w:eastAsia="zh-CN"/>
        </w:rPr>
        <w:t>150</w:t>
      </w:r>
      <w:r>
        <w:rPr>
          <w:rFonts w:hint="default"/>
          <w:color w:val="auto"/>
          <w:lang w:val="en-US" w:eastAsia="zh-CN"/>
        </w:rPr>
        <w:t>m，平均宽约</w:t>
      </w:r>
      <w:r>
        <w:rPr>
          <w:rFonts w:hint="eastAsia"/>
          <w:color w:val="auto"/>
          <w:lang w:val="en-US" w:eastAsia="zh-CN"/>
        </w:rPr>
        <w:t>10</w:t>
      </w:r>
      <w:r>
        <w:rPr>
          <w:rFonts w:hint="default"/>
          <w:color w:val="auto"/>
          <w:lang w:val="en-US" w:eastAsia="zh-CN"/>
        </w:rPr>
        <w:t>m</w:t>
      </w:r>
      <w:r>
        <w:rPr>
          <w:rFonts w:hint="eastAsia"/>
          <w:color w:val="auto"/>
          <w:lang w:val="en-US" w:eastAsia="zh-CN"/>
        </w:rPr>
        <w:t>，</w:t>
      </w:r>
      <w:r>
        <w:rPr>
          <w:rFonts w:hint="eastAsia" w:ascii="Times New Roman" w:hAnsi="Times New Roman" w:eastAsia="宋体" w:cs="Times New Roman"/>
          <w:color w:val="auto"/>
          <w:sz w:val="28"/>
          <w:szCs w:val="28"/>
          <w:lang w:val="en-US" w:eastAsia="zh-CN"/>
        </w:rPr>
        <w:t>已靠帮</w:t>
      </w:r>
      <w:r>
        <w:rPr>
          <w:rFonts w:hint="eastAsia" w:cs="Times New Roman"/>
          <w:color w:val="auto"/>
          <w:sz w:val="28"/>
          <w:szCs w:val="28"/>
          <w:lang w:val="en-US" w:eastAsia="zh-CN"/>
        </w:rPr>
        <w:t>，</w:t>
      </w:r>
      <w:r>
        <w:rPr>
          <w:rFonts w:hint="eastAsia" w:cs="Times New Roman"/>
          <w:color w:val="FF0000"/>
          <w:sz w:val="28"/>
          <w:szCs w:val="28"/>
          <w:lang w:val="en-US" w:eastAsia="zh-CN"/>
        </w:rPr>
        <w:t>靠帮台阶坡面角为65°</w:t>
      </w:r>
      <w:r>
        <w:rPr>
          <w:rFonts w:hint="eastAsia" w:ascii="Times New Roman" w:hAnsi="Times New Roman" w:eastAsia="宋体" w:cs="Times New Roman"/>
          <w:color w:val="auto"/>
          <w:sz w:val="28"/>
          <w:szCs w:val="28"/>
          <w:lang w:val="en-US" w:eastAsia="zh-CN"/>
        </w:rPr>
        <w:t>，进行了生态复绿</w:t>
      </w:r>
      <w:r>
        <w:rPr>
          <w:rFonts w:hint="eastAsia"/>
          <w:color w:val="auto"/>
          <w:lang w:val="en-US" w:eastAsia="zh-CN"/>
        </w:rPr>
        <w:t>。</w:t>
      </w:r>
      <w:r>
        <w:rPr>
          <w:rFonts w:hint="eastAsia" w:ascii="Times New Roman" w:hAnsi="Times New Roman" w:eastAsia="宋体" w:cs="Times New Roman"/>
          <w:color w:val="auto"/>
          <w:sz w:val="28"/>
          <w:szCs w:val="28"/>
          <w:lang w:val="en-US" w:eastAsia="zh-CN"/>
        </w:rPr>
        <w:t>+2</w:t>
      </w:r>
      <w:r>
        <w:rPr>
          <w:rFonts w:hint="eastAsia" w:cs="Times New Roman"/>
          <w:color w:val="auto"/>
          <w:sz w:val="28"/>
          <w:szCs w:val="28"/>
          <w:lang w:val="en-US" w:eastAsia="zh-CN"/>
        </w:rPr>
        <w:t>65</w:t>
      </w:r>
      <w:r>
        <w:rPr>
          <w:rFonts w:hint="eastAsia" w:ascii="Times New Roman" w:hAnsi="Times New Roman" w:eastAsia="宋体" w:cs="Times New Roman"/>
          <w:color w:val="auto"/>
          <w:sz w:val="28"/>
          <w:szCs w:val="28"/>
          <w:lang w:val="en-US" w:eastAsia="zh-CN"/>
        </w:rPr>
        <w:t>m平台为生产平台，平台长度</w:t>
      </w:r>
      <w:r>
        <w:rPr>
          <w:rFonts w:hint="eastAsia" w:cs="Times New Roman"/>
          <w:color w:val="auto"/>
          <w:sz w:val="28"/>
          <w:szCs w:val="28"/>
          <w:lang w:val="en-US" w:eastAsia="zh-CN"/>
        </w:rPr>
        <w:t>约</w:t>
      </w:r>
      <w:r>
        <w:rPr>
          <w:rFonts w:hint="eastAsia" w:ascii="Times New Roman" w:hAnsi="Times New Roman" w:eastAsia="宋体" w:cs="Times New Roman"/>
          <w:color w:val="auto"/>
          <w:sz w:val="28"/>
          <w:szCs w:val="28"/>
          <w:lang w:val="en-US" w:eastAsia="zh-CN"/>
        </w:rPr>
        <w:t>为</w:t>
      </w:r>
      <w:r>
        <w:rPr>
          <w:rFonts w:hint="eastAsia" w:cs="Times New Roman"/>
          <w:color w:val="auto"/>
          <w:sz w:val="28"/>
          <w:szCs w:val="28"/>
          <w:lang w:val="en-US" w:eastAsia="zh-CN"/>
        </w:rPr>
        <w:t>240</w:t>
      </w:r>
      <w:r>
        <w:rPr>
          <w:rFonts w:hint="eastAsia" w:ascii="Times New Roman" w:hAnsi="Times New Roman" w:eastAsia="宋体" w:cs="Times New Roman"/>
          <w:color w:val="auto"/>
          <w:sz w:val="28"/>
          <w:szCs w:val="28"/>
          <w:lang w:val="en-US" w:eastAsia="zh-CN"/>
        </w:rPr>
        <w:t>m，宽度</w:t>
      </w:r>
      <w:r>
        <w:rPr>
          <w:rFonts w:hint="eastAsia" w:cs="Times New Roman"/>
          <w:color w:val="auto"/>
          <w:sz w:val="28"/>
          <w:szCs w:val="28"/>
          <w:lang w:val="en-US" w:eastAsia="zh-CN"/>
        </w:rPr>
        <w:t>约</w:t>
      </w:r>
      <w:r>
        <w:rPr>
          <w:rFonts w:hint="eastAsia" w:ascii="Times New Roman" w:hAnsi="Times New Roman" w:eastAsia="宋体" w:cs="Times New Roman"/>
          <w:color w:val="auto"/>
          <w:sz w:val="28"/>
          <w:szCs w:val="28"/>
          <w:lang w:val="en-US" w:eastAsia="zh-CN"/>
        </w:rPr>
        <w:t>为</w:t>
      </w:r>
      <w:r>
        <w:rPr>
          <w:rFonts w:hint="eastAsia" w:cs="Times New Roman"/>
          <w:color w:val="auto"/>
          <w:sz w:val="28"/>
          <w:szCs w:val="28"/>
          <w:lang w:val="en-US" w:eastAsia="zh-CN"/>
        </w:rPr>
        <w:t>60</w:t>
      </w:r>
      <w:r>
        <w:rPr>
          <w:rFonts w:hint="eastAsia" w:ascii="Times New Roman" w:hAnsi="Times New Roman" w:eastAsia="宋体" w:cs="Times New Roman"/>
          <w:color w:val="auto"/>
          <w:sz w:val="28"/>
          <w:szCs w:val="28"/>
          <w:lang w:val="en-US" w:eastAsia="zh-CN"/>
        </w:rPr>
        <w:t>m</w:t>
      </w:r>
      <w:r>
        <w:rPr>
          <w:rFonts w:hint="eastAsia" w:cs="Times New Roman"/>
          <w:color w:val="auto"/>
          <w:sz w:val="28"/>
          <w:szCs w:val="28"/>
          <w:lang w:val="en-US" w:eastAsia="zh-CN"/>
        </w:rPr>
        <w:t>，</w:t>
      </w:r>
      <w:r>
        <w:rPr>
          <w:rFonts w:hint="eastAsia" w:cs="Times New Roman"/>
          <w:color w:val="FF0000"/>
          <w:sz w:val="28"/>
          <w:szCs w:val="28"/>
          <w:lang w:val="en-US" w:eastAsia="zh-CN"/>
        </w:rPr>
        <w:t>台阶坡面角为75°</w:t>
      </w:r>
      <w:r>
        <w:rPr>
          <w:rFonts w:hint="eastAsia" w:ascii="Times New Roman" w:hAnsi="Times New Roman" w:eastAsia="宋体" w:cs="Times New Roman"/>
          <w:color w:val="auto"/>
          <w:sz w:val="28"/>
          <w:szCs w:val="28"/>
          <w:lang w:val="en-US" w:eastAsia="zh-CN"/>
        </w:rPr>
        <w:t>；+2</w:t>
      </w:r>
      <w:r>
        <w:rPr>
          <w:rFonts w:hint="eastAsia" w:cs="Times New Roman"/>
          <w:color w:val="auto"/>
          <w:sz w:val="28"/>
          <w:szCs w:val="28"/>
          <w:lang w:val="en-US" w:eastAsia="zh-CN"/>
        </w:rPr>
        <w:t>50</w:t>
      </w:r>
      <w:r>
        <w:rPr>
          <w:rFonts w:hint="eastAsia" w:ascii="Times New Roman" w:hAnsi="Times New Roman" w:eastAsia="宋体" w:cs="Times New Roman"/>
          <w:color w:val="auto"/>
          <w:sz w:val="28"/>
          <w:szCs w:val="28"/>
          <w:lang w:val="en-US" w:eastAsia="zh-CN"/>
        </w:rPr>
        <w:t>m平台为生产平台，平台长度为</w:t>
      </w:r>
      <w:r>
        <w:rPr>
          <w:rFonts w:hint="eastAsia" w:cs="Times New Roman"/>
          <w:color w:val="auto"/>
          <w:sz w:val="28"/>
          <w:szCs w:val="28"/>
          <w:lang w:val="en-US" w:eastAsia="zh-CN"/>
        </w:rPr>
        <w:t>450</w:t>
      </w:r>
      <w:r>
        <w:rPr>
          <w:rFonts w:hint="eastAsia" w:ascii="Times New Roman" w:hAnsi="Times New Roman" w:eastAsia="宋体" w:cs="Times New Roman"/>
          <w:color w:val="auto"/>
          <w:sz w:val="28"/>
          <w:szCs w:val="28"/>
          <w:lang w:val="en-US" w:eastAsia="zh-CN"/>
        </w:rPr>
        <w:t>m，宽度为</w:t>
      </w:r>
      <w:r>
        <w:rPr>
          <w:rFonts w:hint="eastAsia" w:cs="Times New Roman"/>
          <w:color w:val="auto"/>
          <w:sz w:val="28"/>
          <w:szCs w:val="28"/>
          <w:lang w:val="en-US" w:eastAsia="zh-CN"/>
        </w:rPr>
        <w:t>70</w:t>
      </w:r>
      <w:r>
        <w:rPr>
          <w:rFonts w:hint="eastAsia" w:ascii="Times New Roman" w:hAnsi="Times New Roman" w:eastAsia="宋体" w:cs="Times New Roman"/>
          <w:color w:val="auto"/>
          <w:sz w:val="28"/>
          <w:szCs w:val="28"/>
          <w:lang w:val="en-US" w:eastAsia="zh-CN"/>
        </w:rPr>
        <w:t>m</w:t>
      </w:r>
      <w:r>
        <w:rPr>
          <w:rFonts w:hint="eastAsia" w:cs="Times New Roman"/>
          <w:color w:val="auto"/>
          <w:sz w:val="28"/>
          <w:szCs w:val="28"/>
          <w:lang w:val="en-US" w:eastAsia="zh-CN"/>
        </w:rPr>
        <w:t>，</w:t>
      </w:r>
      <w:r>
        <w:rPr>
          <w:rFonts w:hint="eastAsia" w:cs="Times New Roman"/>
          <w:color w:val="FF0000"/>
          <w:sz w:val="28"/>
          <w:szCs w:val="28"/>
          <w:lang w:val="en-US" w:eastAsia="zh-CN"/>
        </w:rPr>
        <w:t>台阶坡面角为75°</w:t>
      </w:r>
      <w:r>
        <w:rPr>
          <w:rFonts w:hint="eastAsia" w:ascii="Times New Roman" w:hAnsi="Times New Roman" w:eastAsia="宋体" w:cs="Times New Roman"/>
          <w:color w:val="auto"/>
          <w:sz w:val="28"/>
          <w:szCs w:val="28"/>
          <w:lang w:val="en-US" w:eastAsia="zh-CN"/>
        </w:rPr>
        <w:t>。</w:t>
      </w:r>
      <w:r>
        <w:rPr>
          <w:rFonts w:hint="default"/>
          <w:b w:val="0"/>
          <w:bCs w:val="0"/>
          <w:color w:val="FF0000"/>
          <w:lang w:val="en-US" w:eastAsia="zh-CN"/>
        </w:rPr>
        <w:t>企业</w:t>
      </w:r>
      <w:r>
        <w:rPr>
          <w:rFonts w:hint="eastAsia"/>
          <w:b w:val="0"/>
          <w:bCs w:val="0"/>
          <w:color w:val="FF0000"/>
          <w:lang w:val="en-US" w:eastAsia="zh-CN"/>
        </w:rPr>
        <w:t>在</w:t>
      </w:r>
      <w:r>
        <w:rPr>
          <w:rFonts w:hint="eastAsia" w:ascii="Times New Roman" w:hAnsi="Times New Roman" w:eastAsia="宋体" w:cs="Times New Roman"/>
          <w:color w:val="FF0000"/>
          <w:sz w:val="28"/>
          <w:szCs w:val="28"/>
          <w:lang w:val="en-US" w:eastAsia="zh-CN"/>
        </w:rPr>
        <w:t>生产平台</w:t>
      </w:r>
      <w:r>
        <w:rPr>
          <w:rFonts w:hint="eastAsia" w:cs="Times New Roman"/>
          <w:color w:val="FF0000"/>
          <w:sz w:val="28"/>
          <w:szCs w:val="28"/>
          <w:lang w:val="en-US" w:eastAsia="zh-CN"/>
        </w:rPr>
        <w:t>上设有</w:t>
      </w:r>
      <w:r>
        <w:rPr>
          <w:rFonts w:hint="default"/>
          <w:color w:val="FF0000"/>
          <w:lang w:val="en-US" w:eastAsia="zh-CN"/>
        </w:rPr>
        <w:t>土石混合</w:t>
      </w:r>
      <w:r>
        <w:rPr>
          <w:rFonts w:hint="eastAsia"/>
          <w:color w:val="FF0000"/>
          <w:lang w:val="en-US" w:eastAsia="zh-CN"/>
        </w:rPr>
        <w:t>堆作为平台防护围栏</w:t>
      </w:r>
      <w:r>
        <w:rPr>
          <w:rFonts w:hint="eastAsia" w:ascii="Times New Roman" w:hAnsi="Times New Roman" w:eastAsia="宋体" w:cs="Times New Roman"/>
          <w:color w:val="auto"/>
          <w:sz w:val="28"/>
          <w:szCs w:val="28"/>
          <w:lang w:val="en-US" w:eastAsia="zh-CN"/>
        </w:rPr>
        <w:t>。</w:t>
      </w:r>
      <w:r>
        <w:rPr>
          <w:rFonts w:hint="eastAsia" w:cs="Times New Roman"/>
          <w:color w:val="auto"/>
          <w:sz w:val="28"/>
          <w:szCs w:val="28"/>
          <w:lang w:val="en-US" w:eastAsia="zh-CN"/>
        </w:rPr>
        <w:t>目前无</w:t>
      </w:r>
      <w:r>
        <w:rPr>
          <w:rFonts w:hint="eastAsia" w:ascii="Times New Roman" w:hAnsi="Times New Roman" w:eastAsia="宋体" w:cs="Times New Roman"/>
          <w:color w:val="auto"/>
          <w:sz w:val="28"/>
          <w:szCs w:val="28"/>
          <w:lang w:val="en-US" w:eastAsia="zh-CN"/>
        </w:rPr>
        <w:t>安全平台</w:t>
      </w:r>
      <w:r>
        <w:rPr>
          <w:rFonts w:hint="eastAsia" w:eastAsia="宋体" w:cs="Times New Roman"/>
          <w:color w:val="auto"/>
          <w:sz w:val="28"/>
          <w:szCs w:val="28"/>
          <w:lang w:val="en-US" w:eastAsia="zh-CN"/>
        </w:rPr>
        <w:t>和</w:t>
      </w:r>
      <w:r>
        <w:rPr>
          <w:rFonts w:hint="eastAsia" w:ascii="Times New Roman" w:hAnsi="Times New Roman" w:eastAsia="宋体" w:cs="Times New Roman"/>
          <w:color w:val="auto"/>
          <w:sz w:val="28"/>
          <w:szCs w:val="28"/>
          <w:lang w:val="en-US" w:eastAsia="zh-CN"/>
        </w:rPr>
        <w:t>清扫平台</w:t>
      </w:r>
      <w:r>
        <w:rPr>
          <w:rFonts w:hint="eastAsia" w:eastAsia="宋体" w:cs="Times New Roman"/>
          <w:color w:val="auto"/>
          <w:sz w:val="28"/>
          <w:szCs w:val="28"/>
          <w:lang w:val="en-US" w:eastAsia="zh-CN"/>
        </w:rPr>
        <w:t>。</w:t>
      </w:r>
    </w:p>
    <w:p w14:paraId="473D5B5D">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露天开采工艺</w:t>
      </w:r>
    </w:p>
    <w:p w14:paraId="4287E987">
      <w:pPr>
        <w:rPr>
          <w:rFonts w:hint="default"/>
          <w:color w:val="auto"/>
          <w:lang w:val="en-US" w:eastAsia="zh-CN"/>
        </w:rPr>
      </w:pPr>
      <w:r>
        <w:rPr>
          <w:rFonts w:hint="eastAsia"/>
          <w:color w:val="auto"/>
          <w:lang w:val="en-US" w:eastAsia="zh-CN"/>
        </w:rPr>
        <w:t>（1）采剥方法</w:t>
      </w:r>
    </w:p>
    <w:p w14:paraId="154EC5AF">
      <w:pPr>
        <w:rPr>
          <w:rFonts w:hint="default"/>
          <w:color w:val="auto"/>
          <w:lang w:val="en-US" w:eastAsia="zh-CN"/>
        </w:rPr>
      </w:pPr>
      <w:r>
        <w:rPr>
          <w:rFonts w:hint="eastAsia"/>
          <w:color w:val="auto"/>
          <w:lang w:val="en-US" w:eastAsia="zh-CN"/>
        </w:rPr>
        <w:t>矿山目前为爆破法开采，</w:t>
      </w:r>
      <w:r>
        <w:rPr>
          <w:rFonts w:hint="default"/>
          <w:color w:val="auto"/>
          <w:lang w:val="en-US" w:eastAsia="zh-CN"/>
        </w:rPr>
        <w:t>采用潜孔钻机进行穿孔作业，深孔微差爆破，爆破后的矿岩使用液压挖掘机装入自卸式汽车运输至破碎站进行破碎，大块矿岩使用挖掘机配液压破碎锤进行机械破碎。</w:t>
      </w:r>
    </w:p>
    <w:p w14:paraId="29122798">
      <w:pPr>
        <w:rPr>
          <w:rFonts w:hint="default"/>
          <w:color w:val="auto"/>
          <w:lang w:val="en-US" w:eastAsia="zh-CN"/>
        </w:rPr>
      </w:pPr>
      <w:r>
        <w:rPr>
          <w:rFonts w:hint="eastAsia"/>
          <w:color w:val="auto"/>
          <w:lang w:val="en-US" w:eastAsia="zh-CN"/>
        </w:rPr>
        <w:t>4. 穿孔爆破</w:t>
      </w:r>
    </w:p>
    <w:p w14:paraId="50F8CF4A">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穿孔作业</w:t>
      </w:r>
    </w:p>
    <w:p w14:paraId="4EA05D18">
      <w:pPr>
        <w:rPr>
          <w:rFonts w:hint="default"/>
          <w:color w:val="auto"/>
          <w:lang w:val="en-US" w:eastAsia="zh-CN"/>
        </w:rPr>
      </w:pPr>
      <w:r>
        <w:rPr>
          <w:rFonts w:hint="eastAsia"/>
          <w:color w:val="auto"/>
          <w:lang w:val="en-US" w:eastAsia="zh-CN"/>
        </w:rPr>
        <w:t>矿山采用2台</w:t>
      </w:r>
      <w:r>
        <w:rPr>
          <w:rFonts w:hint="default"/>
          <w:color w:val="auto"/>
          <w:lang w:val="en-US" w:eastAsia="zh-CN"/>
        </w:rPr>
        <w:t>DM30</w:t>
      </w:r>
      <w:r>
        <w:rPr>
          <w:rFonts w:hint="eastAsia" w:asciiTheme="minorEastAsia" w:hAnsiTheme="minorEastAsia" w:eastAsiaTheme="minorEastAsia" w:cstheme="minorEastAsia"/>
          <w:color w:val="auto"/>
          <w:lang w:val="en-US" w:eastAsia="zh-CN"/>
        </w:rPr>
        <w:t>Ⅱ</w:t>
      </w:r>
      <w:r>
        <w:rPr>
          <w:rFonts w:hint="default"/>
          <w:color w:val="auto"/>
          <w:lang w:val="en-US" w:eastAsia="zh-CN"/>
        </w:rPr>
        <w:t>型（孔径170mm）、</w:t>
      </w:r>
      <w:r>
        <w:rPr>
          <w:rFonts w:hint="eastAsia"/>
          <w:color w:val="auto"/>
          <w:lang w:val="en-US" w:eastAsia="zh-CN"/>
        </w:rPr>
        <w:t>1台</w:t>
      </w:r>
      <w:r>
        <w:rPr>
          <w:rFonts w:hint="default"/>
          <w:color w:val="auto"/>
          <w:lang w:val="en-US" w:eastAsia="zh-CN"/>
        </w:rPr>
        <w:t>D50型（孔径140mm）液压潜孔钻机进行穿孔作业。</w:t>
      </w:r>
    </w:p>
    <w:p w14:paraId="2C72BE54">
      <w:pPr>
        <w:rPr>
          <w:rFonts w:hint="default"/>
          <w:color w:val="auto"/>
          <w:lang w:val="en-US" w:eastAsia="zh-CN"/>
        </w:rPr>
      </w:pPr>
      <w:r>
        <w:rPr>
          <w:rFonts w:hint="eastAsia"/>
          <w:color w:val="auto"/>
          <w:lang w:val="en-US" w:eastAsia="zh-CN"/>
        </w:rPr>
        <w:t>（2）</w:t>
      </w:r>
      <w:r>
        <w:rPr>
          <w:rFonts w:hint="default"/>
          <w:color w:val="auto"/>
          <w:lang w:val="en-US" w:eastAsia="zh-CN"/>
        </w:rPr>
        <w:t>爆破作业</w:t>
      </w:r>
    </w:p>
    <w:p w14:paraId="327C62D0">
      <w:pPr>
        <w:bidi w:val="0"/>
        <w:rPr>
          <w:rFonts w:hint="default"/>
          <w:lang w:val="en-US" w:eastAsia="zh-CN"/>
        </w:rPr>
      </w:pPr>
      <w:r>
        <w:rPr>
          <w:rFonts w:hint="default"/>
          <w:lang w:val="en-US" w:eastAsia="zh-CN"/>
        </w:rPr>
        <w:t>矿山有</w:t>
      </w:r>
      <w:r>
        <w:rPr>
          <w:rFonts w:hint="eastAsia"/>
          <w:lang w:val="en-US" w:eastAsia="zh-CN"/>
        </w:rPr>
        <w:t>2</w:t>
      </w:r>
      <w:r>
        <w:rPr>
          <w:rFonts w:hint="default"/>
          <w:lang w:val="en-US" w:eastAsia="zh-CN"/>
        </w:rPr>
        <w:t>个钢板材质的移动式避炮棚</w:t>
      </w:r>
      <w:r>
        <w:rPr>
          <w:rFonts w:hint="eastAsia"/>
          <w:lang w:val="en-US" w:eastAsia="zh-CN"/>
        </w:rPr>
        <w:t>，</w:t>
      </w:r>
      <w:r>
        <w:rPr>
          <w:rFonts w:hint="default"/>
          <w:lang w:val="en-US" w:eastAsia="zh-CN"/>
        </w:rPr>
        <w:t>矿区入口、进矿公路旁设置了爆破警示告知牌，标明爆破时间及非工作人员及车辆不得入内的安全警示牌。</w:t>
      </w:r>
    </w:p>
    <w:p w14:paraId="0307CA42">
      <w:pPr>
        <w:rPr>
          <w:rFonts w:hint="default"/>
          <w:color w:val="auto"/>
          <w:lang w:val="en-US" w:eastAsia="zh-CN"/>
        </w:rPr>
      </w:pPr>
      <w:r>
        <w:rPr>
          <w:rFonts w:hint="default"/>
          <w:color w:val="auto"/>
          <w:lang w:val="en-US" w:eastAsia="zh-CN"/>
        </w:rPr>
        <w:t>①正常爆破作业</w:t>
      </w:r>
    </w:p>
    <w:p w14:paraId="137F36C2">
      <w:pPr>
        <w:rPr>
          <w:rFonts w:hint="default"/>
          <w:color w:val="auto"/>
          <w:lang w:val="en-US" w:eastAsia="zh-CN"/>
        </w:rPr>
      </w:pPr>
      <w:r>
        <w:rPr>
          <w:rFonts w:hint="default"/>
          <w:color w:val="auto"/>
          <w:lang w:val="en-US" w:eastAsia="zh-CN"/>
        </w:rPr>
        <w:t>矿山爆破参数，详见表2</w:t>
      </w:r>
      <w:r>
        <w:rPr>
          <w:rFonts w:hint="eastAsia"/>
          <w:color w:val="auto"/>
          <w:lang w:val="en-US" w:eastAsia="zh-CN"/>
        </w:rPr>
        <w:t>.4</w:t>
      </w:r>
      <w:r>
        <w:rPr>
          <w:rFonts w:hint="default"/>
          <w:color w:val="auto"/>
          <w:lang w:val="en-US" w:eastAsia="zh-CN"/>
        </w:rPr>
        <w:t>-</w:t>
      </w:r>
      <w:r>
        <w:rPr>
          <w:rFonts w:hint="eastAsia"/>
          <w:color w:val="auto"/>
          <w:lang w:val="en-US" w:eastAsia="zh-CN"/>
        </w:rPr>
        <w:t>1</w:t>
      </w:r>
      <w:r>
        <w:rPr>
          <w:rFonts w:hint="default"/>
          <w:color w:val="auto"/>
          <w:lang w:val="en-US" w:eastAsia="zh-CN"/>
        </w:rPr>
        <w:t>。</w:t>
      </w:r>
    </w:p>
    <w:p w14:paraId="2AB020C3">
      <w:pPr>
        <w:ind w:left="0" w:leftChars="0" w:firstLine="0" w:firstLineChars="0"/>
        <w:jc w:val="center"/>
        <w:rPr>
          <w:rFonts w:hint="eastAsia"/>
          <w:color w:val="auto"/>
          <w:lang w:val="en-US" w:eastAsia="zh-CN"/>
        </w:rPr>
      </w:pPr>
      <w:r>
        <w:rPr>
          <w:rFonts w:hint="default"/>
          <w:color w:val="auto"/>
          <w:lang w:val="en-US" w:eastAsia="zh-CN"/>
        </w:rPr>
        <w:t>表2</w:t>
      </w:r>
      <w:r>
        <w:rPr>
          <w:rFonts w:hint="eastAsia"/>
          <w:color w:val="auto"/>
          <w:lang w:val="en-US" w:eastAsia="zh-CN"/>
        </w:rPr>
        <w:t>.4</w:t>
      </w:r>
      <w:r>
        <w:rPr>
          <w:rFonts w:hint="default"/>
          <w:color w:val="auto"/>
          <w:lang w:val="en-US" w:eastAsia="zh-CN"/>
        </w:rPr>
        <w:t>-</w:t>
      </w:r>
      <w:r>
        <w:rPr>
          <w:rFonts w:hint="eastAsia"/>
          <w:color w:val="auto"/>
          <w:lang w:val="en-US" w:eastAsia="zh-CN"/>
        </w:rPr>
        <w:t>1 爆破参数表</w:t>
      </w:r>
    </w:p>
    <w:tbl>
      <w:tblPr>
        <w:tblStyle w:val="18"/>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5"/>
        <w:gridCol w:w="3732"/>
        <w:gridCol w:w="1380"/>
        <w:gridCol w:w="2565"/>
      </w:tblGrid>
      <w:tr w14:paraId="63C4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1" w:hRule="atLeast"/>
          <w:jc w:val="center"/>
        </w:trPr>
        <w:tc>
          <w:tcPr>
            <w:tcW w:w="783" w:type="pct"/>
            <w:noWrap w:val="0"/>
            <w:vAlign w:val="center"/>
          </w:tcPr>
          <w:p w14:paraId="1361BF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sz w:val="21"/>
                <w:szCs w:val="21"/>
              </w:rPr>
            </w:pPr>
            <w:bookmarkStart w:id="149" w:name="_Hlk71980041"/>
            <w:r>
              <w:rPr>
                <w:rFonts w:hint="default" w:ascii="Times New Roman" w:hAnsi="Times New Roman" w:cs="Times New Roman"/>
                <w:b/>
                <w:bCs/>
                <w:sz w:val="21"/>
                <w:szCs w:val="21"/>
              </w:rPr>
              <w:t>序  号</w:t>
            </w:r>
          </w:p>
        </w:tc>
        <w:tc>
          <w:tcPr>
            <w:tcW w:w="2050" w:type="pct"/>
            <w:noWrap w:val="0"/>
            <w:vAlign w:val="center"/>
          </w:tcPr>
          <w:p w14:paraId="3A27E8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项</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目</w:t>
            </w:r>
          </w:p>
        </w:tc>
        <w:tc>
          <w:tcPr>
            <w:tcW w:w="758" w:type="pct"/>
            <w:noWrap w:val="0"/>
            <w:vAlign w:val="center"/>
          </w:tcPr>
          <w:p w14:paraId="35289B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单</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位</w:t>
            </w:r>
          </w:p>
        </w:tc>
        <w:tc>
          <w:tcPr>
            <w:tcW w:w="1409" w:type="pct"/>
            <w:noWrap w:val="0"/>
            <w:vAlign w:val="center"/>
          </w:tcPr>
          <w:p w14:paraId="3ADFCC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数</w:t>
            </w:r>
            <w:r>
              <w:rPr>
                <w:rFonts w:hint="eastAsia"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 xml:space="preserve"> 值</w:t>
            </w:r>
          </w:p>
        </w:tc>
      </w:tr>
      <w:tr w14:paraId="1C86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3" w:type="pct"/>
            <w:noWrap w:val="0"/>
            <w:vAlign w:val="center"/>
          </w:tcPr>
          <w:p w14:paraId="3DA78D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050" w:type="pct"/>
            <w:noWrap w:val="0"/>
            <w:vAlign w:val="center"/>
          </w:tcPr>
          <w:p w14:paraId="4C26BD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炮孔直径</w:t>
            </w:r>
          </w:p>
        </w:tc>
        <w:tc>
          <w:tcPr>
            <w:tcW w:w="758" w:type="pct"/>
            <w:noWrap w:val="0"/>
            <w:vAlign w:val="center"/>
          </w:tcPr>
          <w:p w14:paraId="3A1660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mm</w:t>
            </w:r>
          </w:p>
        </w:tc>
        <w:tc>
          <w:tcPr>
            <w:tcW w:w="1409" w:type="pct"/>
            <w:noWrap w:val="0"/>
            <w:vAlign w:val="center"/>
          </w:tcPr>
          <w:p w14:paraId="258AF6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170</w:t>
            </w:r>
          </w:p>
        </w:tc>
      </w:tr>
      <w:tr w14:paraId="5D0A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83" w:type="pct"/>
            <w:noWrap w:val="0"/>
            <w:vAlign w:val="center"/>
          </w:tcPr>
          <w:p w14:paraId="3ECB2F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050" w:type="pct"/>
            <w:noWrap w:val="0"/>
            <w:vAlign w:val="center"/>
          </w:tcPr>
          <w:p w14:paraId="66077D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炮孔倾角</w:t>
            </w:r>
          </w:p>
        </w:tc>
        <w:tc>
          <w:tcPr>
            <w:tcW w:w="758" w:type="pct"/>
            <w:noWrap w:val="0"/>
            <w:vAlign w:val="center"/>
          </w:tcPr>
          <w:p w14:paraId="05A67D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度</w:t>
            </w:r>
          </w:p>
        </w:tc>
        <w:tc>
          <w:tcPr>
            <w:tcW w:w="1409" w:type="pct"/>
            <w:noWrap w:val="0"/>
            <w:vAlign w:val="center"/>
          </w:tcPr>
          <w:p w14:paraId="2FF1D0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75</w:t>
            </w:r>
          </w:p>
        </w:tc>
      </w:tr>
      <w:tr w14:paraId="373C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3" w:type="pct"/>
            <w:noWrap w:val="0"/>
            <w:vAlign w:val="center"/>
          </w:tcPr>
          <w:p w14:paraId="2F15CF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050" w:type="pct"/>
            <w:noWrap w:val="0"/>
            <w:vAlign w:val="center"/>
          </w:tcPr>
          <w:p w14:paraId="11FCE1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超深</w:t>
            </w:r>
          </w:p>
        </w:tc>
        <w:tc>
          <w:tcPr>
            <w:tcW w:w="758" w:type="pct"/>
            <w:noWrap w:val="0"/>
            <w:vAlign w:val="center"/>
          </w:tcPr>
          <w:p w14:paraId="51B898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w:t>
            </w:r>
          </w:p>
        </w:tc>
        <w:tc>
          <w:tcPr>
            <w:tcW w:w="1409" w:type="pct"/>
            <w:noWrap w:val="0"/>
            <w:vAlign w:val="center"/>
          </w:tcPr>
          <w:p w14:paraId="18E07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r>
      <w:tr w14:paraId="3E82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3" w:type="pct"/>
            <w:noWrap w:val="0"/>
            <w:vAlign w:val="center"/>
          </w:tcPr>
          <w:p w14:paraId="2DFEEA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050" w:type="pct"/>
            <w:noWrap w:val="0"/>
            <w:vAlign w:val="center"/>
          </w:tcPr>
          <w:p w14:paraId="097BD2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孔深（垂直深度）</w:t>
            </w:r>
          </w:p>
        </w:tc>
        <w:tc>
          <w:tcPr>
            <w:tcW w:w="758" w:type="pct"/>
            <w:noWrap w:val="0"/>
            <w:vAlign w:val="center"/>
          </w:tcPr>
          <w:p w14:paraId="5E8F06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w:t>
            </w:r>
          </w:p>
        </w:tc>
        <w:tc>
          <w:tcPr>
            <w:tcW w:w="1409" w:type="pct"/>
            <w:noWrap w:val="0"/>
            <w:vAlign w:val="center"/>
          </w:tcPr>
          <w:p w14:paraId="6E7571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17.0</w:t>
            </w:r>
          </w:p>
        </w:tc>
      </w:tr>
      <w:tr w14:paraId="603B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83" w:type="pct"/>
            <w:noWrap w:val="0"/>
            <w:vAlign w:val="center"/>
          </w:tcPr>
          <w:p w14:paraId="5C6577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050" w:type="pct"/>
            <w:noWrap w:val="0"/>
            <w:vAlign w:val="center"/>
          </w:tcPr>
          <w:p w14:paraId="4A819C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最小抵抗线</w:t>
            </w:r>
          </w:p>
        </w:tc>
        <w:tc>
          <w:tcPr>
            <w:tcW w:w="758" w:type="pct"/>
            <w:noWrap w:val="0"/>
            <w:vAlign w:val="center"/>
          </w:tcPr>
          <w:p w14:paraId="02A84E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w:t>
            </w:r>
          </w:p>
        </w:tc>
        <w:tc>
          <w:tcPr>
            <w:tcW w:w="1409" w:type="pct"/>
            <w:noWrap w:val="0"/>
            <w:vAlign w:val="center"/>
          </w:tcPr>
          <w:p w14:paraId="33F5B6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4.7</w:t>
            </w:r>
          </w:p>
        </w:tc>
      </w:tr>
      <w:tr w14:paraId="21A1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3" w:type="pct"/>
            <w:noWrap w:val="0"/>
            <w:vAlign w:val="center"/>
          </w:tcPr>
          <w:p w14:paraId="511BBE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050" w:type="pct"/>
            <w:noWrap w:val="0"/>
            <w:vAlign w:val="center"/>
          </w:tcPr>
          <w:p w14:paraId="573C3F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填塞高度</w:t>
            </w:r>
          </w:p>
        </w:tc>
        <w:tc>
          <w:tcPr>
            <w:tcW w:w="758" w:type="pct"/>
            <w:noWrap w:val="0"/>
            <w:vAlign w:val="center"/>
          </w:tcPr>
          <w:p w14:paraId="59055D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w:t>
            </w:r>
          </w:p>
        </w:tc>
        <w:tc>
          <w:tcPr>
            <w:tcW w:w="1409" w:type="pct"/>
            <w:noWrap w:val="0"/>
            <w:vAlign w:val="center"/>
          </w:tcPr>
          <w:p w14:paraId="218FCA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4.7</w:t>
            </w:r>
          </w:p>
        </w:tc>
      </w:tr>
      <w:tr w14:paraId="6487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83" w:type="pct"/>
            <w:noWrap w:val="0"/>
            <w:vAlign w:val="center"/>
          </w:tcPr>
          <w:p w14:paraId="425B3E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2050" w:type="pct"/>
            <w:noWrap w:val="0"/>
            <w:vAlign w:val="center"/>
          </w:tcPr>
          <w:p w14:paraId="0F7241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炮孔间距</w:t>
            </w:r>
          </w:p>
        </w:tc>
        <w:tc>
          <w:tcPr>
            <w:tcW w:w="758" w:type="pct"/>
            <w:noWrap w:val="0"/>
            <w:vAlign w:val="center"/>
          </w:tcPr>
          <w:p w14:paraId="7B03A1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w:t>
            </w:r>
          </w:p>
        </w:tc>
        <w:tc>
          <w:tcPr>
            <w:tcW w:w="1409" w:type="pct"/>
            <w:noWrap w:val="0"/>
            <w:vAlign w:val="center"/>
          </w:tcPr>
          <w:p w14:paraId="636ED3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r>
      <w:tr w14:paraId="2C77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83" w:type="pct"/>
            <w:noWrap w:val="0"/>
            <w:vAlign w:val="center"/>
          </w:tcPr>
          <w:p w14:paraId="18722D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2050" w:type="pct"/>
            <w:noWrap w:val="0"/>
            <w:vAlign w:val="center"/>
          </w:tcPr>
          <w:p w14:paraId="120C74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炮孔排距</w:t>
            </w:r>
          </w:p>
        </w:tc>
        <w:tc>
          <w:tcPr>
            <w:tcW w:w="758" w:type="pct"/>
            <w:noWrap w:val="0"/>
            <w:vAlign w:val="center"/>
          </w:tcPr>
          <w:p w14:paraId="369388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m</w:t>
            </w:r>
          </w:p>
        </w:tc>
        <w:tc>
          <w:tcPr>
            <w:tcW w:w="1409" w:type="pct"/>
            <w:noWrap w:val="0"/>
            <w:vAlign w:val="center"/>
          </w:tcPr>
          <w:p w14:paraId="77041B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4.7</w:t>
            </w:r>
          </w:p>
        </w:tc>
      </w:tr>
      <w:tr w14:paraId="6033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83" w:type="pct"/>
            <w:noWrap w:val="0"/>
            <w:vAlign w:val="center"/>
          </w:tcPr>
          <w:p w14:paraId="07D3D5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2050" w:type="pct"/>
            <w:noWrap w:val="0"/>
            <w:vAlign w:val="center"/>
          </w:tcPr>
          <w:p w14:paraId="6F9264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单位炸药消耗量</w:t>
            </w:r>
          </w:p>
        </w:tc>
        <w:tc>
          <w:tcPr>
            <w:tcW w:w="758" w:type="pct"/>
            <w:noWrap w:val="0"/>
            <w:vAlign w:val="center"/>
          </w:tcPr>
          <w:p w14:paraId="4B95F3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kg/m</w:t>
            </w:r>
            <w:r>
              <w:rPr>
                <w:rFonts w:hint="default" w:ascii="Times New Roman" w:hAnsi="Times New Roman" w:cs="Times New Roman"/>
                <w:sz w:val="21"/>
                <w:szCs w:val="21"/>
                <w:vertAlign w:val="superscript"/>
              </w:rPr>
              <w:t>3</w:t>
            </w:r>
          </w:p>
        </w:tc>
        <w:tc>
          <w:tcPr>
            <w:tcW w:w="1409" w:type="pct"/>
            <w:noWrap w:val="0"/>
            <w:vAlign w:val="center"/>
          </w:tcPr>
          <w:p w14:paraId="452F08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0.45</w:t>
            </w:r>
          </w:p>
        </w:tc>
      </w:tr>
      <w:tr w14:paraId="1D3F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83" w:type="pct"/>
            <w:noWrap w:val="0"/>
            <w:vAlign w:val="center"/>
          </w:tcPr>
          <w:p w14:paraId="78CC85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050" w:type="pct"/>
            <w:noWrap w:val="0"/>
            <w:vAlign w:val="center"/>
          </w:tcPr>
          <w:p w14:paraId="705931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单孔药量</w:t>
            </w:r>
          </w:p>
        </w:tc>
        <w:tc>
          <w:tcPr>
            <w:tcW w:w="758" w:type="pct"/>
            <w:noWrap w:val="0"/>
            <w:vAlign w:val="center"/>
          </w:tcPr>
          <w:p w14:paraId="2CA5F3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kg</w:t>
            </w:r>
          </w:p>
        </w:tc>
        <w:tc>
          <w:tcPr>
            <w:tcW w:w="1409" w:type="pct"/>
            <w:noWrap w:val="0"/>
            <w:vAlign w:val="center"/>
          </w:tcPr>
          <w:p w14:paraId="4932B6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206</w:t>
            </w:r>
          </w:p>
        </w:tc>
      </w:tr>
      <w:bookmarkEnd w:id="149"/>
    </w:tbl>
    <w:p w14:paraId="3DBF5BE1">
      <w:pPr>
        <w:bidi w:val="0"/>
        <w:rPr>
          <w:rFonts w:hint="default"/>
          <w:lang w:val="en-US" w:eastAsia="zh-CN"/>
        </w:rPr>
      </w:pPr>
      <w:r>
        <w:rPr>
          <w:rFonts w:hint="default"/>
          <w:lang w:val="en-US" w:eastAsia="zh-CN"/>
        </w:rPr>
        <w:t>矿山采用逐孔起爆，最大单段药量即为单孔最大装药量，矿山最大单段药量为206kg。</w:t>
      </w:r>
    </w:p>
    <w:p w14:paraId="17B012D8">
      <w:pPr>
        <w:bidi w:val="0"/>
        <w:rPr>
          <w:rFonts w:hint="default"/>
          <w:color w:val="FF0000"/>
          <w:lang w:val="en-US" w:eastAsia="zh-CN"/>
        </w:rPr>
      </w:pPr>
      <w:r>
        <w:rPr>
          <w:rFonts w:hint="default"/>
          <w:color w:val="FF0000"/>
          <w:lang w:val="en-US" w:eastAsia="zh-CN"/>
        </w:rPr>
        <w:t>矿山爆破采用深孔微差爆破，</w:t>
      </w:r>
      <w:r>
        <w:rPr>
          <w:rFonts w:hint="eastAsia"/>
          <w:color w:val="FF0000"/>
          <w:lang w:val="en-US" w:eastAsia="zh-CN"/>
        </w:rPr>
        <w:t>数码电子雷管</w:t>
      </w:r>
      <w:r>
        <w:rPr>
          <w:rFonts w:hint="default"/>
          <w:color w:val="FF0000"/>
          <w:lang w:val="en-US" w:eastAsia="zh-CN"/>
        </w:rPr>
        <w:t>起爆。</w:t>
      </w:r>
      <w:r>
        <w:rPr>
          <w:rFonts w:hint="eastAsia"/>
          <w:color w:val="FF0000"/>
          <w:lang w:val="en-US" w:eastAsia="zh-CN"/>
        </w:rPr>
        <w:t>矿山的</w:t>
      </w:r>
      <w:r>
        <w:rPr>
          <w:rFonts w:hint="default"/>
          <w:color w:val="FF0000"/>
          <w:lang w:val="en-US" w:eastAsia="zh-CN"/>
        </w:rPr>
        <w:t>爆破参数在生产过程中根据地质构造等情况进行</w:t>
      </w:r>
      <w:r>
        <w:rPr>
          <w:rFonts w:hint="eastAsia"/>
          <w:color w:val="FF0000"/>
          <w:lang w:val="en-US" w:eastAsia="zh-CN"/>
        </w:rPr>
        <w:t>了</w:t>
      </w:r>
      <w:r>
        <w:rPr>
          <w:rFonts w:hint="default"/>
          <w:color w:val="FF0000"/>
          <w:lang w:val="en-US" w:eastAsia="zh-CN"/>
        </w:rPr>
        <w:t>不断调整、优化。</w:t>
      </w:r>
    </w:p>
    <w:p w14:paraId="3CBE463F">
      <w:pPr>
        <w:bidi w:val="0"/>
        <w:rPr>
          <w:rFonts w:hint="default"/>
          <w:color w:val="FF0000"/>
          <w:lang w:val="en-US" w:eastAsia="zh-CN"/>
        </w:rPr>
      </w:pPr>
      <w:r>
        <w:rPr>
          <w:rFonts w:hint="default"/>
          <w:color w:val="FF0000"/>
          <w:lang w:val="en-US" w:eastAsia="zh-CN"/>
        </w:rPr>
        <w:t>爆破大块块度小于1000mm，爆破大块率控制在5%以下；爆破后产生的大块（大于1000mm），在工作面采用液压挖掘机配备液压碎石锤进行机械破碎。</w:t>
      </w:r>
    </w:p>
    <w:p w14:paraId="1CD41122">
      <w:pPr>
        <w:rPr>
          <w:rFonts w:hint="default"/>
          <w:color w:val="auto"/>
          <w:lang w:val="en-US" w:eastAsia="zh-CN"/>
        </w:rPr>
      </w:pPr>
      <w:r>
        <w:rPr>
          <w:rFonts w:hint="default"/>
          <w:color w:val="auto"/>
          <w:lang w:val="en-US" w:eastAsia="zh-CN"/>
        </w:rPr>
        <w:t>②靠帮爆破作业</w:t>
      </w:r>
    </w:p>
    <w:p w14:paraId="0D78AE1C">
      <w:pPr>
        <w:rPr>
          <w:rFonts w:hint="default"/>
          <w:color w:val="auto"/>
          <w:lang w:val="en-US" w:eastAsia="zh-CN"/>
        </w:rPr>
      </w:pPr>
      <w:r>
        <w:rPr>
          <w:rFonts w:hint="default"/>
          <w:color w:val="auto"/>
          <w:lang w:val="en-US" w:eastAsia="zh-CN"/>
        </w:rPr>
        <w:t>靠帮作业时，为了保证最终边坡的稳定性及降低开采过程中爆破振动对边坡的影响，当工作线推进到最终边坡20m～30m时，采取控制爆破技术</w:t>
      </w:r>
      <w:r>
        <w:rPr>
          <w:rFonts w:hint="eastAsia"/>
          <w:color w:val="auto"/>
          <w:lang w:val="en-US" w:eastAsia="zh-CN"/>
        </w:rPr>
        <w:t>—</w:t>
      </w:r>
      <w:r>
        <w:rPr>
          <w:rFonts w:hint="default"/>
          <w:color w:val="auto"/>
          <w:lang w:val="en-US" w:eastAsia="zh-CN"/>
        </w:rPr>
        <w:t>预裂爆破。在靠近边帮的边界线上打一排孔径为</w:t>
      </w:r>
      <w:r>
        <w:rPr>
          <w:rFonts w:hint="eastAsia" w:ascii="Times New Roman" w:hAnsi="Times New Roman" w:cs="Times New Roman" w:eastAsiaTheme="minorEastAsia"/>
          <w:color w:val="auto"/>
          <w:lang w:val="en-US" w:eastAsia="zh-CN"/>
        </w:rPr>
        <w:t>φ</w:t>
      </w:r>
      <w:r>
        <w:rPr>
          <w:rFonts w:hint="default"/>
          <w:color w:val="auto"/>
          <w:lang w:val="en-US" w:eastAsia="zh-CN"/>
        </w:rPr>
        <w:t>140mm的倾斜密集预裂孔，炮孔间距1.2m～1.5m。预裂孔采用不耦合装药，药卷直径50mm，炮孔线装药量0.4kg/m。</w:t>
      </w:r>
    </w:p>
    <w:p w14:paraId="03479FCF">
      <w:pPr>
        <w:rPr>
          <w:rFonts w:hint="default"/>
          <w:color w:val="auto"/>
          <w:lang w:val="en-US" w:eastAsia="zh-CN"/>
        </w:rPr>
      </w:pPr>
      <w:r>
        <w:rPr>
          <w:rFonts w:hint="eastAsia"/>
          <w:color w:val="auto"/>
          <w:lang w:val="en-US" w:eastAsia="zh-CN"/>
        </w:rPr>
        <w:t>5. 铲装作业</w:t>
      </w:r>
    </w:p>
    <w:p w14:paraId="668F823E">
      <w:pPr>
        <w:bidi w:val="0"/>
        <w:rPr>
          <w:rFonts w:hint="default"/>
          <w:b w:val="0"/>
          <w:bCs w:val="0"/>
          <w:color w:val="auto"/>
          <w:lang w:val="en-US" w:eastAsia="zh-CN"/>
        </w:rPr>
      </w:pPr>
      <w:r>
        <w:rPr>
          <w:rFonts w:hint="default"/>
          <w:color w:val="auto"/>
          <w:lang w:val="en-US" w:eastAsia="zh-CN"/>
        </w:rPr>
        <w:t>矿山采用2台PC2000</w:t>
      </w:r>
      <w:r>
        <w:rPr>
          <w:rFonts w:hint="eastAsia"/>
          <w:color w:val="auto"/>
          <w:lang w:val="en-US" w:eastAsia="zh-CN"/>
        </w:rPr>
        <w:t>-8</w:t>
      </w:r>
      <w:r>
        <w:rPr>
          <w:rFonts w:hint="default"/>
          <w:color w:val="auto"/>
          <w:lang w:val="en-US" w:eastAsia="zh-CN"/>
        </w:rPr>
        <w:t>型</w:t>
      </w:r>
      <w:r>
        <w:rPr>
          <w:rFonts w:hint="eastAsia"/>
          <w:color w:val="auto"/>
          <w:lang w:val="en-US" w:eastAsia="zh-CN"/>
        </w:rPr>
        <w:t>正</w:t>
      </w:r>
      <w:r>
        <w:rPr>
          <w:rFonts w:hint="default"/>
          <w:color w:val="auto"/>
          <w:lang w:val="en-US" w:eastAsia="zh-CN"/>
        </w:rPr>
        <w:t>铲液压挖掘机</w:t>
      </w:r>
      <w:r>
        <w:rPr>
          <w:rFonts w:hint="eastAsia"/>
          <w:color w:val="auto"/>
          <w:lang w:val="en-US" w:eastAsia="zh-CN"/>
        </w:rPr>
        <w:t>和1台ZX890</w:t>
      </w:r>
      <w:r>
        <w:rPr>
          <w:rFonts w:hint="default"/>
          <w:color w:val="auto"/>
          <w:lang w:val="en-US" w:eastAsia="zh-CN"/>
        </w:rPr>
        <w:t>型</w:t>
      </w:r>
      <w:r>
        <w:rPr>
          <w:rFonts w:hint="eastAsia"/>
          <w:color w:val="auto"/>
          <w:lang w:val="en-US" w:eastAsia="zh-CN"/>
        </w:rPr>
        <w:t>、1台CAT374FL</w:t>
      </w:r>
      <w:r>
        <w:rPr>
          <w:rFonts w:hint="default"/>
          <w:color w:val="auto"/>
          <w:lang w:val="en-US" w:eastAsia="zh-CN"/>
        </w:rPr>
        <w:t>型反铲液压挖掘机作为采场主要铲装设备。另配置</w:t>
      </w:r>
      <w:r>
        <w:rPr>
          <w:rFonts w:hint="eastAsia"/>
          <w:color w:val="auto"/>
          <w:lang w:val="en-US" w:eastAsia="zh-CN"/>
        </w:rPr>
        <w:t>1</w:t>
      </w:r>
      <w:r>
        <w:rPr>
          <w:rFonts w:hint="default"/>
          <w:color w:val="auto"/>
          <w:lang w:val="en-US" w:eastAsia="zh-CN"/>
        </w:rPr>
        <w:t>台PC400</w:t>
      </w:r>
      <w:r>
        <w:rPr>
          <w:rFonts w:hint="eastAsia"/>
          <w:color w:val="auto"/>
          <w:lang w:val="en-US" w:eastAsia="zh-CN"/>
        </w:rPr>
        <w:t>-7</w:t>
      </w:r>
      <w:r>
        <w:rPr>
          <w:rFonts w:hint="default"/>
          <w:color w:val="auto"/>
          <w:lang w:val="en-US" w:eastAsia="zh-CN"/>
        </w:rPr>
        <w:t>型</w:t>
      </w:r>
      <w:r>
        <w:rPr>
          <w:rFonts w:hint="eastAsia"/>
          <w:color w:val="auto"/>
          <w:lang w:val="en-US" w:eastAsia="zh-CN"/>
        </w:rPr>
        <w:t>和1台</w:t>
      </w:r>
      <w:r>
        <w:rPr>
          <w:rFonts w:hint="default"/>
          <w:color w:val="auto"/>
          <w:lang w:val="en-US" w:eastAsia="zh-CN"/>
        </w:rPr>
        <w:t>PC4</w:t>
      </w:r>
      <w:r>
        <w:rPr>
          <w:rFonts w:hint="eastAsia"/>
          <w:color w:val="auto"/>
          <w:lang w:val="en-US" w:eastAsia="zh-CN"/>
        </w:rPr>
        <w:t>3</w:t>
      </w:r>
      <w:r>
        <w:rPr>
          <w:rFonts w:hint="default"/>
          <w:color w:val="auto"/>
          <w:lang w:val="en-US" w:eastAsia="zh-CN"/>
        </w:rPr>
        <w:t>0</w:t>
      </w:r>
      <w:r>
        <w:rPr>
          <w:rFonts w:hint="eastAsia"/>
          <w:color w:val="auto"/>
          <w:lang w:val="en-US" w:eastAsia="zh-CN"/>
        </w:rPr>
        <w:t>-8</w:t>
      </w:r>
      <w:r>
        <w:rPr>
          <w:rFonts w:hint="default"/>
          <w:color w:val="auto"/>
          <w:lang w:val="en-US" w:eastAsia="zh-CN"/>
        </w:rPr>
        <w:t>型反铲液压挖掘机</w:t>
      </w:r>
      <w:r>
        <w:rPr>
          <w:rFonts w:hint="eastAsia"/>
          <w:color w:val="auto"/>
          <w:lang w:val="en-US" w:eastAsia="zh-CN"/>
        </w:rPr>
        <w:t>，</w:t>
      </w:r>
      <w:r>
        <w:rPr>
          <w:rFonts w:hint="default"/>
          <w:color w:val="FF0000"/>
          <w:lang w:val="en-US" w:eastAsia="zh-CN"/>
        </w:rPr>
        <w:t>均配</w:t>
      </w:r>
      <w:r>
        <w:rPr>
          <w:rFonts w:hint="eastAsia"/>
          <w:color w:val="FF0000"/>
          <w:lang w:val="en-US" w:eastAsia="zh-CN"/>
        </w:rPr>
        <w:t>有</w:t>
      </w:r>
      <w:r>
        <w:rPr>
          <w:rFonts w:hint="default"/>
          <w:color w:val="FF0000"/>
          <w:lang w:val="en-US" w:eastAsia="zh-CN"/>
        </w:rPr>
        <w:t>破碎锤用于采场大块二次破碎。</w:t>
      </w:r>
      <w:r>
        <w:rPr>
          <w:rFonts w:hint="default"/>
          <w:b w:val="0"/>
          <w:bCs w:val="0"/>
          <w:color w:val="auto"/>
          <w:lang w:val="en-US" w:eastAsia="zh-CN"/>
        </w:rPr>
        <w:t>配置</w:t>
      </w:r>
      <w:r>
        <w:rPr>
          <w:rFonts w:hint="eastAsia"/>
          <w:b w:val="0"/>
          <w:bCs w:val="0"/>
          <w:color w:val="auto"/>
          <w:lang w:val="en-US" w:eastAsia="zh-CN"/>
        </w:rPr>
        <w:t>了</w:t>
      </w:r>
      <w:r>
        <w:rPr>
          <w:rFonts w:hint="eastAsia" w:cs="Times New Roman"/>
          <w:b w:val="0"/>
          <w:bCs w:val="0"/>
          <w:color w:val="auto"/>
          <w:lang w:val="en-US" w:eastAsia="zh-CN"/>
        </w:rPr>
        <w:t>1</w:t>
      </w:r>
      <w:r>
        <w:rPr>
          <w:rFonts w:hint="default" w:ascii="Times New Roman" w:hAnsi="Times New Roman" w:eastAsia="宋体" w:cs="Times New Roman"/>
          <w:b w:val="0"/>
          <w:bCs w:val="0"/>
          <w:color w:val="auto"/>
          <w:lang w:val="en-US" w:eastAsia="zh-CN"/>
        </w:rPr>
        <w:t>台</w:t>
      </w:r>
      <w:r>
        <w:rPr>
          <w:rFonts w:hint="eastAsia" w:cs="Times New Roman"/>
          <w:b w:val="0"/>
          <w:bCs w:val="0"/>
          <w:color w:val="auto"/>
          <w:lang w:val="en-US" w:eastAsia="zh-CN"/>
        </w:rPr>
        <w:t>WA600</w:t>
      </w:r>
      <w:r>
        <w:rPr>
          <w:rFonts w:hint="default" w:ascii="Times New Roman" w:hAnsi="Times New Roman" w:eastAsia="宋体" w:cs="Times New Roman"/>
          <w:b w:val="0"/>
          <w:bCs w:val="0"/>
          <w:color w:val="auto"/>
          <w:lang w:val="en-US" w:eastAsia="zh-CN"/>
        </w:rPr>
        <w:t>型</w:t>
      </w:r>
      <w:r>
        <w:rPr>
          <w:rFonts w:hint="eastAsia" w:cs="Times New Roman"/>
          <w:b w:val="0"/>
          <w:bCs w:val="0"/>
          <w:color w:val="auto"/>
          <w:lang w:val="en-US" w:eastAsia="zh-CN"/>
        </w:rPr>
        <w:t>和1台WA380型</w:t>
      </w:r>
      <w:r>
        <w:rPr>
          <w:rFonts w:hint="default" w:ascii="Times New Roman" w:hAnsi="Times New Roman" w:eastAsia="宋体" w:cs="Times New Roman"/>
          <w:b w:val="0"/>
          <w:bCs w:val="0"/>
          <w:color w:val="auto"/>
          <w:lang w:val="en-US" w:eastAsia="zh-CN"/>
        </w:rPr>
        <w:t>装载机</w:t>
      </w:r>
      <w:r>
        <w:rPr>
          <w:rFonts w:hint="eastAsia" w:cs="Times New Roman"/>
          <w:b w:val="0"/>
          <w:bCs w:val="0"/>
          <w:color w:val="auto"/>
          <w:lang w:val="en-US" w:eastAsia="zh-CN"/>
        </w:rPr>
        <w:t>（修路用）</w:t>
      </w:r>
      <w:r>
        <w:rPr>
          <w:rFonts w:hint="default"/>
          <w:b w:val="0"/>
          <w:bCs w:val="0"/>
          <w:color w:val="auto"/>
          <w:lang w:val="en-US" w:eastAsia="zh-CN"/>
        </w:rPr>
        <w:t>作为辅助设备。</w:t>
      </w:r>
    </w:p>
    <w:p w14:paraId="740EACDC">
      <w:pPr>
        <w:pStyle w:val="4"/>
        <w:bidi w:val="0"/>
        <w:rPr>
          <w:rFonts w:hint="default"/>
          <w:color w:val="auto"/>
          <w:lang w:val="en-US" w:eastAsia="zh-CN"/>
        </w:rPr>
      </w:pPr>
      <w:bookmarkStart w:id="150" w:name="_Toc6159"/>
      <w:bookmarkStart w:id="151" w:name="_Toc32576"/>
      <w:bookmarkStart w:id="152" w:name="_Toc7109"/>
      <w:bookmarkStart w:id="153" w:name="_Toc8027"/>
      <w:r>
        <w:rPr>
          <w:rFonts w:hint="default"/>
          <w:color w:val="auto"/>
          <w:lang w:val="en-US" w:eastAsia="zh-CN"/>
        </w:rPr>
        <w:t>2.4.</w:t>
      </w:r>
      <w:r>
        <w:rPr>
          <w:rFonts w:hint="eastAsia"/>
          <w:color w:val="auto"/>
          <w:lang w:val="en-US" w:eastAsia="zh-CN"/>
        </w:rPr>
        <w:t>8</w:t>
      </w:r>
      <w:r>
        <w:rPr>
          <w:rFonts w:hint="default"/>
          <w:color w:val="auto"/>
          <w:lang w:val="en-US" w:eastAsia="zh-CN"/>
        </w:rPr>
        <w:t xml:space="preserve"> 矿山通风与防尘</w:t>
      </w:r>
      <w:bookmarkEnd w:id="150"/>
      <w:bookmarkEnd w:id="151"/>
      <w:bookmarkEnd w:id="152"/>
      <w:bookmarkEnd w:id="153"/>
    </w:p>
    <w:p w14:paraId="54A61DEB">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矿山通风</w:t>
      </w:r>
    </w:p>
    <w:p w14:paraId="6D097538">
      <w:pPr>
        <w:rPr>
          <w:rFonts w:hint="default"/>
          <w:color w:val="auto"/>
          <w:lang w:val="en-US" w:eastAsia="zh-CN"/>
        </w:rPr>
      </w:pPr>
      <w:r>
        <w:rPr>
          <w:rFonts w:hint="eastAsia"/>
          <w:color w:val="auto"/>
          <w:lang w:val="en-US" w:eastAsia="zh-CN"/>
        </w:rPr>
        <w:t>本</w:t>
      </w:r>
      <w:r>
        <w:rPr>
          <w:rFonts w:hint="default"/>
          <w:color w:val="auto"/>
          <w:lang w:val="en-US" w:eastAsia="zh-CN"/>
        </w:rPr>
        <w:t>矿露天开采，采场布置场地开阔、自然通风条件良好。</w:t>
      </w:r>
    </w:p>
    <w:p w14:paraId="1D918C55">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防尘</w:t>
      </w:r>
    </w:p>
    <w:p w14:paraId="51866E68">
      <w:pPr>
        <w:rPr>
          <w:rFonts w:hint="default"/>
          <w:color w:val="auto"/>
          <w:lang w:val="en-US" w:eastAsia="zh-CN"/>
        </w:rPr>
      </w:pPr>
      <w:r>
        <w:rPr>
          <w:rFonts w:hint="default"/>
          <w:color w:val="auto"/>
          <w:lang w:val="en-US" w:eastAsia="zh-CN"/>
        </w:rPr>
        <w:t>矿山配</w:t>
      </w:r>
      <w:r>
        <w:rPr>
          <w:rFonts w:hint="eastAsia"/>
          <w:color w:val="auto"/>
          <w:lang w:val="en-US" w:eastAsia="zh-CN"/>
        </w:rPr>
        <w:t>有</w:t>
      </w:r>
      <w:r>
        <w:rPr>
          <w:rFonts w:hint="eastAsia" w:cs="Times New Roman"/>
          <w:color w:val="auto"/>
          <w:lang w:val="en-US" w:eastAsia="zh-CN"/>
        </w:rPr>
        <w:t>1</w:t>
      </w:r>
      <w:r>
        <w:rPr>
          <w:rFonts w:hint="default" w:ascii="Times New Roman" w:hAnsi="Times New Roman" w:eastAsia="宋体" w:cs="Times New Roman"/>
          <w:color w:val="auto"/>
          <w:lang w:val="en-US" w:eastAsia="zh-CN"/>
        </w:rPr>
        <w:t>台</w:t>
      </w:r>
      <w:r>
        <w:rPr>
          <w:rFonts w:hint="eastAsia" w:cs="Times New Roman"/>
          <w:b w:val="0"/>
          <w:bCs w:val="0"/>
          <w:color w:val="auto"/>
          <w:lang w:val="en-US" w:eastAsia="zh-CN"/>
        </w:rPr>
        <w:t>TR50W型</w:t>
      </w:r>
      <w:r>
        <w:rPr>
          <w:rFonts w:hint="default" w:ascii="Times New Roman" w:hAnsi="Times New Roman" w:eastAsia="宋体" w:cs="Times New Roman"/>
          <w:color w:val="auto"/>
          <w:lang w:val="en-US" w:eastAsia="zh-CN"/>
        </w:rPr>
        <w:t>洒水车</w:t>
      </w:r>
      <w:r>
        <w:rPr>
          <w:rFonts w:hint="eastAsia" w:ascii="Times New Roman" w:hAnsi="Times New Roman" w:eastAsia="宋体" w:cs="Times New Roman"/>
          <w:b w:val="0"/>
          <w:bCs w:val="0"/>
          <w:color w:val="auto"/>
          <w:lang w:val="en-US" w:eastAsia="zh-CN"/>
        </w:rPr>
        <w:t>和1台东风尖头140型</w:t>
      </w:r>
      <w:r>
        <w:rPr>
          <w:rFonts w:hint="default" w:ascii="Times New Roman" w:hAnsi="Times New Roman" w:eastAsia="宋体" w:cs="Times New Roman"/>
          <w:color w:val="auto"/>
          <w:lang w:val="en-US" w:eastAsia="zh-CN"/>
        </w:rPr>
        <w:t>洒水车</w:t>
      </w:r>
      <w:r>
        <w:rPr>
          <w:rFonts w:hint="eastAsia" w:cs="Times New Roman"/>
          <w:color w:val="auto"/>
          <w:lang w:val="en-US" w:eastAsia="zh-CN"/>
        </w:rPr>
        <w:t>（备用）</w:t>
      </w:r>
      <w:r>
        <w:rPr>
          <w:rFonts w:hint="default"/>
          <w:color w:val="auto"/>
          <w:lang w:val="en-US" w:eastAsia="zh-CN"/>
        </w:rPr>
        <w:t>定期对道路、采场和爆堆进行降尘。穿孔采用干式捕尘，钻机配备干式收尘装置。</w:t>
      </w:r>
    </w:p>
    <w:p w14:paraId="20C887EF">
      <w:pPr>
        <w:pStyle w:val="4"/>
        <w:bidi w:val="0"/>
        <w:rPr>
          <w:rFonts w:hint="default"/>
          <w:color w:val="auto"/>
          <w:lang w:val="en-US" w:eastAsia="zh-CN"/>
        </w:rPr>
      </w:pPr>
      <w:bookmarkStart w:id="154" w:name="_Toc17753"/>
      <w:bookmarkStart w:id="155" w:name="_Toc16470"/>
      <w:bookmarkStart w:id="156" w:name="_Toc16115"/>
      <w:bookmarkStart w:id="157" w:name="_Toc4800"/>
      <w:r>
        <w:rPr>
          <w:rFonts w:hint="default"/>
          <w:color w:val="auto"/>
          <w:lang w:val="en-US" w:eastAsia="zh-CN"/>
        </w:rPr>
        <w:t>2.4.</w:t>
      </w:r>
      <w:r>
        <w:rPr>
          <w:rFonts w:hint="eastAsia"/>
          <w:color w:val="auto"/>
          <w:lang w:val="en-US" w:eastAsia="zh-CN"/>
        </w:rPr>
        <w:t>9</w:t>
      </w:r>
      <w:r>
        <w:rPr>
          <w:rFonts w:hint="default"/>
          <w:color w:val="auto"/>
          <w:lang w:val="en-US" w:eastAsia="zh-CN"/>
        </w:rPr>
        <w:t xml:space="preserve"> 防排水与防灭火</w:t>
      </w:r>
      <w:bookmarkEnd w:id="154"/>
      <w:bookmarkEnd w:id="155"/>
      <w:bookmarkEnd w:id="156"/>
      <w:bookmarkEnd w:id="157"/>
    </w:p>
    <w:p w14:paraId="69DEF56C">
      <w:pPr>
        <w:rPr>
          <w:rFonts w:hint="default"/>
          <w:color w:val="auto"/>
          <w:lang w:val="en-US" w:eastAsia="zh-CN"/>
        </w:rPr>
      </w:pPr>
      <w:r>
        <w:rPr>
          <w:rFonts w:hint="eastAsia"/>
          <w:color w:val="auto"/>
          <w:lang w:val="en-US" w:eastAsia="zh-CN"/>
        </w:rPr>
        <w:t>1. 防排水系统</w:t>
      </w:r>
    </w:p>
    <w:p w14:paraId="1E187400">
      <w:pPr>
        <w:rPr>
          <w:rFonts w:hint="default"/>
          <w:color w:val="FF0000"/>
          <w:lang w:val="en-US" w:eastAsia="zh-CN"/>
        </w:rPr>
      </w:pPr>
      <w:r>
        <w:rPr>
          <w:rFonts w:hint="default"/>
          <w:color w:val="FF0000"/>
          <w:lang w:val="en-US" w:eastAsia="zh-CN"/>
        </w:rPr>
        <w:t>矿体位于当地排水基准面以上，大气降水或者岩溶裂隙水一般可通过地形坡度自然排出矿区。</w:t>
      </w:r>
    </w:p>
    <w:p w14:paraId="0A03E906">
      <w:pPr>
        <w:rPr>
          <w:color w:val="auto"/>
        </w:rPr>
      </w:pPr>
      <w:r>
        <w:rPr>
          <w:rFonts w:hint="eastAsia"/>
          <w:color w:val="auto"/>
          <w:lang w:val="en-US" w:eastAsia="zh-CN"/>
        </w:rPr>
        <w:t>目前</w:t>
      </w:r>
      <w:r>
        <w:rPr>
          <w:rFonts w:hint="default"/>
          <w:color w:val="auto"/>
          <w:lang w:val="en-US" w:eastAsia="zh-CN"/>
        </w:rPr>
        <w:t>企业</w:t>
      </w:r>
      <w:r>
        <w:rPr>
          <w:rFonts w:hint="eastAsia"/>
          <w:color w:val="auto"/>
          <w:lang w:val="en-US" w:eastAsia="zh-CN"/>
        </w:rPr>
        <w:t>已</w:t>
      </w:r>
      <w:r>
        <w:rPr>
          <w:rFonts w:hint="default"/>
          <w:color w:val="auto"/>
          <w:lang w:val="en-US" w:eastAsia="zh-CN"/>
        </w:rPr>
        <w:t>在采场</w:t>
      </w:r>
      <w:r>
        <w:rPr>
          <w:rFonts w:hint="eastAsia"/>
          <w:color w:val="auto"/>
          <w:lang w:val="en-US" w:eastAsia="zh-CN"/>
        </w:rPr>
        <w:t>西侧、北侧</w:t>
      </w:r>
      <w:r>
        <w:rPr>
          <w:rFonts w:hint="default"/>
          <w:color w:val="auto"/>
          <w:lang w:val="en-US" w:eastAsia="zh-CN"/>
        </w:rPr>
        <w:t>上游设置了截水沟，混凝土预制块结构</w:t>
      </w:r>
      <w:r>
        <w:rPr>
          <w:rFonts w:hint="eastAsia"/>
          <w:color w:val="auto"/>
          <w:lang w:val="en-US" w:eastAsia="zh-CN"/>
        </w:rPr>
        <w:t>，</w:t>
      </w:r>
      <w:r>
        <w:rPr>
          <w:rFonts w:hint="default"/>
          <w:color w:val="auto"/>
          <w:lang w:val="en-US" w:eastAsia="zh-CN"/>
        </w:rPr>
        <w:t>净宽0.8m，净深0.8m。</w:t>
      </w:r>
      <w:r>
        <w:rPr>
          <w:rFonts w:hint="eastAsia"/>
          <w:color w:val="auto"/>
          <w:lang w:val="en-US" w:eastAsia="zh-CN"/>
        </w:rPr>
        <w:t>从</w:t>
      </w:r>
      <w:r>
        <w:rPr>
          <w:rFonts w:hint="default"/>
          <w:color w:val="auto"/>
          <w:lang w:val="en-US" w:eastAsia="zh-CN"/>
        </w:rPr>
        <w:t>破碎站卸料口</w:t>
      </w:r>
      <w:r>
        <w:rPr>
          <w:rFonts w:hint="eastAsia"/>
          <w:color w:val="auto"/>
          <w:lang w:val="en-US" w:eastAsia="zh-CN"/>
        </w:rPr>
        <w:t>至</w:t>
      </w:r>
      <w:r>
        <w:rPr>
          <w:rFonts w:hint="default"/>
          <w:color w:val="auto"/>
          <w:lang w:val="en-US" w:eastAsia="zh-CN"/>
        </w:rPr>
        <w:t>采场各</w:t>
      </w:r>
      <w:r>
        <w:rPr>
          <w:rFonts w:hint="eastAsia"/>
          <w:color w:val="auto"/>
          <w:lang w:val="en-US" w:eastAsia="zh-CN"/>
        </w:rPr>
        <w:t>平台</w:t>
      </w:r>
      <w:r>
        <w:rPr>
          <w:rFonts w:hint="default"/>
          <w:color w:val="auto"/>
          <w:lang w:val="en-US" w:eastAsia="zh-CN"/>
        </w:rPr>
        <w:t>运输道路</w:t>
      </w:r>
      <w:r>
        <w:rPr>
          <w:rFonts w:hint="eastAsia"/>
          <w:color w:val="auto"/>
          <w:lang w:val="en-US" w:eastAsia="zh-CN"/>
        </w:rPr>
        <w:t>内侧</w:t>
      </w:r>
      <w:r>
        <w:rPr>
          <w:rFonts w:hint="default"/>
          <w:color w:val="auto"/>
          <w:lang w:val="en-US" w:eastAsia="zh-CN"/>
        </w:rPr>
        <w:t>设置了排水沟，混凝土预制块结构</w:t>
      </w:r>
      <w:r>
        <w:rPr>
          <w:rFonts w:hint="eastAsia"/>
          <w:color w:val="auto"/>
          <w:lang w:val="en-US" w:eastAsia="zh-CN"/>
        </w:rPr>
        <w:t>，</w:t>
      </w:r>
      <w:r>
        <w:rPr>
          <w:rFonts w:hint="default"/>
          <w:color w:val="auto"/>
          <w:lang w:val="en-US" w:eastAsia="zh-CN"/>
        </w:rPr>
        <w:t>净宽0.7m，净深0.8m。</w:t>
      </w:r>
    </w:p>
    <w:p w14:paraId="3F428F64">
      <w:pPr>
        <w:rPr>
          <w:rFonts w:hint="eastAsia"/>
          <w:color w:val="auto"/>
          <w:lang w:val="en-US" w:eastAsia="zh-CN"/>
        </w:rPr>
      </w:pPr>
      <w:r>
        <w:rPr>
          <w:rFonts w:hint="eastAsia"/>
          <w:color w:val="auto"/>
          <w:lang w:val="en-US" w:eastAsia="zh-CN"/>
        </w:rPr>
        <w:t>2. 防灭火</w:t>
      </w:r>
    </w:p>
    <w:p w14:paraId="16417B0C">
      <w:pPr>
        <w:rPr>
          <w:rFonts w:hint="default"/>
          <w:color w:val="auto"/>
          <w:lang w:val="en-US" w:eastAsia="zh-CN"/>
        </w:rPr>
      </w:pPr>
      <w:r>
        <w:rPr>
          <w:rFonts w:hint="default"/>
          <w:color w:val="auto"/>
          <w:lang w:val="en-US" w:eastAsia="zh-CN"/>
        </w:rPr>
        <w:t>本矿山矿岩本身无可燃性，采场发生火灾的可能性较低</w:t>
      </w:r>
      <w:r>
        <w:rPr>
          <w:rFonts w:hint="eastAsia"/>
          <w:color w:val="auto"/>
          <w:lang w:val="en-US" w:eastAsia="zh-CN"/>
        </w:rPr>
        <w:t>。</w:t>
      </w:r>
    </w:p>
    <w:p w14:paraId="7749417C">
      <w:pPr>
        <w:rPr>
          <w:rFonts w:hint="default"/>
          <w:color w:val="000000" w:themeColor="text1"/>
          <w:lang w:val="en-US" w:eastAsia="zh-CN"/>
          <w14:textFill>
            <w14:solidFill>
              <w14:schemeClr w14:val="tx1"/>
            </w14:solidFill>
          </w14:textFill>
        </w:rPr>
      </w:pPr>
      <w:r>
        <w:rPr>
          <w:rFonts w:hint="eastAsia"/>
          <w:color w:val="auto"/>
          <w:lang w:val="en-US" w:eastAsia="zh-CN"/>
        </w:rPr>
        <w:t>矿山生产、生活用水取自矿区外接入自来水，消防用水量按消防规范采用15L/s，火灾延续时间按2h计算，共需108m</w:t>
      </w:r>
      <w:r>
        <w:rPr>
          <w:rFonts w:hint="eastAsia"/>
          <w:color w:val="auto"/>
          <w:vertAlign w:val="superscript"/>
          <w:lang w:val="en-US" w:eastAsia="zh-CN"/>
        </w:rPr>
        <w:t>3</w:t>
      </w:r>
      <w:r>
        <w:rPr>
          <w:rFonts w:hint="eastAsia"/>
          <w:color w:val="auto"/>
          <w:lang w:val="en-US" w:eastAsia="zh-CN"/>
        </w:rPr>
        <w:t>。矿山破碎站旁高位水池容积200m</w:t>
      </w:r>
      <w:r>
        <w:rPr>
          <w:rFonts w:hint="default"/>
          <w:color w:val="auto"/>
          <w:vertAlign w:val="superscript"/>
          <w:lang w:val="en-US" w:eastAsia="zh-CN"/>
        </w:rPr>
        <w:t>3</w:t>
      </w:r>
      <w:r>
        <w:rPr>
          <w:rFonts w:hint="eastAsia"/>
          <w:color w:val="auto"/>
          <w:vertAlign w:val="baseline"/>
          <w:lang w:val="en-US" w:eastAsia="zh-CN"/>
        </w:rPr>
        <w:t>，能满足</w:t>
      </w:r>
      <w:r>
        <w:rPr>
          <w:rFonts w:hint="default"/>
          <w:color w:val="auto"/>
          <w:lang w:val="en-US" w:eastAsia="zh-CN"/>
        </w:rPr>
        <w:t>消防用水</w:t>
      </w:r>
      <w:r>
        <w:rPr>
          <w:rFonts w:hint="eastAsia"/>
          <w:color w:val="auto"/>
          <w:lang w:val="en-US" w:eastAsia="zh-CN"/>
        </w:rPr>
        <w:t>需求</w:t>
      </w:r>
      <w:r>
        <w:rPr>
          <w:rFonts w:hint="eastAsia"/>
          <w:color w:val="auto"/>
          <w:vertAlign w:val="baseline"/>
          <w:lang w:val="en-US" w:eastAsia="zh-CN"/>
        </w:rPr>
        <w:t>。</w:t>
      </w:r>
      <w:r>
        <w:rPr>
          <w:rFonts w:hint="default"/>
          <w:color w:val="000000" w:themeColor="text1"/>
          <w:lang w:val="en-US" w:eastAsia="zh-CN"/>
          <w14:textFill>
            <w14:solidFill>
              <w14:schemeClr w14:val="tx1"/>
            </w14:solidFill>
          </w14:textFill>
        </w:rPr>
        <w:t>矿区办公场所、修理间等及各主要生产作业场所</w:t>
      </w:r>
      <w:r>
        <w:rPr>
          <w:rFonts w:hint="eastAsia"/>
          <w:color w:val="000000" w:themeColor="text1"/>
          <w:lang w:val="en-US" w:eastAsia="zh-CN"/>
          <w14:textFill>
            <w14:solidFill>
              <w14:schemeClr w14:val="tx1"/>
            </w14:solidFill>
          </w14:textFill>
        </w:rPr>
        <w:t>均配有消防设施，备足消防器材。采场</w:t>
      </w:r>
      <w:r>
        <w:rPr>
          <w:rFonts w:hint="default"/>
          <w:color w:val="000000" w:themeColor="text1"/>
          <w:lang w:val="en-US" w:eastAsia="zh-CN"/>
          <w14:textFill>
            <w14:solidFill>
              <w14:schemeClr w14:val="tx1"/>
            </w14:solidFill>
          </w14:textFill>
        </w:rPr>
        <w:t>作业设备</w:t>
      </w:r>
      <w:r>
        <w:rPr>
          <w:rFonts w:hint="eastAsia"/>
          <w:color w:val="000000" w:themeColor="text1"/>
          <w:lang w:val="en-US" w:eastAsia="zh-CN"/>
          <w14:textFill>
            <w14:solidFill>
              <w14:schemeClr w14:val="tx1"/>
            </w14:solidFill>
          </w14:textFill>
        </w:rPr>
        <w:t>（如挖掘机、自卸车等）均</w:t>
      </w:r>
      <w:r>
        <w:rPr>
          <w:rFonts w:hint="default"/>
          <w:color w:val="000000" w:themeColor="text1"/>
          <w:lang w:val="en-US" w:eastAsia="zh-CN"/>
          <w14:textFill>
            <w14:solidFill>
              <w14:schemeClr w14:val="tx1"/>
            </w14:solidFill>
          </w14:textFill>
        </w:rPr>
        <w:t>配有灭火器。</w:t>
      </w:r>
    </w:p>
    <w:p w14:paraId="4E2FD617">
      <w:pPr>
        <w:rPr>
          <w:rFonts w:hint="default"/>
          <w:color w:val="auto"/>
          <w:lang w:val="en-US" w:eastAsia="zh-CN"/>
        </w:rPr>
      </w:pPr>
      <w:r>
        <w:rPr>
          <w:rFonts w:hint="default"/>
          <w:color w:val="000000" w:themeColor="text1"/>
          <w:lang w:val="en-US" w:eastAsia="zh-CN"/>
          <w14:textFill>
            <w14:solidFill>
              <w14:schemeClr w14:val="tx1"/>
            </w14:solidFill>
          </w14:textFill>
        </w:rPr>
        <w:t>进矿主干道宽为1</w:t>
      </w:r>
      <w:r>
        <w:rPr>
          <w:rFonts w:hint="eastAsia"/>
          <w:color w:val="000000" w:themeColor="text1"/>
          <w:lang w:val="en-US" w:eastAsia="zh-CN"/>
          <w14:textFill>
            <w14:solidFill>
              <w14:schemeClr w14:val="tx1"/>
            </w14:solidFill>
          </w14:textFill>
        </w:rPr>
        <w:t>1</w:t>
      </w:r>
      <w:r>
        <w:rPr>
          <w:rFonts w:hint="default"/>
          <w:color w:val="000000" w:themeColor="text1"/>
          <w:lang w:val="en-US" w:eastAsia="zh-CN"/>
          <w14:textFill>
            <w14:solidFill>
              <w14:schemeClr w14:val="tx1"/>
            </w14:solidFill>
          </w14:textFill>
        </w:rPr>
        <w:t>m，消防主路宽为9m，支路宽为7m、4m。主要道路和支路均可通行消防车辆，车辆转弯半径主路为11m、9m，支路为6m。</w:t>
      </w:r>
    </w:p>
    <w:p w14:paraId="7A673E7A">
      <w:pPr>
        <w:pStyle w:val="4"/>
        <w:bidi w:val="0"/>
        <w:rPr>
          <w:rFonts w:hint="default"/>
          <w:color w:val="auto"/>
          <w:lang w:val="en-US" w:eastAsia="zh-CN"/>
        </w:rPr>
      </w:pPr>
      <w:bookmarkStart w:id="158" w:name="_Toc28589"/>
      <w:bookmarkStart w:id="159" w:name="_Toc29532"/>
      <w:bookmarkStart w:id="160" w:name="_Toc11707"/>
      <w:bookmarkStart w:id="161" w:name="_Toc30934"/>
      <w:r>
        <w:rPr>
          <w:rFonts w:hint="default"/>
          <w:color w:val="auto"/>
          <w:lang w:val="en-US" w:eastAsia="zh-CN"/>
        </w:rPr>
        <w:t>2.4.</w:t>
      </w:r>
      <w:r>
        <w:rPr>
          <w:rFonts w:hint="eastAsia"/>
          <w:color w:val="auto"/>
          <w:lang w:val="en-US" w:eastAsia="zh-CN"/>
        </w:rPr>
        <w:t xml:space="preserve">10 </w:t>
      </w:r>
      <w:r>
        <w:rPr>
          <w:rFonts w:hint="default"/>
          <w:color w:val="auto"/>
          <w:lang w:val="en-US" w:eastAsia="zh-CN"/>
        </w:rPr>
        <w:t>供电系统</w:t>
      </w:r>
      <w:bookmarkEnd w:id="158"/>
      <w:bookmarkEnd w:id="159"/>
      <w:bookmarkEnd w:id="160"/>
      <w:bookmarkEnd w:id="161"/>
    </w:p>
    <w:p w14:paraId="08D9DCA6">
      <w:pPr>
        <w:rPr>
          <w:rFonts w:hint="default"/>
          <w:color w:val="auto"/>
          <w:lang w:val="en-US" w:eastAsia="zh-CN"/>
        </w:rPr>
      </w:pPr>
      <w:r>
        <w:rPr>
          <w:rFonts w:hint="eastAsia"/>
          <w:color w:val="auto"/>
          <w:lang w:val="en-US" w:eastAsia="zh-CN"/>
        </w:rPr>
        <w:t>1. 外部电源</w:t>
      </w:r>
    </w:p>
    <w:p w14:paraId="44F837BA">
      <w:pPr>
        <w:rPr>
          <w:rFonts w:hint="default"/>
          <w:color w:val="auto"/>
          <w:lang w:val="en-US" w:eastAsia="zh-CN"/>
        </w:rPr>
      </w:pPr>
      <w:r>
        <w:rPr>
          <w:rFonts w:hint="default"/>
          <w:color w:val="auto"/>
          <w:lang w:val="en-US" w:eastAsia="zh-CN"/>
        </w:rPr>
        <w:t>10kV专用电源架空线路引自曹溪变电站，导线采用LGJ-3×240钢芯铝绞线。</w:t>
      </w:r>
    </w:p>
    <w:p w14:paraId="38DA2044">
      <w:pPr>
        <w:rPr>
          <w:rFonts w:hint="default"/>
          <w:color w:val="auto"/>
          <w:lang w:val="en-US" w:eastAsia="zh-CN"/>
        </w:rPr>
      </w:pPr>
      <w:r>
        <w:rPr>
          <w:rFonts w:hint="default"/>
          <w:color w:val="auto"/>
          <w:lang w:val="en-US" w:eastAsia="zh-CN"/>
        </w:rPr>
        <w:t>矿区破碎站建有一座10kV变电所，S</w:t>
      </w:r>
      <w:r>
        <w:rPr>
          <w:rFonts w:hint="default"/>
          <w:color w:val="auto"/>
          <w:vertAlign w:val="subscript"/>
          <w:lang w:val="en-US" w:eastAsia="zh-CN"/>
        </w:rPr>
        <w:t>13</w:t>
      </w:r>
      <w:r>
        <w:rPr>
          <w:rFonts w:hint="default"/>
          <w:color w:val="auto"/>
          <w:lang w:val="en-US" w:eastAsia="zh-CN"/>
        </w:rPr>
        <w:t>-2000变压器1台，可为</w:t>
      </w:r>
      <w:r>
        <w:rPr>
          <w:rFonts w:hint="eastAsia"/>
          <w:color w:val="auto"/>
          <w:lang w:val="en-US" w:eastAsia="zh-CN"/>
        </w:rPr>
        <w:t>矿山</w:t>
      </w:r>
      <w:r>
        <w:rPr>
          <w:rFonts w:hint="default"/>
          <w:color w:val="auto"/>
          <w:lang w:val="en-US" w:eastAsia="zh-CN"/>
        </w:rPr>
        <w:t>提供380V电源。</w:t>
      </w:r>
    </w:p>
    <w:p w14:paraId="00B9A1B1">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供电等级</w:t>
      </w:r>
    </w:p>
    <w:p w14:paraId="74B1963B">
      <w:pPr>
        <w:rPr>
          <w:rFonts w:hint="default"/>
          <w:color w:val="auto"/>
          <w:lang w:val="en-US" w:eastAsia="zh-CN"/>
        </w:rPr>
      </w:pPr>
      <w:r>
        <w:rPr>
          <w:rFonts w:hint="default"/>
          <w:color w:val="auto"/>
          <w:lang w:val="en-US" w:eastAsia="zh-CN"/>
        </w:rPr>
        <w:t>高压电源电压</w:t>
      </w:r>
      <w:r>
        <w:rPr>
          <w:rFonts w:hint="eastAsia"/>
          <w:color w:val="auto"/>
          <w:lang w:val="en-US" w:eastAsia="zh-CN"/>
        </w:rPr>
        <w:t>：</w:t>
      </w:r>
      <w:r>
        <w:rPr>
          <w:rFonts w:hint="default"/>
          <w:color w:val="auto"/>
          <w:lang w:val="en-US" w:eastAsia="zh-CN"/>
        </w:rPr>
        <w:t>10</w:t>
      </w:r>
      <w:r>
        <w:rPr>
          <w:rFonts w:hint="eastAsia"/>
          <w:color w:val="auto"/>
          <w:lang w:val="en-US" w:eastAsia="zh-CN"/>
        </w:rPr>
        <w:t>k</w:t>
      </w:r>
      <w:r>
        <w:rPr>
          <w:rFonts w:hint="default"/>
          <w:color w:val="auto"/>
          <w:lang w:val="en-US" w:eastAsia="zh-CN"/>
        </w:rPr>
        <w:t>V</w:t>
      </w:r>
      <w:r>
        <w:rPr>
          <w:rFonts w:hint="eastAsia"/>
          <w:color w:val="auto"/>
          <w:lang w:val="en-US" w:eastAsia="zh-CN"/>
        </w:rPr>
        <w:t>；</w:t>
      </w:r>
    </w:p>
    <w:p w14:paraId="1799EF29">
      <w:pPr>
        <w:rPr>
          <w:rFonts w:hint="default"/>
          <w:color w:val="auto"/>
          <w:lang w:val="en-US" w:eastAsia="zh-CN"/>
        </w:rPr>
      </w:pPr>
      <w:r>
        <w:rPr>
          <w:rFonts w:hint="eastAsia"/>
          <w:color w:val="auto"/>
          <w:lang w:val="en-US" w:eastAsia="zh-CN"/>
        </w:rPr>
        <w:t>低压配电、电气传动电压：</w:t>
      </w:r>
      <w:r>
        <w:rPr>
          <w:rFonts w:hint="default"/>
          <w:color w:val="auto"/>
          <w:lang w:val="en-US" w:eastAsia="zh-CN"/>
        </w:rPr>
        <w:t>380V</w:t>
      </w:r>
      <w:r>
        <w:rPr>
          <w:rFonts w:hint="eastAsia"/>
          <w:color w:val="auto"/>
          <w:lang w:val="en-US" w:eastAsia="zh-CN"/>
        </w:rPr>
        <w:t>；</w:t>
      </w:r>
    </w:p>
    <w:p w14:paraId="36876594">
      <w:pPr>
        <w:rPr>
          <w:rFonts w:hint="eastAsia"/>
          <w:color w:val="auto"/>
          <w:lang w:val="en-US" w:eastAsia="zh-CN"/>
        </w:rPr>
      </w:pPr>
      <w:r>
        <w:rPr>
          <w:rFonts w:hint="default"/>
          <w:color w:val="auto"/>
          <w:lang w:val="en-US" w:eastAsia="zh-CN"/>
        </w:rPr>
        <w:t>照明电压</w:t>
      </w:r>
      <w:r>
        <w:rPr>
          <w:rFonts w:hint="eastAsia"/>
          <w:color w:val="auto"/>
          <w:lang w:val="en-US" w:eastAsia="zh-CN"/>
        </w:rPr>
        <w:t>：</w:t>
      </w:r>
      <w:r>
        <w:rPr>
          <w:rFonts w:hint="default"/>
          <w:color w:val="auto"/>
          <w:lang w:val="en-US" w:eastAsia="zh-CN"/>
        </w:rPr>
        <w:t>220V</w:t>
      </w:r>
      <w:r>
        <w:rPr>
          <w:rFonts w:hint="eastAsia"/>
          <w:color w:val="auto"/>
          <w:lang w:val="en-US" w:eastAsia="zh-CN"/>
        </w:rPr>
        <w:t>；</w:t>
      </w:r>
    </w:p>
    <w:p w14:paraId="6DBBC1DF">
      <w:pPr>
        <w:rPr>
          <w:rFonts w:hint="default"/>
          <w:color w:val="auto"/>
          <w:lang w:val="en-US" w:eastAsia="zh-CN"/>
        </w:rPr>
      </w:pPr>
      <w:r>
        <w:rPr>
          <w:rFonts w:hint="eastAsia"/>
          <w:color w:val="auto"/>
          <w:lang w:val="en-US" w:eastAsia="zh-CN"/>
        </w:rPr>
        <w:t>检修及安全照明电压：36</w:t>
      </w:r>
      <w:r>
        <w:rPr>
          <w:rFonts w:hint="default"/>
          <w:color w:val="auto"/>
          <w:lang w:val="en-US" w:eastAsia="zh-CN"/>
        </w:rPr>
        <w:t>V</w:t>
      </w:r>
      <w:r>
        <w:rPr>
          <w:rFonts w:hint="eastAsia"/>
          <w:color w:val="auto"/>
          <w:lang w:val="en-US" w:eastAsia="zh-CN"/>
        </w:rPr>
        <w:t>。</w:t>
      </w:r>
    </w:p>
    <w:p w14:paraId="5BD799E9">
      <w:pPr>
        <w:rPr>
          <w:rFonts w:hint="default"/>
          <w:color w:val="auto"/>
          <w:lang w:val="en-US" w:eastAsia="zh-CN"/>
        </w:rPr>
      </w:pPr>
      <w:r>
        <w:rPr>
          <w:rFonts w:hint="eastAsia"/>
          <w:color w:val="auto"/>
          <w:lang w:val="en-US" w:eastAsia="zh-CN"/>
        </w:rPr>
        <w:t>3. 防雷及接地</w:t>
      </w:r>
    </w:p>
    <w:p w14:paraId="450A4B6D">
      <w:pPr>
        <w:rPr>
          <w:rFonts w:hint="default"/>
          <w:color w:val="FF0000"/>
          <w:lang w:val="en-US" w:eastAsia="zh-CN"/>
        </w:rPr>
      </w:pPr>
      <w:r>
        <w:rPr>
          <w:rFonts w:hint="default"/>
          <w:color w:val="FF0000"/>
          <w:lang w:val="en-US" w:eastAsia="zh-CN"/>
        </w:rPr>
        <w:t>太阳能路灯用金属灯柱兼作接闪器和引下线，路灯基础钢筋笼作为防雷接地体。同时，在路灯控制器内设置</w:t>
      </w:r>
      <w:r>
        <w:rPr>
          <w:rFonts w:hint="eastAsia"/>
          <w:color w:val="FF0000"/>
          <w:lang w:val="en-US" w:eastAsia="zh-CN"/>
        </w:rPr>
        <w:t>有</w:t>
      </w:r>
      <w:r>
        <w:rPr>
          <w:rFonts w:hint="default"/>
          <w:color w:val="FF0000"/>
          <w:lang w:val="en-US" w:eastAsia="zh-CN"/>
        </w:rPr>
        <w:t>TVS</w:t>
      </w:r>
      <w:r>
        <w:rPr>
          <w:rFonts w:hint="eastAsia"/>
          <w:color w:val="FF0000"/>
          <w:lang w:val="en-US" w:eastAsia="zh-CN"/>
        </w:rPr>
        <w:t>（</w:t>
      </w:r>
      <w:r>
        <w:rPr>
          <w:rFonts w:hint="default"/>
          <w:color w:val="FF0000"/>
          <w:lang w:val="en-US" w:eastAsia="zh-CN"/>
        </w:rPr>
        <w:t>瞬态电压抑制</w:t>
      </w:r>
      <w:r>
        <w:rPr>
          <w:rFonts w:hint="eastAsia"/>
          <w:color w:val="FF0000"/>
          <w:lang w:val="en-US" w:eastAsia="zh-CN"/>
        </w:rPr>
        <w:t>）</w:t>
      </w:r>
      <w:r>
        <w:rPr>
          <w:rFonts w:hint="default"/>
          <w:color w:val="FF0000"/>
          <w:lang w:val="en-US" w:eastAsia="zh-CN"/>
        </w:rPr>
        <w:t>防雷保护。</w:t>
      </w:r>
    </w:p>
    <w:p w14:paraId="22ECB9A6">
      <w:pPr>
        <w:rPr>
          <w:rFonts w:hint="default"/>
          <w:color w:val="auto"/>
          <w:lang w:val="en-US" w:eastAsia="zh-CN"/>
        </w:rPr>
      </w:pPr>
      <w:r>
        <w:rPr>
          <w:rFonts w:hint="eastAsia"/>
          <w:color w:val="auto"/>
          <w:lang w:val="en-US" w:eastAsia="zh-CN"/>
        </w:rPr>
        <w:t>4. 用电设备</w:t>
      </w:r>
    </w:p>
    <w:p w14:paraId="2E19D62A">
      <w:pPr>
        <w:rPr>
          <w:rFonts w:hint="eastAsia"/>
          <w:color w:val="FF0000"/>
          <w:lang w:val="en-US" w:eastAsia="zh-CN"/>
        </w:rPr>
      </w:pPr>
      <w:r>
        <w:rPr>
          <w:rFonts w:hint="eastAsia"/>
          <w:color w:val="FF0000"/>
          <w:lang w:val="en-US" w:eastAsia="zh-CN"/>
        </w:rPr>
        <w:t>矿山目前无用电设备，运矿道路照明采用太阳能照明灯具。</w:t>
      </w:r>
    </w:p>
    <w:p w14:paraId="0EC21A85">
      <w:pPr>
        <w:pStyle w:val="4"/>
        <w:bidi w:val="0"/>
        <w:rPr>
          <w:rFonts w:hint="default"/>
          <w:color w:val="auto"/>
          <w:lang w:val="en-US" w:eastAsia="zh-CN"/>
        </w:rPr>
      </w:pPr>
      <w:bookmarkStart w:id="162" w:name="_Toc6714"/>
      <w:bookmarkStart w:id="163" w:name="_Toc195"/>
      <w:bookmarkStart w:id="164" w:name="_Toc31066"/>
      <w:bookmarkStart w:id="165" w:name="_Toc1384"/>
      <w:r>
        <w:rPr>
          <w:rFonts w:hint="default"/>
          <w:color w:val="auto"/>
          <w:lang w:val="en-US" w:eastAsia="zh-CN"/>
        </w:rPr>
        <w:t>2.4.</w:t>
      </w:r>
      <w:r>
        <w:rPr>
          <w:rFonts w:hint="eastAsia"/>
          <w:color w:val="auto"/>
          <w:lang w:val="en-US" w:eastAsia="zh-CN"/>
        </w:rPr>
        <w:t>11 供风</w:t>
      </w:r>
      <w:r>
        <w:rPr>
          <w:rFonts w:hint="default"/>
          <w:color w:val="auto"/>
          <w:lang w:val="en-US" w:eastAsia="zh-CN"/>
        </w:rPr>
        <w:t>系统</w:t>
      </w:r>
      <w:bookmarkEnd w:id="162"/>
      <w:bookmarkEnd w:id="163"/>
      <w:bookmarkEnd w:id="164"/>
      <w:bookmarkEnd w:id="165"/>
    </w:p>
    <w:p w14:paraId="090204B3">
      <w:pPr>
        <w:rPr>
          <w:rFonts w:hint="default"/>
          <w:color w:val="auto"/>
          <w:lang w:val="en-US" w:eastAsia="zh-CN"/>
        </w:rPr>
      </w:pPr>
      <w:r>
        <w:rPr>
          <w:rFonts w:hint="default"/>
          <w:color w:val="auto"/>
          <w:lang w:val="en-US" w:eastAsia="zh-CN"/>
        </w:rPr>
        <w:t>矿山所采用的潜孔钻车自带燃油动力的空压机，可满足正常生产的用气需求。</w:t>
      </w:r>
    </w:p>
    <w:p w14:paraId="3661F62E">
      <w:pPr>
        <w:pStyle w:val="4"/>
        <w:bidi w:val="0"/>
        <w:rPr>
          <w:rFonts w:hint="default"/>
          <w:color w:val="auto"/>
          <w:lang w:val="en-US" w:eastAsia="zh-CN"/>
        </w:rPr>
      </w:pPr>
      <w:bookmarkStart w:id="166" w:name="_Toc11212"/>
      <w:r>
        <w:rPr>
          <w:rFonts w:hint="default"/>
          <w:color w:val="auto"/>
          <w:lang w:val="en-US" w:eastAsia="zh-CN"/>
        </w:rPr>
        <w:t>2.4.1</w:t>
      </w:r>
      <w:r>
        <w:rPr>
          <w:rFonts w:hint="eastAsia"/>
          <w:color w:val="auto"/>
          <w:lang w:val="en-US" w:eastAsia="zh-CN"/>
        </w:rPr>
        <w:t>2</w:t>
      </w:r>
      <w:r>
        <w:rPr>
          <w:rFonts w:hint="default"/>
          <w:color w:val="auto"/>
          <w:lang w:val="en-US" w:eastAsia="zh-CN"/>
        </w:rPr>
        <w:t xml:space="preserve"> </w:t>
      </w:r>
      <w:r>
        <w:rPr>
          <w:rFonts w:hint="eastAsia"/>
          <w:color w:val="auto"/>
          <w:lang w:val="en-US" w:eastAsia="zh-CN"/>
        </w:rPr>
        <w:t>通讯系统</w:t>
      </w:r>
      <w:bookmarkEnd w:id="166"/>
    </w:p>
    <w:p w14:paraId="6353B4EF">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矿山通讯系统采用移动电话及对讲机相结合的方式进行，通讯方式有移动电话、调频手持对讲机、固定电话。</w:t>
      </w:r>
    </w:p>
    <w:p w14:paraId="303177AF">
      <w:pPr>
        <w:pStyle w:val="4"/>
        <w:bidi w:val="0"/>
        <w:rPr>
          <w:rFonts w:hint="default"/>
          <w:color w:val="auto"/>
          <w:lang w:val="en-US" w:eastAsia="zh-CN"/>
        </w:rPr>
      </w:pPr>
      <w:bookmarkStart w:id="167" w:name="_Toc31991"/>
      <w:r>
        <w:rPr>
          <w:rFonts w:hint="default"/>
          <w:color w:val="auto"/>
          <w:lang w:val="en-US" w:eastAsia="zh-CN"/>
        </w:rPr>
        <w:t>2.4.1</w:t>
      </w:r>
      <w:r>
        <w:rPr>
          <w:rFonts w:hint="eastAsia"/>
          <w:color w:val="auto"/>
          <w:lang w:val="en-US" w:eastAsia="zh-CN"/>
        </w:rPr>
        <w:t>3</w:t>
      </w:r>
      <w:r>
        <w:rPr>
          <w:rFonts w:hint="default"/>
          <w:color w:val="auto"/>
          <w:lang w:val="en-US" w:eastAsia="zh-CN"/>
        </w:rPr>
        <w:t xml:space="preserve"> </w:t>
      </w:r>
      <w:r>
        <w:rPr>
          <w:rFonts w:hint="eastAsia"/>
          <w:color w:val="auto"/>
          <w:lang w:val="en-US" w:eastAsia="zh-CN"/>
        </w:rPr>
        <w:t>个人安全防护</w:t>
      </w:r>
      <w:bookmarkEnd w:id="167"/>
    </w:p>
    <w:p w14:paraId="0CD66B57">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矿山按规定为每一位员工配备了安全帽、工作服、防尘口罩、手套、工作鞋、雨衣、防焊服、护目镜等。防护用品发放有记录、有台账。</w:t>
      </w:r>
    </w:p>
    <w:p w14:paraId="34277ADD">
      <w:pPr>
        <w:pStyle w:val="4"/>
        <w:bidi w:val="0"/>
        <w:rPr>
          <w:rFonts w:hint="default"/>
          <w:color w:val="auto"/>
          <w:lang w:val="en-US" w:eastAsia="zh-CN"/>
        </w:rPr>
      </w:pPr>
      <w:bookmarkStart w:id="168" w:name="_Toc5794"/>
      <w:r>
        <w:rPr>
          <w:rFonts w:hint="default"/>
          <w:color w:val="auto"/>
          <w:lang w:val="en-US" w:eastAsia="zh-CN"/>
        </w:rPr>
        <w:t>2.4.1</w:t>
      </w:r>
      <w:r>
        <w:rPr>
          <w:rFonts w:hint="eastAsia"/>
          <w:color w:val="auto"/>
          <w:lang w:val="en-US" w:eastAsia="zh-CN"/>
        </w:rPr>
        <w:t>4</w:t>
      </w:r>
      <w:r>
        <w:rPr>
          <w:rFonts w:hint="default"/>
          <w:color w:val="auto"/>
          <w:lang w:val="en-US" w:eastAsia="zh-CN"/>
        </w:rPr>
        <w:t xml:space="preserve"> </w:t>
      </w:r>
      <w:r>
        <w:rPr>
          <w:rFonts w:hint="eastAsia"/>
          <w:color w:val="auto"/>
          <w:lang w:val="en-US" w:eastAsia="zh-CN"/>
        </w:rPr>
        <w:t>安全标志</w:t>
      </w:r>
      <w:bookmarkEnd w:id="168"/>
    </w:p>
    <w:p w14:paraId="3C1575CB">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矿山安全标志主要有平台名称标识、警告标志、指令性标志及路标、矿山交通安全标识桩等四种。</w:t>
      </w:r>
    </w:p>
    <w:p w14:paraId="74BD599A">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禁止标志：作业区、无关人员严禁入，禁止洒后驾驶等。</w:t>
      </w:r>
    </w:p>
    <w:p w14:paraId="402A259B">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警告标志：注意安全，车辆转弯、缓慢行驶，滚石危险等。</w:t>
      </w:r>
    </w:p>
    <w:p w14:paraId="6DF41D6C">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指令性标志：必须戴安全帽、限速标志等。</w:t>
      </w:r>
    </w:p>
    <w:p w14:paraId="1D0561D6">
      <w:pPr>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路标、矿山交通安全标识桩：避炮棚、运输公路弯道标志等。</w:t>
      </w:r>
    </w:p>
    <w:p w14:paraId="263008FC">
      <w:pPr>
        <w:pStyle w:val="4"/>
        <w:bidi w:val="0"/>
        <w:rPr>
          <w:rFonts w:hint="default"/>
          <w:color w:val="auto"/>
          <w:lang w:val="en-US" w:eastAsia="zh-CN"/>
        </w:rPr>
      </w:pPr>
      <w:bookmarkStart w:id="169" w:name="_Toc3602"/>
      <w:bookmarkStart w:id="170" w:name="_Toc478"/>
      <w:bookmarkStart w:id="171" w:name="_Toc9890"/>
      <w:bookmarkStart w:id="172" w:name="_Toc25254"/>
      <w:r>
        <w:rPr>
          <w:rFonts w:hint="default"/>
          <w:color w:val="auto"/>
          <w:lang w:val="en-US" w:eastAsia="zh-CN"/>
        </w:rPr>
        <w:t>2.4.1</w:t>
      </w:r>
      <w:r>
        <w:rPr>
          <w:rFonts w:hint="eastAsia"/>
          <w:color w:val="auto"/>
          <w:lang w:val="en-US" w:eastAsia="zh-CN"/>
        </w:rPr>
        <w:t>5</w:t>
      </w:r>
      <w:r>
        <w:rPr>
          <w:rFonts w:hint="default"/>
          <w:color w:val="auto"/>
          <w:lang w:val="en-US" w:eastAsia="zh-CN"/>
        </w:rPr>
        <w:t xml:space="preserve"> 排土场</w:t>
      </w:r>
      <w:bookmarkEnd w:id="169"/>
      <w:bookmarkEnd w:id="170"/>
      <w:bookmarkEnd w:id="171"/>
      <w:bookmarkEnd w:id="172"/>
    </w:p>
    <w:p w14:paraId="5B622563">
      <w:pPr>
        <w:rPr>
          <w:rFonts w:hint="eastAsia" w:ascii="宋体" w:hAnsi="宋体" w:eastAsia="宋体" w:cs="宋体"/>
          <w:color w:val="000000"/>
          <w:sz w:val="28"/>
          <w:szCs w:val="28"/>
          <w:lang w:val="en-US" w:eastAsia="zh-CN"/>
        </w:rPr>
      </w:pPr>
      <w:r>
        <w:rPr>
          <w:rFonts w:hint="default"/>
          <w:color w:val="auto"/>
          <w:lang w:val="en-US" w:eastAsia="zh-CN"/>
        </w:rPr>
        <w:t>矿山无排土场，矿山</w:t>
      </w:r>
      <w:r>
        <w:rPr>
          <w:rFonts w:hint="eastAsia" w:ascii="宋体" w:hAnsi="宋体" w:eastAsia="宋体" w:cs="宋体"/>
          <w:color w:val="000000"/>
          <w:sz w:val="28"/>
          <w:szCs w:val="28"/>
        </w:rPr>
        <w:t>夹石</w:t>
      </w:r>
      <w:r>
        <w:rPr>
          <w:rFonts w:hint="default"/>
          <w:color w:val="auto"/>
          <w:lang w:val="en-US" w:eastAsia="zh-CN"/>
        </w:rPr>
        <w:t>、第四系</w:t>
      </w:r>
      <w:r>
        <w:rPr>
          <w:rFonts w:hint="eastAsia" w:ascii="宋体" w:hAnsi="宋体" w:eastAsia="宋体" w:cs="宋体"/>
          <w:color w:val="000000"/>
          <w:sz w:val="28"/>
          <w:szCs w:val="28"/>
        </w:rPr>
        <w:t>覆盖土</w:t>
      </w:r>
      <w:r>
        <w:rPr>
          <w:rFonts w:hint="eastAsia" w:ascii="宋体" w:hAnsi="宋体" w:eastAsia="宋体" w:cs="宋体"/>
          <w:color w:val="000000"/>
          <w:sz w:val="28"/>
          <w:szCs w:val="28"/>
          <w:lang w:val="en-US" w:eastAsia="zh-CN"/>
        </w:rPr>
        <w:t>用于曹溪一矿和曹溪二矿矿山复垦，实现废石零排放。</w:t>
      </w:r>
    </w:p>
    <w:p w14:paraId="5FB402A9">
      <w:pPr>
        <w:pStyle w:val="4"/>
        <w:bidi w:val="0"/>
        <w:rPr>
          <w:rFonts w:hint="default"/>
          <w:color w:val="auto"/>
          <w:lang w:val="en-US" w:eastAsia="zh-CN"/>
        </w:rPr>
      </w:pPr>
      <w:bookmarkStart w:id="173" w:name="_Toc5152"/>
      <w:bookmarkStart w:id="174" w:name="_Toc5579"/>
      <w:bookmarkStart w:id="175" w:name="_Toc22173"/>
      <w:bookmarkStart w:id="176" w:name="_Toc200"/>
      <w:r>
        <w:rPr>
          <w:rFonts w:hint="eastAsia"/>
          <w:color w:val="auto"/>
          <w:lang w:val="en-US" w:eastAsia="zh-CN"/>
        </w:rPr>
        <w:t>2.4.16 主要生产设备</w:t>
      </w:r>
      <w:bookmarkEnd w:id="173"/>
      <w:bookmarkEnd w:id="174"/>
      <w:bookmarkEnd w:id="175"/>
      <w:bookmarkEnd w:id="176"/>
    </w:p>
    <w:p w14:paraId="59D11A35">
      <w:pPr>
        <w:bidi w:val="0"/>
        <w:rPr>
          <w:rFonts w:hint="default"/>
          <w:color w:val="auto"/>
          <w:lang w:val="en-US" w:eastAsia="zh-CN"/>
        </w:rPr>
      </w:pPr>
      <w:r>
        <w:rPr>
          <w:rFonts w:hint="eastAsia"/>
          <w:color w:val="auto"/>
          <w:lang w:val="en-US" w:eastAsia="zh-CN"/>
        </w:rPr>
        <w:t xml:space="preserve">1. </w:t>
      </w:r>
      <w:r>
        <w:rPr>
          <w:rFonts w:hint="default"/>
          <w:color w:val="auto"/>
          <w:lang w:val="en-US" w:eastAsia="zh-CN"/>
        </w:rPr>
        <w:t>主要设备</w:t>
      </w:r>
    </w:p>
    <w:p w14:paraId="4003A770">
      <w:pPr>
        <w:bidi w:val="0"/>
        <w:rPr>
          <w:rFonts w:hint="eastAsia"/>
          <w:color w:val="auto"/>
          <w:lang w:val="en-US" w:eastAsia="zh-CN"/>
        </w:rPr>
      </w:pPr>
      <w:r>
        <w:rPr>
          <w:rFonts w:hint="default"/>
          <w:color w:val="auto"/>
          <w:lang w:val="en-US" w:eastAsia="zh-CN"/>
        </w:rPr>
        <w:t>矿山主要设备见表2</w:t>
      </w:r>
      <w:r>
        <w:rPr>
          <w:rFonts w:hint="eastAsia"/>
          <w:color w:val="auto"/>
          <w:lang w:val="en-US" w:eastAsia="zh-CN"/>
        </w:rPr>
        <w:t>.4-2。</w:t>
      </w:r>
    </w:p>
    <w:p w14:paraId="4FA51CF5">
      <w:pPr>
        <w:bidi w:val="0"/>
        <w:ind w:left="0" w:leftChars="0" w:firstLine="0" w:firstLineChars="0"/>
        <w:jc w:val="center"/>
        <w:rPr>
          <w:rFonts w:hint="eastAsia"/>
          <w:color w:val="auto"/>
          <w:lang w:val="en-US" w:eastAsia="zh-CN"/>
        </w:rPr>
      </w:pPr>
      <w:r>
        <w:rPr>
          <w:rFonts w:hint="default"/>
          <w:color w:val="auto"/>
          <w:lang w:val="en-US" w:eastAsia="zh-CN"/>
        </w:rPr>
        <w:t>表2</w:t>
      </w:r>
      <w:r>
        <w:rPr>
          <w:rFonts w:hint="eastAsia"/>
          <w:color w:val="auto"/>
          <w:lang w:val="en-US" w:eastAsia="zh-CN"/>
        </w:rPr>
        <w:t>.4-2 矿山主要设备表</w:t>
      </w:r>
    </w:p>
    <w:tbl>
      <w:tblPr>
        <w:tblStyle w:val="19"/>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2761"/>
        <w:gridCol w:w="2761"/>
        <w:gridCol w:w="2413"/>
      </w:tblGrid>
      <w:tr w14:paraId="04F1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694" w:type="pct"/>
            <w:noWrap w:val="0"/>
            <w:vAlign w:val="center"/>
          </w:tcPr>
          <w:p w14:paraId="2326FF7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ascii="Times New Roman" w:hAnsi="Times New Roman" w:cs="Times New Roman"/>
                <w:b/>
                <w:bCs/>
                <w:color w:val="auto"/>
                <w:kern w:val="2"/>
                <w:sz w:val="21"/>
                <w:szCs w:val="21"/>
                <w:vertAlign w:val="baseline"/>
                <w:lang w:val="en-US" w:eastAsia="zh-CN" w:bidi="ar"/>
              </w:rPr>
              <w:t>序号</w:t>
            </w:r>
          </w:p>
        </w:tc>
        <w:tc>
          <w:tcPr>
            <w:tcW w:w="1498" w:type="pct"/>
            <w:noWrap w:val="0"/>
            <w:vAlign w:val="center"/>
          </w:tcPr>
          <w:p w14:paraId="25817E1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cs="Times New Roman"/>
                <w:b/>
                <w:bCs/>
                <w:color w:val="auto"/>
                <w:kern w:val="2"/>
                <w:sz w:val="21"/>
                <w:szCs w:val="21"/>
                <w:vertAlign w:val="baseline"/>
                <w:lang w:val="en-US" w:eastAsia="zh-CN" w:bidi="ar"/>
              </w:rPr>
              <w:t>设备类型</w:t>
            </w:r>
          </w:p>
        </w:tc>
        <w:tc>
          <w:tcPr>
            <w:tcW w:w="1498" w:type="pct"/>
            <w:noWrap w:val="0"/>
            <w:vAlign w:val="center"/>
          </w:tcPr>
          <w:p w14:paraId="1B0F3E5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ascii="Times New Roman" w:hAnsi="Times New Roman" w:eastAsia="宋体" w:cs="Times New Roman"/>
                <w:b/>
                <w:bCs/>
                <w:color w:val="auto"/>
                <w:kern w:val="2"/>
                <w:sz w:val="21"/>
                <w:szCs w:val="21"/>
                <w:vertAlign w:val="baseline"/>
                <w:lang w:val="en-US" w:eastAsia="zh-CN" w:bidi="ar"/>
              </w:rPr>
              <w:t>名称</w:t>
            </w:r>
          </w:p>
        </w:tc>
        <w:tc>
          <w:tcPr>
            <w:tcW w:w="1309" w:type="pct"/>
            <w:noWrap w:val="0"/>
            <w:vAlign w:val="center"/>
          </w:tcPr>
          <w:p w14:paraId="1504DFF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vertAlign w:val="baseline"/>
                <w:lang w:val="en-US" w:eastAsia="zh-CN" w:bidi="ar"/>
              </w:rPr>
            </w:pPr>
            <w:r>
              <w:rPr>
                <w:rFonts w:hint="eastAsia" w:ascii="Times New Roman" w:hAnsi="Times New Roman" w:cs="Times New Roman"/>
                <w:b/>
                <w:bCs/>
                <w:color w:val="auto"/>
                <w:kern w:val="2"/>
                <w:sz w:val="21"/>
                <w:szCs w:val="21"/>
                <w:vertAlign w:val="baseline"/>
                <w:lang w:val="en-US" w:eastAsia="zh-CN" w:bidi="ar"/>
              </w:rPr>
              <w:t>型号</w:t>
            </w:r>
          </w:p>
        </w:tc>
      </w:tr>
      <w:tr w14:paraId="4508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13B96A3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1</w:t>
            </w:r>
          </w:p>
        </w:tc>
        <w:tc>
          <w:tcPr>
            <w:tcW w:w="1498" w:type="pct"/>
            <w:vMerge w:val="restart"/>
            <w:noWrap w:val="0"/>
            <w:vAlign w:val="center"/>
          </w:tcPr>
          <w:p w14:paraId="4E1548F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穿孔设备</w:t>
            </w:r>
          </w:p>
        </w:tc>
        <w:tc>
          <w:tcPr>
            <w:tcW w:w="1498" w:type="pct"/>
            <w:noWrap w:val="0"/>
            <w:vAlign w:val="center"/>
          </w:tcPr>
          <w:p w14:paraId="6E1A55D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钻机</w:t>
            </w:r>
          </w:p>
        </w:tc>
        <w:tc>
          <w:tcPr>
            <w:tcW w:w="1309" w:type="pct"/>
            <w:noWrap w:val="0"/>
            <w:vAlign w:val="center"/>
          </w:tcPr>
          <w:p w14:paraId="1030094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DM30</w:t>
            </w:r>
            <w:r>
              <w:rPr>
                <w:rFonts w:hint="eastAsia" w:asciiTheme="minorEastAsia" w:hAnsiTheme="minorEastAsia" w:eastAsiaTheme="minorEastAsia" w:cstheme="minorEastAsia"/>
                <w:color w:val="auto"/>
                <w:kern w:val="2"/>
                <w:sz w:val="21"/>
                <w:szCs w:val="21"/>
                <w:vertAlign w:val="baseline"/>
                <w:lang w:val="en-US" w:eastAsia="zh-CN" w:bidi="ar"/>
              </w:rPr>
              <w:t>Ⅱ</w:t>
            </w:r>
          </w:p>
        </w:tc>
      </w:tr>
      <w:tr w14:paraId="14FA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1C901FD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2</w:t>
            </w:r>
          </w:p>
        </w:tc>
        <w:tc>
          <w:tcPr>
            <w:tcW w:w="1498" w:type="pct"/>
            <w:vMerge w:val="continue"/>
            <w:noWrap w:val="0"/>
            <w:vAlign w:val="center"/>
          </w:tcPr>
          <w:p w14:paraId="286CAA2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56AD257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钻机</w:t>
            </w:r>
          </w:p>
        </w:tc>
        <w:tc>
          <w:tcPr>
            <w:tcW w:w="1309" w:type="pct"/>
            <w:noWrap w:val="0"/>
            <w:vAlign w:val="center"/>
          </w:tcPr>
          <w:p w14:paraId="4D26D6F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DM30Ⅱ</w:t>
            </w:r>
          </w:p>
        </w:tc>
      </w:tr>
      <w:tr w14:paraId="50FF6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5B239C6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3</w:t>
            </w:r>
          </w:p>
        </w:tc>
        <w:tc>
          <w:tcPr>
            <w:tcW w:w="1498" w:type="pct"/>
            <w:vMerge w:val="continue"/>
            <w:noWrap w:val="0"/>
            <w:vAlign w:val="center"/>
          </w:tcPr>
          <w:p w14:paraId="0364369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629565B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钻机</w:t>
            </w:r>
          </w:p>
        </w:tc>
        <w:tc>
          <w:tcPr>
            <w:tcW w:w="1309" w:type="pct"/>
            <w:noWrap w:val="0"/>
            <w:vAlign w:val="center"/>
          </w:tcPr>
          <w:p w14:paraId="338A832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D50</w:t>
            </w:r>
          </w:p>
        </w:tc>
      </w:tr>
      <w:tr w14:paraId="3C82E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66EAF80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4</w:t>
            </w:r>
          </w:p>
        </w:tc>
        <w:tc>
          <w:tcPr>
            <w:tcW w:w="1498" w:type="pct"/>
            <w:vMerge w:val="restart"/>
            <w:noWrap w:val="0"/>
            <w:vAlign w:val="center"/>
          </w:tcPr>
          <w:p w14:paraId="0E22F57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铲装设备</w:t>
            </w:r>
          </w:p>
        </w:tc>
        <w:tc>
          <w:tcPr>
            <w:tcW w:w="1498" w:type="pct"/>
            <w:noWrap w:val="0"/>
            <w:vAlign w:val="center"/>
          </w:tcPr>
          <w:p w14:paraId="237551C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液压挖掘机</w:t>
            </w:r>
          </w:p>
        </w:tc>
        <w:tc>
          <w:tcPr>
            <w:tcW w:w="1309" w:type="pct"/>
            <w:noWrap w:val="0"/>
            <w:vAlign w:val="center"/>
          </w:tcPr>
          <w:p w14:paraId="5B31FF4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PC2000-8</w:t>
            </w:r>
          </w:p>
        </w:tc>
      </w:tr>
      <w:tr w14:paraId="50CF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7B85133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5</w:t>
            </w:r>
          </w:p>
        </w:tc>
        <w:tc>
          <w:tcPr>
            <w:tcW w:w="1498" w:type="pct"/>
            <w:vMerge w:val="continue"/>
            <w:noWrap w:val="0"/>
            <w:vAlign w:val="center"/>
          </w:tcPr>
          <w:p w14:paraId="3765692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20AC0E6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液压挖掘机</w:t>
            </w:r>
          </w:p>
        </w:tc>
        <w:tc>
          <w:tcPr>
            <w:tcW w:w="1309" w:type="pct"/>
            <w:noWrap w:val="0"/>
            <w:vAlign w:val="center"/>
          </w:tcPr>
          <w:p w14:paraId="1723258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PC2000-8</w:t>
            </w:r>
          </w:p>
        </w:tc>
      </w:tr>
      <w:tr w14:paraId="453D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590E78B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6</w:t>
            </w:r>
          </w:p>
        </w:tc>
        <w:tc>
          <w:tcPr>
            <w:tcW w:w="1498" w:type="pct"/>
            <w:vMerge w:val="continue"/>
            <w:noWrap w:val="0"/>
            <w:vAlign w:val="center"/>
          </w:tcPr>
          <w:p w14:paraId="47A7F85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731EBD4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液压挖掘机</w:t>
            </w:r>
          </w:p>
        </w:tc>
        <w:tc>
          <w:tcPr>
            <w:tcW w:w="1309" w:type="pct"/>
            <w:noWrap w:val="0"/>
            <w:vAlign w:val="center"/>
          </w:tcPr>
          <w:p w14:paraId="4A465AB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CAT374FL</w:t>
            </w:r>
          </w:p>
        </w:tc>
      </w:tr>
      <w:tr w14:paraId="17F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25EC248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7</w:t>
            </w:r>
          </w:p>
        </w:tc>
        <w:tc>
          <w:tcPr>
            <w:tcW w:w="1498" w:type="pct"/>
            <w:vMerge w:val="continue"/>
            <w:noWrap w:val="0"/>
            <w:vAlign w:val="center"/>
          </w:tcPr>
          <w:p w14:paraId="3AFEA96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00DC143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液压挖掘机</w:t>
            </w:r>
          </w:p>
        </w:tc>
        <w:tc>
          <w:tcPr>
            <w:tcW w:w="1309" w:type="pct"/>
            <w:noWrap w:val="0"/>
            <w:vAlign w:val="center"/>
          </w:tcPr>
          <w:p w14:paraId="565EC7F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ZX890</w:t>
            </w:r>
          </w:p>
        </w:tc>
      </w:tr>
      <w:tr w14:paraId="5BC2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584B96E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8</w:t>
            </w:r>
          </w:p>
        </w:tc>
        <w:tc>
          <w:tcPr>
            <w:tcW w:w="1498" w:type="pct"/>
            <w:vMerge w:val="continue"/>
            <w:noWrap w:val="0"/>
            <w:vAlign w:val="center"/>
          </w:tcPr>
          <w:p w14:paraId="4DE373B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36E5980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液压挖掘机</w:t>
            </w:r>
          </w:p>
        </w:tc>
        <w:tc>
          <w:tcPr>
            <w:tcW w:w="1309" w:type="pct"/>
            <w:noWrap w:val="0"/>
            <w:vAlign w:val="center"/>
          </w:tcPr>
          <w:p w14:paraId="011A89C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PC430-8</w:t>
            </w:r>
          </w:p>
        </w:tc>
      </w:tr>
      <w:tr w14:paraId="2FC11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7FDEC93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ascii="Times New Roman" w:hAnsi="Times New Roman" w:eastAsia="宋体" w:cs="Times New Roman"/>
                <w:color w:val="auto"/>
                <w:kern w:val="2"/>
                <w:sz w:val="21"/>
                <w:szCs w:val="21"/>
                <w:vertAlign w:val="baseline"/>
                <w:lang w:val="en-US" w:eastAsia="zh-CN" w:bidi="ar"/>
              </w:rPr>
              <w:t>9</w:t>
            </w:r>
          </w:p>
        </w:tc>
        <w:tc>
          <w:tcPr>
            <w:tcW w:w="1498" w:type="pct"/>
            <w:vMerge w:val="continue"/>
            <w:noWrap w:val="0"/>
            <w:vAlign w:val="center"/>
          </w:tcPr>
          <w:p w14:paraId="496FC21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7C74731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液压挖掘机</w:t>
            </w:r>
          </w:p>
        </w:tc>
        <w:tc>
          <w:tcPr>
            <w:tcW w:w="1309" w:type="pct"/>
            <w:noWrap w:val="0"/>
            <w:vAlign w:val="center"/>
          </w:tcPr>
          <w:p w14:paraId="4CD24F7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PC400-7</w:t>
            </w:r>
          </w:p>
        </w:tc>
      </w:tr>
      <w:tr w14:paraId="020C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0F24A58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10</w:t>
            </w:r>
          </w:p>
        </w:tc>
        <w:tc>
          <w:tcPr>
            <w:tcW w:w="1498" w:type="pct"/>
            <w:vMerge w:val="continue"/>
            <w:noWrap w:val="0"/>
            <w:vAlign w:val="center"/>
          </w:tcPr>
          <w:p w14:paraId="5446979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7F848A5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装载机</w:t>
            </w:r>
          </w:p>
        </w:tc>
        <w:tc>
          <w:tcPr>
            <w:tcW w:w="1309" w:type="pct"/>
            <w:noWrap w:val="0"/>
            <w:vAlign w:val="center"/>
          </w:tcPr>
          <w:p w14:paraId="4EB6FAB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WA600</w:t>
            </w:r>
          </w:p>
        </w:tc>
      </w:tr>
      <w:tr w14:paraId="212A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5153496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11</w:t>
            </w:r>
          </w:p>
        </w:tc>
        <w:tc>
          <w:tcPr>
            <w:tcW w:w="1498" w:type="pct"/>
            <w:vMerge w:val="continue"/>
            <w:noWrap w:val="0"/>
            <w:vAlign w:val="center"/>
          </w:tcPr>
          <w:p w14:paraId="7B73DC1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25BDF48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装载机</w:t>
            </w:r>
          </w:p>
        </w:tc>
        <w:tc>
          <w:tcPr>
            <w:tcW w:w="1309" w:type="pct"/>
            <w:noWrap w:val="0"/>
            <w:vAlign w:val="center"/>
          </w:tcPr>
          <w:p w14:paraId="7C576E0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WA380</w:t>
            </w:r>
          </w:p>
        </w:tc>
      </w:tr>
      <w:tr w14:paraId="056B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6DD2A76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12</w:t>
            </w:r>
          </w:p>
        </w:tc>
        <w:tc>
          <w:tcPr>
            <w:tcW w:w="1498" w:type="pct"/>
            <w:vMerge w:val="restart"/>
            <w:noWrap w:val="0"/>
            <w:vAlign w:val="center"/>
          </w:tcPr>
          <w:p w14:paraId="67506C2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运输设备</w:t>
            </w:r>
          </w:p>
        </w:tc>
        <w:tc>
          <w:tcPr>
            <w:tcW w:w="1498" w:type="pct"/>
            <w:noWrap w:val="0"/>
            <w:vAlign w:val="center"/>
          </w:tcPr>
          <w:p w14:paraId="6935143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2F28453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TR50</w:t>
            </w:r>
          </w:p>
        </w:tc>
      </w:tr>
      <w:tr w14:paraId="4BF3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658CFC2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13</w:t>
            </w:r>
          </w:p>
        </w:tc>
        <w:tc>
          <w:tcPr>
            <w:tcW w:w="1498" w:type="pct"/>
            <w:vMerge w:val="continue"/>
            <w:noWrap w:val="0"/>
            <w:vAlign w:val="center"/>
          </w:tcPr>
          <w:p w14:paraId="13203E3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010C63D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0C1BFF8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TR50</w:t>
            </w:r>
          </w:p>
        </w:tc>
      </w:tr>
      <w:tr w14:paraId="2F306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57DEDB4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14</w:t>
            </w:r>
          </w:p>
        </w:tc>
        <w:tc>
          <w:tcPr>
            <w:tcW w:w="1498" w:type="pct"/>
            <w:vMerge w:val="continue"/>
            <w:noWrap w:val="0"/>
            <w:vAlign w:val="center"/>
          </w:tcPr>
          <w:p w14:paraId="23551C68">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4E1DA98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79DFC23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TR50</w:t>
            </w:r>
          </w:p>
        </w:tc>
      </w:tr>
      <w:tr w14:paraId="2B73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4148226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15</w:t>
            </w:r>
          </w:p>
        </w:tc>
        <w:tc>
          <w:tcPr>
            <w:tcW w:w="1498" w:type="pct"/>
            <w:vMerge w:val="continue"/>
            <w:noWrap w:val="0"/>
            <w:vAlign w:val="center"/>
          </w:tcPr>
          <w:p w14:paraId="2B104E8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4A72DCE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6CA3F08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TR50</w:t>
            </w:r>
          </w:p>
        </w:tc>
      </w:tr>
      <w:tr w14:paraId="5A83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30441E9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16</w:t>
            </w:r>
          </w:p>
        </w:tc>
        <w:tc>
          <w:tcPr>
            <w:tcW w:w="1498" w:type="pct"/>
            <w:vMerge w:val="continue"/>
            <w:noWrap w:val="0"/>
            <w:vAlign w:val="center"/>
          </w:tcPr>
          <w:p w14:paraId="0A47CA3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65D3097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55E8D37E">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0EDD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628E02E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17</w:t>
            </w:r>
          </w:p>
        </w:tc>
        <w:tc>
          <w:tcPr>
            <w:tcW w:w="1498" w:type="pct"/>
            <w:vMerge w:val="continue"/>
            <w:noWrap w:val="0"/>
            <w:vAlign w:val="center"/>
          </w:tcPr>
          <w:p w14:paraId="5E8752E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487C9A6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0096AE4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2207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16FFBC1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18</w:t>
            </w:r>
          </w:p>
        </w:tc>
        <w:tc>
          <w:tcPr>
            <w:tcW w:w="1498" w:type="pct"/>
            <w:vMerge w:val="continue"/>
            <w:noWrap w:val="0"/>
            <w:vAlign w:val="center"/>
          </w:tcPr>
          <w:p w14:paraId="16C56E7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744A476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7C09F18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699E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16C79AC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19</w:t>
            </w:r>
          </w:p>
        </w:tc>
        <w:tc>
          <w:tcPr>
            <w:tcW w:w="1498" w:type="pct"/>
            <w:vMerge w:val="continue"/>
            <w:noWrap w:val="0"/>
            <w:vAlign w:val="center"/>
          </w:tcPr>
          <w:p w14:paraId="727D625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4D9C394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4E1C877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568A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241C3D6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20</w:t>
            </w:r>
          </w:p>
        </w:tc>
        <w:tc>
          <w:tcPr>
            <w:tcW w:w="1498" w:type="pct"/>
            <w:vMerge w:val="continue"/>
            <w:noWrap w:val="0"/>
            <w:vAlign w:val="center"/>
          </w:tcPr>
          <w:p w14:paraId="12AACB8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510B01E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1F6535D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00AF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4" w:type="pct"/>
            <w:noWrap w:val="0"/>
            <w:vAlign w:val="center"/>
          </w:tcPr>
          <w:p w14:paraId="55775793">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21</w:t>
            </w:r>
          </w:p>
        </w:tc>
        <w:tc>
          <w:tcPr>
            <w:tcW w:w="1498" w:type="pct"/>
            <w:vMerge w:val="continue"/>
            <w:noWrap w:val="0"/>
            <w:vAlign w:val="center"/>
          </w:tcPr>
          <w:p w14:paraId="51B78D1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797EFB4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4556489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089B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94" w:type="pct"/>
            <w:noWrap w:val="0"/>
            <w:vAlign w:val="center"/>
          </w:tcPr>
          <w:p w14:paraId="694322B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22</w:t>
            </w:r>
          </w:p>
        </w:tc>
        <w:tc>
          <w:tcPr>
            <w:tcW w:w="1498" w:type="pct"/>
            <w:vMerge w:val="continue"/>
            <w:noWrap w:val="0"/>
            <w:vAlign w:val="center"/>
          </w:tcPr>
          <w:p w14:paraId="62CC78DF">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1887A857">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矿用自卸车</w:t>
            </w:r>
          </w:p>
        </w:tc>
        <w:tc>
          <w:tcPr>
            <w:tcW w:w="1309" w:type="pct"/>
            <w:noWrap w:val="0"/>
            <w:vAlign w:val="center"/>
          </w:tcPr>
          <w:p w14:paraId="05C10836">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TR100AT</w:t>
            </w:r>
          </w:p>
        </w:tc>
      </w:tr>
      <w:tr w14:paraId="31EF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94" w:type="pct"/>
            <w:noWrap w:val="0"/>
            <w:vAlign w:val="center"/>
          </w:tcPr>
          <w:p w14:paraId="105E7F8A">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23</w:t>
            </w:r>
          </w:p>
        </w:tc>
        <w:tc>
          <w:tcPr>
            <w:tcW w:w="1498" w:type="pct"/>
            <w:vMerge w:val="restart"/>
            <w:noWrap w:val="0"/>
            <w:vAlign w:val="center"/>
          </w:tcPr>
          <w:p w14:paraId="0DFCD1E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其他设备</w:t>
            </w:r>
          </w:p>
        </w:tc>
        <w:tc>
          <w:tcPr>
            <w:tcW w:w="1498" w:type="pct"/>
            <w:noWrap w:val="0"/>
            <w:vAlign w:val="center"/>
          </w:tcPr>
          <w:p w14:paraId="2EBB8D5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洒水车</w:t>
            </w:r>
          </w:p>
        </w:tc>
        <w:tc>
          <w:tcPr>
            <w:tcW w:w="1309" w:type="pct"/>
            <w:noWrap w:val="0"/>
            <w:vAlign w:val="center"/>
          </w:tcPr>
          <w:p w14:paraId="26980CA1">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TR50W</w:t>
            </w:r>
          </w:p>
        </w:tc>
      </w:tr>
      <w:tr w14:paraId="2EC7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694" w:type="pct"/>
            <w:noWrap w:val="0"/>
            <w:vAlign w:val="center"/>
          </w:tcPr>
          <w:p w14:paraId="48483FF5">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24</w:t>
            </w:r>
          </w:p>
        </w:tc>
        <w:tc>
          <w:tcPr>
            <w:tcW w:w="1498" w:type="pct"/>
            <w:vMerge w:val="continue"/>
            <w:noWrap w:val="0"/>
            <w:vAlign w:val="center"/>
          </w:tcPr>
          <w:p w14:paraId="2CCF0D44">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3855E2ED">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洒水车</w:t>
            </w:r>
          </w:p>
        </w:tc>
        <w:tc>
          <w:tcPr>
            <w:tcW w:w="1309" w:type="pct"/>
            <w:noWrap w:val="0"/>
            <w:vAlign w:val="center"/>
          </w:tcPr>
          <w:p w14:paraId="3763441B">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b w:val="0"/>
                <w:bCs w:val="0"/>
                <w:color w:val="auto"/>
                <w:kern w:val="2"/>
                <w:sz w:val="21"/>
                <w:szCs w:val="21"/>
                <w:vertAlign w:val="baseline"/>
                <w:lang w:val="en-US" w:eastAsia="zh-CN" w:bidi="ar"/>
              </w:rPr>
              <w:t>东风尖头140</w:t>
            </w:r>
          </w:p>
        </w:tc>
      </w:tr>
      <w:tr w14:paraId="76DF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94" w:type="pct"/>
            <w:noWrap w:val="0"/>
            <w:vAlign w:val="center"/>
          </w:tcPr>
          <w:p w14:paraId="00762770">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25</w:t>
            </w:r>
          </w:p>
        </w:tc>
        <w:tc>
          <w:tcPr>
            <w:tcW w:w="1498" w:type="pct"/>
            <w:vMerge w:val="continue"/>
            <w:noWrap w:val="0"/>
            <w:vAlign w:val="center"/>
          </w:tcPr>
          <w:p w14:paraId="35BD950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p>
        </w:tc>
        <w:tc>
          <w:tcPr>
            <w:tcW w:w="1498" w:type="pct"/>
            <w:noWrap w:val="0"/>
            <w:vAlign w:val="center"/>
          </w:tcPr>
          <w:p w14:paraId="012C05AC">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eastAsia" w:cs="Times New Roman"/>
                <w:color w:val="auto"/>
                <w:kern w:val="2"/>
                <w:sz w:val="21"/>
                <w:szCs w:val="21"/>
                <w:vertAlign w:val="baseline"/>
                <w:lang w:val="en-US" w:eastAsia="zh-CN" w:bidi="ar"/>
              </w:rPr>
              <w:t>变压器</w:t>
            </w:r>
          </w:p>
        </w:tc>
        <w:tc>
          <w:tcPr>
            <w:tcW w:w="1309" w:type="pct"/>
            <w:noWrap w:val="0"/>
            <w:vAlign w:val="center"/>
          </w:tcPr>
          <w:p w14:paraId="3BB9CC52">
            <w:pPr>
              <w:pStyle w:val="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
              </w:rPr>
            </w:pPr>
            <w:r>
              <w:rPr>
                <w:rFonts w:hint="default" w:ascii="Times New Roman" w:hAnsi="Times New Roman" w:eastAsia="宋体" w:cs="Times New Roman"/>
                <w:color w:val="auto"/>
                <w:kern w:val="2"/>
                <w:sz w:val="21"/>
                <w:szCs w:val="21"/>
                <w:vertAlign w:val="baseline"/>
                <w:lang w:val="en-US" w:eastAsia="zh-CN" w:bidi="ar"/>
              </w:rPr>
              <w:t>S</w:t>
            </w:r>
            <w:r>
              <w:rPr>
                <w:rFonts w:hint="default" w:ascii="Times New Roman" w:hAnsi="Times New Roman" w:eastAsia="宋体" w:cs="Times New Roman"/>
                <w:color w:val="auto"/>
                <w:kern w:val="2"/>
                <w:sz w:val="21"/>
                <w:szCs w:val="21"/>
                <w:vertAlign w:val="subscript"/>
                <w:lang w:val="en-US" w:eastAsia="zh-CN" w:bidi="ar"/>
              </w:rPr>
              <w:t>13</w:t>
            </w:r>
            <w:r>
              <w:rPr>
                <w:rFonts w:hint="default" w:ascii="Times New Roman" w:hAnsi="Times New Roman" w:eastAsia="宋体" w:cs="Times New Roman"/>
                <w:color w:val="auto"/>
                <w:kern w:val="2"/>
                <w:sz w:val="21"/>
                <w:szCs w:val="21"/>
                <w:vertAlign w:val="baseline"/>
                <w:lang w:val="en-US" w:eastAsia="zh-CN" w:bidi="ar"/>
              </w:rPr>
              <w:t>-2000</w:t>
            </w:r>
          </w:p>
        </w:tc>
      </w:tr>
    </w:tbl>
    <w:p w14:paraId="34F245D3">
      <w:pPr>
        <w:bidi w:val="0"/>
        <w:rPr>
          <w:rFonts w:hint="eastAsia"/>
          <w:color w:val="auto"/>
          <w:lang w:val="en-US" w:eastAsia="zh-CN"/>
        </w:rPr>
      </w:pPr>
      <w:r>
        <w:rPr>
          <w:rFonts w:hint="eastAsia"/>
          <w:color w:val="auto"/>
          <w:lang w:val="en-US" w:eastAsia="zh-CN"/>
        </w:rPr>
        <w:t>2. 矿用自卸汽车检测</w:t>
      </w:r>
    </w:p>
    <w:p w14:paraId="2014CA92">
      <w:pPr>
        <w:bidi w:val="0"/>
        <w:rPr>
          <w:rFonts w:hint="default"/>
          <w:color w:val="auto"/>
          <w:shd w:val="clear" w:color="auto" w:fill="auto"/>
          <w:lang w:val="en-US" w:eastAsia="zh-CN"/>
        </w:rPr>
      </w:pPr>
      <w:r>
        <w:rPr>
          <w:rFonts w:hint="default"/>
          <w:color w:val="auto"/>
          <w:lang w:val="en-US" w:eastAsia="zh-CN"/>
        </w:rPr>
        <w:t>弋阳海螺水泥有限责任公司</w:t>
      </w:r>
      <w:r>
        <w:rPr>
          <w:rFonts w:hint="eastAsia"/>
          <w:color w:val="auto"/>
          <w:lang w:val="en-US" w:eastAsia="zh-CN"/>
        </w:rPr>
        <w:t>委托安徽矿安检测技术服务有限公司对其3台移动式空气压缩机、11辆矿用自卸汽车进行了检测，并于2025年6月</w:t>
      </w:r>
      <w:r>
        <w:rPr>
          <w:rFonts w:hint="eastAsia"/>
          <w:color w:val="auto"/>
          <w:shd w:val="clear" w:color="auto" w:fill="auto"/>
          <w:lang w:val="en-US" w:eastAsia="zh-CN"/>
        </w:rPr>
        <w:t>10日</w:t>
      </w:r>
      <w:r>
        <w:rPr>
          <w:rFonts w:hint="default"/>
          <w:color w:val="auto"/>
          <w:shd w:val="clear" w:color="auto" w:fill="auto"/>
          <w:lang w:val="en-US" w:eastAsia="zh-CN"/>
        </w:rPr>
        <w:t>～</w:t>
      </w:r>
      <w:r>
        <w:rPr>
          <w:rFonts w:hint="eastAsia"/>
          <w:color w:val="auto"/>
          <w:shd w:val="clear" w:color="auto" w:fill="auto"/>
          <w:lang w:val="en-US" w:eastAsia="zh-CN"/>
        </w:rPr>
        <w:t>12日出具了安全检测检验报告，检测结果均为合格。</w:t>
      </w:r>
    </w:p>
    <w:p w14:paraId="3A6DA3E3">
      <w:pPr>
        <w:pStyle w:val="3"/>
        <w:bidi w:val="0"/>
        <w:rPr>
          <w:rFonts w:hint="default"/>
          <w:color w:val="auto"/>
          <w:shd w:val="clear" w:color="auto" w:fill="auto"/>
          <w:lang w:val="en-US" w:eastAsia="zh-CN"/>
        </w:rPr>
      </w:pPr>
      <w:bookmarkStart w:id="177" w:name="_Toc17411"/>
      <w:bookmarkStart w:id="178" w:name="_Toc3572"/>
      <w:bookmarkStart w:id="179" w:name="_Toc26707"/>
      <w:bookmarkStart w:id="180" w:name="_Toc15320"/>
      <w:r>
        <w:rPr>
          <w:rFonts w:hint="default"/>
          <w:color w:val="auto"/>
          <w:shd w:val="clear" w:color="auto" w:fill="auto"/>
          <w:lang w:val="en-US" w:eastAsia="zh-CN"/>
        </w:rPr>
        <w:t>2.5 矿山安全管理</w:t>
      </w:r>
      <w:bookmarkEnd w:id="177"/>
      <w:bookmarkEnd w:id="178"/>
      <w:bookmarkEnd w:id="179"/>
      <w:bookmarkEnd w:id="180"/>
    </w:p>
    <w:p w14:paraId="74F72812">
      <w:pPr>
        <w:pStyle w:val="4"/>
        <w:bidi w:val="0"/>
        <w:rPr>
          <w:rFonts w:hint="default"/>
          <w:color w:val="auto"/>
          <w:lang w:val="en-US" w:eastAsia="zh-CN"/>
        </w:rPr>
      </w:pPr>
      <w:bookmarkStart w:id="181" w:name="_Toc12505"/>
      <w:bookmarkStart w:id="182" w:name="_Toc11587"/>
      <w:bookmarkStart w:id="183" w:name="_Toc11607"/>
      <w:bookmarkStart w:id="184" w:name="_Toc31598"/>
      <w:r>
        <w:rPr>
          <w:rFonts w:hint="default"/>
          <w:color w:val="auto"/>
          <w:lang w:val="en-US" w:eastAsia="zh-CN"/>
        </w:rPr>
        <w:t>2.5.1 安全生产组织机构</w:t>
      </w:r>
      <w:bookmarkEnd w:id="181"/>
      <w:bookmarkEnd w:id="182"/>
      <w:bookmarkEnd w:id="183"/>
      <w:bookmarkEnd w:id="184"/>
    </w:p>
    <w:p w14:paraId="599427F7">
      <w:pPr>
        <w:bidi w:val="0"/>
        <w:rPr>
          <w:rFonts w:hint="default"/>
          <w:color w:val="auto"/>
          <w:lang w:val="en-US" w:eastAsia="zh-CN"/>
        </w:rPr>
      </w:pPr>
      <w:r>
        <w:rPr>
          <w:rFonts w:hint="eastAsia"/>
          <w:color w:val="auto"/>
          <w:lang w:val="en-US" w:eastAsia="zh-CN"/>
        </w:rPr>
        <w:t>弋阳海螺水泥有限责任公司成立了安全生产委员会负责全公司（含矿山）安全生产管理工作，研究协调生产及日常管理工作的重大问题。矿山属于弋阳海螺水泥有限责任公司的一分厂，设立了曹溪二矿安全管理机构。曹溪二矿安全管理机构详见附件弋海安〔2026〕8号文。</w:t>
      </w:r>
    </w:p>
    <w:p w14:paraId="2D9BBBC5">
      <w:pPr>
        <w:pStyle w:val="4"/>
        <w:bidi w:val="0"/>
        <w:rPr>
          <w:rFonts w:hint="default"/>
          <w:color w:val="FF0000"/>
          <w:lang w:val="en-US" w:eastAsia="zh-CN"/>
        </w:rPr>
      </w:pPr>
      <w:bookmarkStart w:id="185" w:name="_Toc11810"/>
      <w:bookmarkStart w:id="186" w:name="_Toc7323"/>
      <w:bookmarkStart w:id="187" w:name="_Toc19027"/>
      <w:bookmarkStart w:id="188" w:name="_Toc11570"/>
      <w:r>
        <w:rPr>
          <w:rFonts w:hint="default"/>
          <w:color w:val="auto"/>
          <w:lang w:val="en-US" w:eastAsia="zh-CN"/>
        </w:rPr>
        <w:t>2.</w:t>
      </w:r>
      <w:r>
        <w:rPr>
          <w:rFonts w:hint="eastAsia"/>
          <w:color w:val="auto"/>
          <w:lang w:val="en-US" w:eastAsia="zh-CN"/>
        </w:rPr>
        <w:t>5</w:t>
      </w:r>
      <w:r>
        <w:rPr>
          <w:rFonts w:hint="default"/>
          <w:color w:val="auto"/>
          <w:lang w:val="en-US" w:eastAsia="zh-CN"/>
        </w:rPr>
        <w:t>.2 安全生产管理规章制度</w:t>
      </w:r>
      <w:bookmarkEnd w:id="185"/>
      <w:bookmarkEnd w:id="186"/>
      <w:bookmarkEnd w:id="187"/>
      <w:bookmarkEnd w:id="188"/>
    </w:p>
    <w:p w14:paraId="1BFB3B45">
      <w:pPr>
        <w:bidi w:val="0"/>
        <w:rPr>
          <w:rFonts w:hint="default"/>
          <w:color w:val="auto"/>
          <w:lang w:val="en-US" w:eastAsia="zh-CN"/>
        </w:rPr>
      </w:pPr>
      <w:r>
        <w:rPr>
          <w:rFonts w:hint="eastAsia"/>
          <w:color w:val="auto"/>
          <w:lang w:val="en-US" w:eastAsia="zh-CN"/>
        </w:rPr>
        <w:t>1. 安全管理制度</w:t>
      </w:r>
    </w:p>
    <w:p w14:paraId="0D1DE65F">
      <w:pPr>
        <w:bidi w:val="0"/>
        <w:rPr>
          <w:rFonts w:hint="default"/>
          <w:color w:val="auto"/>
          <w:lang w:val="en-US" w:eastAsia="zh-CN"/>
        </w:rPr>
      </w:pPr>
      <w:r>
        <w:rPr>
          <w:rFonts w:hint="eastAsia"/>
          <w:color w:val="auto"/>
          <w:lang w:val="en-US" w:eastAsia="zh-CN"/>
        </w:rPr>
        <w:t>弋阳海螺水泥有限责任公司</w:t>
      </w:r>
      <w:r>
        <w:rPr>
          <w:rFonts w:hint="default"/>
          <w:color w:val="auto"/>
          <w:lang w:val="en-US" w:eastAsia="zh-CN"/>
        </w:rPr>
        <w:t>建立了以下矿山安全管理制度</w:t>
      </w:r>
      <w:r>
        <w:rPr>
          <w:rFonts w:hint="eastAsia"/>
          <w:color w:val="auto"/>
          <w:lang w:val="en-US" w:eastAsia="zh-CN"/>
        </w:rPr>
        <w:t>：</w:t>
      </w:r>
      <w:r>
        <w:rPr>
          <w:rFonts w:hint="default"/>
          <w:color w:val="auto"/>
          <w:lang w:val="en-US" w:eastAsia="zh-CN"/>
        </w:rPr>
        <w:t>安全生产目标管理制度、安全组织机构及人员配备管理制度、安全生产责任管理制度、安全生产费用提取和使用管理制度、工伤保险制度、安全文件管理制度、安全生产档案管理制度、安全教育培训管理制度、设备设施安全管理制度、特种</w:t>
      </w:r>
      <w:r>
        <w:rPr>
          <w:rFonts w:hint="eastAsia"/>
          <w:color w:val="auto"/>
          <w:lang w:val="en-US" w:eastAsia="zh-CN"/>
        </w:rPr>
        <w:t>（</w:t>
      </w:r>
      <w:r>
        <w:rPr>
          <w:rFonts w:hint="default"/>
          <w:color w:val="auto"/>
          <w:lang w:val="en-US" w:eastAsia="zh-CN"/>
        </w:rPr>
        <w:t>设备</w:t>
      </w:r>
      <w:r>
        <w:rPr>
          <w:rFonts w:hint="eastAsia"/>
          <w:color w:val="auto"/>
          <w:lang w:val="en-US" w:eastAsia="zh-CN"/>
        </w:rPr>
        <w:t>）</w:t>
      </w:r>
      <w:r>
        <w:rPr>
          <w:rFonts w:hint="default"/>
          <w:color w:val="auto"/>
          <w:lang w:val="en-US" w:eastAsia="zh-CN"/>
        </w:rPr>
        <w:t>作业人员管理制度、风险作业管理制度、风险评估及控制管理制度、班级安全活动管理制度、劳动保护用品</w:t>
      </w:r>
      <w:r>
        <w:rPr>
          <w:rFonts w:hint="eastAsia"/>
          <w:color w:val="auto"/>
          <w:lang w:val="en-US" w:eastAsia="zh-CN"/>
        </w:rPr>
        <w:t>（</w:t>
      </w:r>
      <w:r>
        <w:rPr>
          <w:rFonts w:hint="default"/>
          <w:color w:val="auto"/>
          <w:lang w:val="en-US" w:eastAsia="zh-CN"/>
        </w:rPr>
        <w:t>具</w:t>
      </w:r>
      <w:r>
        <w:rPr>
          <w:rFonts w:hint="eastAsia"/>
          <w:color w:val="auto"/>
          <w:lang w:val="en-US" w:eastAsia="zh-CN"/>
        </w:rPr>
        <w:t>）</w:t>
      </w:r>
      <w:r>
        <w:rPr>
          <w:rFonts w:hint="default"/>
          <w:color w:val="auto"/>
          <w:lang w:val="en-US" w:eastAsia="zh-CN"/>
        </w:rPr>
        <w:t>和保健品管理制度、安全警示标识管理制度、安全防护管理制度、事故隐患排查治理管理制度、事故隐患建档监控管理制度、事故隐患报告管理制度、危险源管理制度、危险源监控管理制度、危险物品及重大危险源管理制度、职业病防治管理制度、职业病危害告知制度、职业病危害项目申报制度、职业病危害防治宣传教育培训制度、职业病危害防护设施管理制度、职业病危害监测及评价制度、员工职业健康监护及其档案管理制度、事故应急救援管理制度、消防安全管理制度、安全事故管理制度等管理制度。</w:t>
      </w:r>
    </w:p>
    <w:p w14:paraId="50EF2AE5">
      <w:pPr>
        <w:bidi w:val="0"/>
        <w:rPr>
          <w:rFonts w:hint="default"/>
          <w:color w:val="auto"/>
          <w:lang w:val="en-US" w:eastAsia="zh-CN"/>
        </w:rPr>
      </w:pPr>
      <w:r>
        <w:rPr>
          <w:rFonts w:hint="eastAsia"/>
          <w:color w:val="auto"/>
          <w:lang w:val="en-US" w:eastAsia="zh-CN"/>
        </w:rPr>
        <w:t>2. 安全生产责任制</w:t>
      </w:r>
    </w:p>
    <w:p w14:paraId="7DAF0879">
      <w:pPr>
        <w:bidi w:val="0"/>
        <w:rPr>
          <w:rFonts w:hint="default"/>
          <w:color w:val="auto"/>
          <w:lang w:val="en-US" w:eastAsia="zh-CN"/>
        </w:rPr>
      </w:pPr>
      <w:r>
        <w:rPr>
          <w:rFonts w:hint="default"/>
          <w:color w:val="auto"/>
          <w:lang w:val="en-US" w:eastAsia="zh-CN"/>
        </w:rPr>
        <w:t>矿山建立了分厂厂长</w:t>
      </w:r>
      <w:r>
        <w:rPr>
          <w:rFonts w:hint="eastAsia"/>
          <w:color w:val="auto"/>
          <w:lang w:val="en-US" w:eastAsia="zh-CN"/>
        </w:rPr>
        <w:t>（</w:t>
      </w:r>
      <w:r>
        <w:rPr>
          <w:rFonts w:hint="default"/>
          <w:color w:val="auto"/>
          <w:lang w:val="en-US" w:eastAsia="zh-CN"/>
        </w:rPr>
        <w:t>矿长</w:t>
      </w:r>
      <w:r>
        <w:rPr>
          <w:rFonts w:hint="eastAsia"/>
          <w:color w:val="auto"/>
          <w:lang w:val="en-US" w:eastAsia="zh-CN"/>
        </w:rPr>
        <w:t>）</w:t>
      </w:r>
      <w:r>
        <w:rPr>
          <w:rFonts w:hint="default"/>
          <w:color w:val="auto"/>
          <w:lang w:val="en-US" w:eastAsia="zh-CN"/>
        </w:rPr>
        <w:t>、副厂长</w:t>
      </w:r>
      <w:r>
        <w:rPr>
          <w:rFonts w:hint="eastAsia"/>
          <w:color w:val="auto"/>
          <w:lang w:val="en-US" w:eastAsia="zh-CN"/>
        </w:rPr>
        <w:t>（</w:t>
      </w:r>
      <w:r>
        <w:rPr>
          <w:rFonts w:hint="default"/>
          <w:color w:val="auto"/>
          <w:lang w:val="en-US" w:eastAsia="zh-CN"/>
        </w:rPr>
        <w:t>副矿长</w:t>
      </w:r>
      <w:r>
        <w:rPr>
          <w:rFonts w:hint="eastAsia"/>
          <w:color w:val="auto"/>
          <w:lang w:val="en-US" w:eastAsia="zh-CN"/>
        </w:rPr>
        <w:t>）</w:t>
      </w:r>
      <w:r>
        <w:rPr>
          <w:rFonts w:hint="default"/>
          <w:color w:val="auto"/>
          <w:lang w:val="en-US" w:eastAsia="zh-CN"/>
        </w:rPr>
        <w:t>、安全员、专业技术人员、班长等安全生产责任制以及钻机工、爆破工、焊割工、矿车司机</w:t>
      </w:r>
      <w:r>
        <w:rPr>
          <w:rFonts w:hint="eastAsia"/>
          <w:color w:val="auto"/>
          <w:lang w:val="en-US" w:eastAsia="zh-CN"/>
        </w:rPr>
        <w:t>（</w:t>
      </w:r>
      <w:r>
        <w:rPr>
          <w:rFonts w:hint="default"/>
          <w:color w:val="auto"/>
          <w:lang w:val="en-US" w:eastAsia="zh-CN"/>
        </w:rPr>
        <w:t>运输车辆</w:t>
      </w:r>
      <w:r>
        <w:rPr>
          <w:rFonts w:hint="eastAsia"/>
          <w:color w:val="auto"/>
          <w:lang w:val="en-US" w:eastAsia="zh-CN"/>
        </w:rPr>
        <w:t>）</w:t>
      </w:r>
      <w:r>
        <w:rPr>
          <w:rFonts w:hint="default"/>
          <w:color w:val="auto"/>
          <w:lang w:val="en-US" w:eastAsia="zh-CN"/>
        </w:rPr>
        <w:t>、电工、装载机等46项岗位安全生产责任制。</w:t>
      </w:r>
    </w:p>
    <w:p w14:paraId="0C52526C">
      <w:pPr>
        <w:bidi w:val="0"/>
        <w:rPr>
          <w:rFonts w:hint="default"/>
          <w:color w:val="auto"/>
          <w:lang w:val="en-US" w:eastAsia="zh-CN"/>
        </w:rPr>
      </w:pPr>
      <w:r>
        <w:rPr>
          <w:rFonts w:hint="eastAsia"/>
          <w:color w:val="auto"/>
          <w:lang w:val="en-US" w:eastAsia="zh-CN"/>
        </w:rPr>
        <w:t>3. 操作规程</w:t>
      </w:r>
    </w:p>
    <w:p w14:paraId="00C2D892">
      <w:pPr>
        <w:bidi w:val="0"/>
        <w:rPr>
          <w:rFonts w:hint="default"/>
          <w:color w:val="auto"/>
          <w:lang w:val="en-US" w:eastAsia="zh-CN"/>
        </w:rPr>
      </w:pPr>
      <w:r>
        <w:rPr>
          <w:rFonts w:hint="default"/>
          <w:color w:val="auto"/>
          <w:lang w:val="en-US" w:eastAsia="zh-CN"/>
        </w:rPr>
        <w:t>矿山建立了维修工、电气维修工、爆破工、汽车电工、轮胎工、矿车驾驶员、钻机工、装载工、挖掘机司机、汽修工等工种、工序共39项安全操作规程。</w:t>
      </w:r>
    </w:p>
    <w:p w14:paraId="51578975">
      <w:pPr>
        <w:pStyle w:val="4"/>
        <w:bidi w:val="0"/>
        <w:rPr>
          <w:rFonts w:hint="default"/>
          <w:color w:val="auto"/>
          <w:lang w:val="en-US" w:eastAsia="zh-CN"/>
        </w:rPr>
      </w:pPr>
      <w:bookmarkStart w:id="189" w:name="_Toc31814"/>
      <w:bookmarkStart w:id="190" w:name="_Toc15914"/>
      <w:bookmarkStart w:id="191" w:name="_Toc3099"/>
      <w:bookmarkStart w:id="192" w:name="_Toc20217"/>
      <w:r>
        <w:rPr>
          <w:rFonts w:hint="eastAsia"/>
          <w:color w:val="auto"/>
          <w:lang w:val="en-US" w:eastAsia="zh-CN"/>
        </w:rPr>
        <w:t>2.5.3 安全教育培训</w:t>
      </w:r>
      <w:bookmarkEnd w:id="189"/>
      <w:bookmarkEnd w:id="190"/>
      <w:bookmarkEnd w:id="191"/>
      <w:bookmarkEnd w:id="192"/>
    </w:p>
    <w:p w14:paraId="08B81267">
      <w:pPr>
        <w:bidi w:val="0"/>
        <w:rPr>
          <w:rFonts w:hint="default"/>
          <w:color w:val="auto"/>
          <w:lang w:val="en-US" w:eastAsia="zh-CN"/>
        </w:rPr>
      </w:pPr>
      <w:r>
        <w:rPr>
          <w:rFonts w:hint="eastAsia"/>
          <w:color w:val="auto"/>
        </w:rPr>
        <w:t>弋阳海螺水泥有限责任公司</w:t>
      </w:r>
      <w:r>
        <w:rPr>
          <w:rFonts w:hint="default"/>
          <w:color w:val="auto"/>
          <w:lang w:val="en-US" w:eastAsia="zh-CN"/>
        </w:rPr>
        <w:t>对</w:t>
      </w:r>
      <w:r>
        <w:rPr>
          <w:rFonts w:hint="eastAsia"/>
          <w:color w:val="auto"/>
          <w:lang w:val="en-US" w:eastAsia="zh-CN"/>
        </w:rPr>
        <w:t>新进</w:t>
      </w:r>
      <w:r>
        <w:rPr>
          <w:rFonts w:hint="default"/>
          <w:color w:val="auto"/>
          <w:lang w:val="en-US" w:eastAsia="zh-CN"/>
        </w:rPr>
        <w:t>人员进行了</w:t>
      </w:r>
      <w:r>
        <w:rPr>
          <w:rFonts w:hint="eastAsia" w:ascii="宋体" w:hAnsi="宋体" w:eastAsia="宋体" w:cs="宋体"/>
          <w:color w:val="auto"/>
          <w:lang w:val="en-US" w:eastAsia="zh-CN"/>
        </w:rPr>
        <w:t>“</w:t>
      </w:r>
      <w:r>
        <w:rPr>
          <w:rFonts w:hint="default"/>
          <w:color w:val="auto"/>
          <w:lang w:val="en-US" w:eastAsia="zh-CN"/>
        </w:rPr>
        <w:t>三级</w:t>
      </w:r>
      <w:r>
        <w:rPr>
          <w:rFonts w:hint="eastAsia" w:ascii="宋体" w:hAnsi="宋体" w:eastAsia="宋体" w:cs="宋体"/>
          <w:color w:val="auto"/>
          <w:lang w:val="en-US" w:eastAsia="zh-CN"/>
        </w:rPr>
        <w:t>”</w:t>
      </w:r>
      <w:r>
        <w:rPr>
          <w:rFonts w:hint="default"/>
          <w:color w:val="auto"/>
          <w:lang w:val="en-US" w:eastAsia="zh-CN"/>
        </w:rPr>
        <w:t>安全教育，同时根据国家的安全生产法规和政策要求，进行</w:t>
      </w:r>
      <w:r>
        <w:rPr>
          <w:rFonts w:hint="eastAsia"/>
          <w:color w:val="auto"/>
          <w:lang w:val="en-US" w:eastAsia="zh-CN"/>
        </w:rPr>
        <w:t>了从业人员</w:t>
      </w:r>
      <w:r>
        <w:rPr>
          <w:rFonts w:hint="default"/>
          <w:color w:val="auto"/>
          <w:lang w:val="en-US" w:eastAsia="zh-CN"/>
        </w:rPr>
        <w:t>日常教育和专题教育。主要负责人和安全管理人员资格证</w:t>
      </w:r>
      <w:r>
        <w:rPr>
          <w:rFonts w:hint="eastAsia"/>
          <w:color w:val="auto"/>
          <w:lang w:val="en-US" w:eastAsia="zh-CN"/>
        </w:rPr>
        <w:t>均</w:t>
      </w:r>
      <w:r>
        <w:rPr>
          <w:rFonts w:hint="default"/>
          <w:color w:val="auto"/>
          <w:lang w:val="en-US" w:eastAsia="zh-CN"/>
        </w:rPr>
        <w:t>在有效期内</w:t>
      </w:r>
      <w:r>
        <w:rPr>
          <w:rFonts w:hint="eastAsia"/>
          <w:color w:val="auto"/>
          <w:lang w:val="en-US" w:eastAsia="zh-CN"/>
        </w:rPr>
        <w:t>；</w:t>
      </w:r>
      <w:r>
        <w:rPr>
          <w:rFonts w:hint="default"/>
          <w:color w:val="auto"/>
          <w:lang w:val="en-US" w:eastAsia="zh-CN"/>
        </w:rPr>
        <w:t>特种作业人员取得了特种作业操作证书，做到持证上岗</w:t>
      </w:r>
      <w:r>
        <w:rPr>
          <w:rFonts w:hint="eastAsia"/>
          <w:color w:val="auto"/>
          <w:lang w:val="en-US" w:eastAsia="zh-CN"/>
        </w:rPr>
        <w:t>；</w:t>
      </w:r>
      <w:r>
        <w:rPr>
          <w:rFonts w:hint="default"/>
          <w:color w:val="auto"/>
          <w:lang w:val="en-US" w:eastAsia="zh-CN"/>
        </w:rPr>
        <w:t>企业配备了采矿</w:t>
      </w:r>
      <w:r>
        <w:rPr>
          <w:rFonts w:hint="eastAsia"/>
          <w:color w:val="auto"/>
          <w:lang w:val="en-US" w:eastAsia="zh-CN"/>
        </w:rPr>
        <w:t>、地质、机电</w:t>
      </w:r>
      <w:r>
        <w:rPr>
          <w:rFonts w:hint="default"/>
          <w:color w:val="auto"/>
          <w:lang w:val="en-US" w:eastAsia="zh-CN"/>
        </w:rPr>
        <w:t>专业技术人员</w:t>
      </w:r>
      <w:r>
        <w:rPr>
          <w:rFonts w:hint="eastAsia"/>
          <w:color w:val="auto"/>
          <w:lang w:val="en-US" w:eastAsia="zh-CN"/>
        </w:rPr>
        <w:t>，</w:t>
      </w:r>
      <w:r>
        <w:rPr>
          <w:rFonts w:hint="default"/>
          <w:strike w:val="0"/>
          <w:dstrike w:val="0"/>
          <w:color w:val="auto"/>
          <w:lang w:val="en-US" w:eastAsia="zh-CN"/>
        </w:rPr>
        <w:t>配有注册安全工程师从事安全生产管理工作</w:t>
      </w:r>
      <w:r>
        <w:rPr>
          <w:rFonts w:hint="eastAsia"/>
          <w:color w:val="auto"/>
          <w:lang w:val="en-US" w:eastAsia="zh-CN"/>
        </w:rPr>
        <w:t>（</w:t>
      </w:r>
      <w:r>
        <w:rPr>
          <w:rFonts w:hint="default"/>
          <w:color w:val="auto"/>
          <w:lang w:val="en-US" w:eastAsia="zh-CN"/>
        </w:rPr>
        <w:t>详见表2</w:t>
      </w:r>
      <w:r>
        <w:rPr>
          <w:rFonts w:hint="eastAsia"/>
          <w:color w:val="auto"/>
          <w:lang w:val="en-US" w:eastAsia="zh-CN"/>
        </w:rPr>
        <w:t>.5-1）。</w:t>
      </w:r>
    </w:p>
    <w:p w14:paraId="46CAADFA">
      <w:pPr>
        <w:bidi w:val="0"/>
        <w:ind w:left="0" w:leftChars="0" w:firstLine="0" w:firstLineChars="0"/>
        <w:jc w:val="center"/>
        <w:rPr>
          <w:rFonts w:hint="default"/>
          <w:color w:val="auto"/>
          <w:lang w:val="en-US" w:eastAsia="zh-CN"/>
        </w:rPr>
      </w:pPr>
      <w:r>
        <w:rPr>
          <w:rFonts w:hint="default"/>
          <w:color w:val="auto"/>
          <w:lang w:val="en-US" w:eastAsia="zh-CN"/>
        </w:rPr>
        <w:t>表2.</w:t>
      </w:r>
      <w:r>
        <w:rPr>
          <w:rFonts w:hint="eastAsia"/>
          <w:color w:val="auto"/>
          <w:lang w:val="en-US" w:eastAsia="zh-CN"/>
        </w:rPr>
        <w:t>5</w:t>
      </w:r>
      <w:r>
        <w:rPr>
          <w:rFonts w:hint="default"/>
          <w:color w:val="auto"/>
          <w:lang w:val="en-US" w:eastAsia="zh-CN"/>
        </w:rPr>
        <w:t>-1 人员证件清单</w:t>
      </w:r>
    </w:p>
    <w:tbl>
      <w:tblPr>
        <w:tblStyle w:val="19"/>
        <w:tblW w:w="52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54"/>
        <w:gridCol w:w="681"/>
        <w:gridCol w:w="2341"/>
        <w:gridCol w:w="659"/>
        <w:gridCol w:w="1037"/>
        <w:gridCol w:w="750"/>
        <w:gridCol w:w="716"/>
        <w:gridCol w:w="1540"/>
      </w:tblGrid>
      <w:tr w14:paraId="1242B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77" w:type="pct"/>
            <w:vAlign w:val="center"/>
          </w:tcPr>
          <w:p w14:paraId="161220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主要负责人</w:t>
            </w:r>
          </w:p>
        </w:tc>
        <w:tc>
          <w:tcPr>
            <w:tcW w:w="440" w:type="pct"/>
            <w:vAlign w:val="center"/>
          </w:tcPr>
          <w:p w14:paraId="7623C3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highlight w:val="none"/>
                <w:vertAlign w:val="baseline"/>
                <w:lang w:val="en-US" w:eastAsia="zh-CN"/>
              </w:rPr>
              <w:t>李强</w:t>
            </w:r>
          </w:p>
        </w:tc>
        <w:tc>
          <w:tcPr>
            <w:tcW w:w="351" w:type="pct"/>
            <w:vAlign w:val="center"/>
          </w:tcPr>
          <w:p w14:paraId="4E1BFF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546" w:type="pct"/>
            <w:gridSpan w:val="2"/>
            <w:vAlign w:val="center"/>
          </w:tcPr>
          <w:p w14:paraId="26FAC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342626196911046012</w:t>
            </w:r>
          </w:p>
        </w:tc>
        <w:tc>
          <w:tcPr>
            <w:tcW w:w="534" w:type="pct"/>
            <w:vAlign w:val="center"/>
          </w:tcPr>
          <w:p w14:paraId="30C9C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1549" w:type="pct"/>
            <w:gridSpan w:val="3"/>
            <w:vAlign w:val="center"/>
          </w:tcPr>
          <w:p w14:paraId="2D8B1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06</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9</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6</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06</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8</w:t>
            </w:r>
          </w:p>
        </w:tc>
      </w:tr>
      <w:tr w14:paraId="2587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7" w:type="pct"/>
            <w:vAlign w:val="center"/>
          </w:tcPr>
          <w:p w14:paraId="4768F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vertAlign w:val="baseline"/>
                <w:lang w:val="en-US" w:eastAsia="zh-CN"/>
              </w:rPr>
            </w:pPr>
            <w:r>
              <w:rPr>
                <w:rFonts w:hint="eastAsia" w:ascii="Times New Roman" w:hAnsi="Times New Roman" w:eastAsia="宋体" w:cs="Times New Roman"/>
                <w:strike w:val="0"/>
                <w:dstrike w:val="0"/>
                <w:color w:val="auto"/>
                <w:sz w:val="21"/>
                <w:szCs w:val="21"/>
                <w:vertAlign w:val="baseline"/>
                <w:lang w:val="en-US" w:eastAsia="zh-CN"/>
              </w:rPr>
              <w:t>安全管理人员</w:t>
            </w:r>
          </w:p>
        </w:tc>
        <w:tc>
          <w:tcPr>
            <w:tcW w:w="440" w:type="pct"/>
            <w:vAlign w:val="center"/>
          </w:tcPr>
          <w:p w14:paraId="4179A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vertAlign w:val="baseline"/>
                <w:lang w:val="en-US" w:eastAsia="zh-CN"/>
              </w:rPr>
            </w:pPr>
            <w:r>
              <w:rPr>
                <w:rFonts w:hint="default" w:ascii="Times New Roman" w:hAnsi="Times New Roman" w:eastAsia="宋体" w:cs="Times New Roman"/>
                <w:strike w:val="0"/>
                <w:dstrike w:val="0"/>
                <w:color w:val="auto"/>
                <w:sz w:val="21"/>
                <w:szCs w:val="21"/>
                <w:vertAlign w:val="baseline"/>
                <w:lang w:val="en-US" w:eastAsia="zh-CN"/>
              </w:rPr>
              <w:t>张峰</w:t>
            </w:r>
          </w:p>
        </w:tc>
        <w:tc>
          <w:tcPr>
            <w:tcW w:w="351" w:type="pct"/>
            <w:vAlign w:val="center"/>
          </w:tcPr>
          <w:p w14:paraId="4C7AA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vertAlign w:val="baseline"/>
                <w:lang w:val="en-US" w:eastAsia="zh-CN"/>
              </w:rPr>
            </w:pPr>
            <w:r>
              <w:rPr>
                <w:rFonts w:hint="default" w:ascii="Times New Roman" w:hAnsi="Times New Roman" w:eastAsia="宋体" w:cs="Times New Roman"/>
                <w:strike w:val="0"/>
                <w:dstrike w:val="0"/>
                <w:color w:val="auto"/>
                <w:sz w:val="21"/>
                <w:szCs w:val="21"/>
                <w:vertAlign w:val="baseline"/>
                <w:lang w:val="en-US" w:eastAsia="zh-CN"/>
              </w:rPr>
              <w:t>证号</w:t>
            </w:r>
          </w:p>
        </w:tc>
        <w:tc>
          <w:tcPr>
            <w:tcW w:w="1546" w:type="pct"/>
            <w:gridSpan w:val="2"/>
            <w:vAlign w:val="center"/>
          </w:tcPr>
          <w:p w14:paraId="7A5137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vertAlign w:val="baseline"/>
                <w:lang w:val="en-US" w:eastAsia="zh-CN"/>
              </w:rPr>
            </w:pPr>
            <w:r>
              <w:rPr>
                <w:rFonts w:hint="eastAsia" w:cs="Times New Roman"/>
                <w:strike w:val="0"/>
                <w:dstrike w:val="0"/>
                <w:color w:val="auto"/>
                <w:sz w:val="21"/>
                <w:szCs w:val="21"/>
                <w:vertAlign w:val="baseline"/>
                <w:lang w:val="en-US" w:eastAsia="zh-CN"/>
              </w:rPr>
              <w:t>360621197911273615</w:t>
            </w:r>
          </w:p>
        </w:tc>
        <w:tc>
          <w:tcPr>
            <w:tcW w:w="534" w:type="pct"/>
            <w:vAlign w:val="center"/>
          </w:tcPr>
          <w:p w14:paraId="267D1E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vertAlign w:val="baseline"/>
                <w:lang w:val="en-US" w:eastAsia="zh-CN"/>
              </w:rPr>
            </w:pPr>
            <w:r>
              <w:rPr>
                <w:rFonts w:hint="eastAsia" w:ascii="Times New Roman" w:hAnsi="Times New Roman" w:eastAsia="宋体" w:cs="Times New Roman"/>
                <w:strike w:val="0"/>
                <w:dstrike w:val="0"/>
                <w:color w:val="auto"/>
                <w:sz w:val="21"/>
                <w:szCs w:val="21"/>
                <w:vertAlign w:val="baseline"/>
                <w:lang w:val="en-US" w:eastAsia="zh-CN"/>
              </w:rPr>
              <w:t>有效期</w:t>
            </w:r>
          </w:p>
        </w:tc>
        <w:tc>
          <w:tcPr>
            <w:tcW w:w="1549" w:type="pct"/>
            <w:gridSpan w:val="3"/>
            <w:vAlign w:val="center"/>
          </w:tcPr>
          <w:p w14:paraId="765949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val="0"/>
                <w:dstrike w:val="0"/>
                <w:color w:val="auto"/>
                <w:sz w:val="21"/>
                <w:szCs w:val="21"/>
                <w:vertAlign w:val="baseline"/>
                <w:lang w:val="en-US" w:eastAsia="zh-CN"/>
              </w:rPr>
            </w:pPr>
            <w:r>
              <w:rPr>
                <w:rFonts w:hint="eastAsia" w:ascii="Times New Roman" w:hAnsi="Times New Roman" w:eastAsia="宋体" w:cs="Times New Roman"/>
                <w:strike w:val="0"/>
                <w:dstrike w:val="0"/>
                <w:color w:val="auto"/>
                <w:sz w:val="21"/>
                <w:szCs w:val="21"/>
                <w:vertAlign w:val="baseline"/>
                <w:lang w:val="en-US" w:eastAsia="zh-CN"/>
              </w:rPr>
              <w:t>202</w:t>
            </w:r>
            <w:r>
              <w:rPr>
                <w:rFonts w:hint="eastAsia" w:cs="Times New Roman"/>
                <w:strike w:val="0"/>
                <w:dstrike w:val="0"/>
                <w:color w:val="auto"/>
                <w:sz w:val="21"/>
                <w:szCs w:val="21"/>
                <w:vertAlign w:val="baseline"/>
                <w:lang w:val="en-US" w:eastAsia="zh-CN"/>
              </w:rPr>
              <w:t>4-09</w:t>
            </w:r>
            <w:r>
              <w:rPr>
                <w:rFonts w:hint="eastAsia" w:ascii="Times New Roman" w:hAnsi="Times New Roman" w:eastAsia="宋体" w:cs="Times New Roman"/>
                <w:strike w:val="0"/>
                <w:dstrike w:val="0"/>
                <w:color w:val="auto"/>
                <w:sz w:val="21"/>
                <w:szCs w:val="21"/>
                <w:vertAlign w:val="baseline"/>
                <w:lang w:val="en-US" w:eastAsia="zh-CN"/>
              </w:rPr>
              <w:t>-</w:t>
            </w:r>
            <w:r>
              <w:rPr>
                <w:rFonts w:hint="eastAsia" w:cs="Times New Roman"/>
                <w:strike w:val="0"/>
                <w:dstrike w:val="0"/>
                <w:color w:val="auto"/>
                <w:sz w:val="21"/>
                <w:szCs w:val="21"/>
                <w:vertAlign w:val="baseline"/>
                <w:lang w:val="en-US" w:eastAsia="zh-CN"/>
              </w:rPr>
              <w:t>27</w:t>
            </w:r>
            <w:r>
              <w:rPr>
                <w:rFonts w:hint="eastAsia" w:ascii="Times New Roman" w:hAnsi="Times New Roman" w:eastAsia="宋体" w:cs="Times New Roman"/>
                <w:strike w:val="0"/>
                <w:dstrike w:val="0"/>
                <w:color w:val="auto"/>
                <w:sz w:val="21"/>
                <w:szCs w:val="21"/>
                <w:vertAlign w:val="baseline"/>
                <w:lang w:val="en-US" w:eastAsia="zh-CN"/>
              </w:rPr>
              <w:t>—202</w:t>
            </w:r>
            <w:r>
              <w:rPr>
                <w:rFonts w:hint="eastAsia" w:cs="Times New Roman"/>
                <w:strike w:val="0"/>
                <w:dstrike w:val="0"/>
                <w:color w:val="auto"/>
                <w:sz w:val="21"/>
                <w:szCs w:val="21"/>
                <w:vertAlign w:val="baseline"/>
                <w:lang w:val="en-US" w:eastAsia="zh-CN"/>
              </w:rPr>
              <w:t>7</w:t>
            </w:r>
            <w:r>
              <w:rPr>
                <w:rFonts w:hint="eastAsia" w:ascii="Times New Roman" w:hAnsi="Times New Roman" w:eastAsia="宋体" w:cs="Times New Roman"/>
                <w:strike w:val="0"/>
                <w:dstrike w:val="0"/>
                <w:color w:val="auto"/>
                <w:sz w:val="21"/>
                <w:szCs w:val="21"/>
                <w:vertAlign w:val="baseline"/>
                <w:lang w:val="en-US" w:eastAsia="zh-CN"/>
              </w:rPr>
              <w:t>-0</w:t>
            </w:r>
            <w:r>
              <w:rPr>
                <w:rFonts w:hint="eastAsia" w:cs="Times New Roman"/>
                <w:strike w:val="0"/>
                <w:dstrike w:val="0"/>
                <w:color w:val="auto"/>
                <w:sz w:val="21"/>
                <w:szCs w:val="21"/>
                <w:vertAlign w:val="baseline"/>
                <w:lang w:val="en-US" w:eastAsia="zh-CN"/>
              </w:rPr>
              <w:t>9</w:t>
            </w:r>
            <w:r>
              <w:rPr>
                <w:rFonts w:hint="eastAsia" w:ascii="Times New Roman" w:hAnsi="Times New Roman" w:eastAsia="宋体" w:cs="Times New Roman"/>
                <w:strike w:val="0"/>
                <w:dstrike w:val="0"/>
                <w:color w:val="auto"/>
                <w:sz w:val="21"/>
                <w:szCs w:val="21"/>
                <w:vertAlign w:val="baseline"/>
                <w:lang w:val="en-US" w:eastAsia="zh-CN"/>
              </w:rPr>
              <w:t>-</w:t>
            </w:r>
            <w:r>
              <w:rPr>
                <w:rFonts w:hint="eastAsia" w:cs="Times New Roman"/>
                <w:strike w:val="0"/>
                <w:dstrike w:val="0"/>
                <w:color w:val="auto"/>
                <w:sz w:val="21"/>
                <w:szCs w:val="21"/>
                <w:vertAlign w:val="baseline"/>
                <w:lang w:val="en-US" w:eastAsia="zh-CN"/>
              </w:rPr>
              <w:t>26</w:t>
            </w:r>
          </w:p>
        </w:tc>
      </w:tr>
      <w:tr w14:paraId="756C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77" w:type="pct"/>
            <w:vAlign w:val="center"/>
          </w:tcPr>
          <w:p w14:paraId="2FAAB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安全管理人员</w:t>
            </w:r>
          </w:p>
        </w:tc>
        <w:tc>
          <w:tcPr>
            <w:tcW w:w="440" w:type="pct"/>
            <w:vAlign w:val="center"/>
          </w:tcPr>
          <w:p w14:paraId="23C4C0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程国瑞</w:t>
            </w:r>
          </w:p>
        </w:tc>
        <w:tc>
          <w:tcPr>
            <w:tcW w:w="351" w:type="pct"/>
            <w:vAlign w:val="center"/>
          </w:tcPr>
          <w:p w14:paraId="52D266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546" w:type="pct"/>
            <w:gridSpan w:val="2"/>
            <w:vAlign w:val="center"/>
          </w:tcPr>
          <w:p w14:paraId="5DD978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36236197608045430</w:t>
            </w:r>
          </w:p>
        </w:tc>
        <w:tc>
          <w:tcPr>
            <w:tcW w:w="534" w:type="pct"/>
            <w:vAlign w:val="center"/>
          </w:tcPr>
          <w:p w14:paraId="315D88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1549" w:type="pct"/>
            <w:gridSpan w:val="3"/>
            <w:vAlign w:val="center"/>
          </w:tcPr>
          <w:p w14:paraId="53E54E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hAnsi="Times New Roman" w:eastAsia="宋体" w:cs="Times New Roman"/>
                <w:strike w:val="0"/>
                <w:dstrike w:val="0"/>
                <w:color w:val="auto"/>
                <w:sz w:val="21"/>
                <w:szCs w:val="21"/>
                <w:vertAlign w:val="baseline"/>
                <w:lang w:val="en-US" w:eastAsia="zh-CN"/>
              </w:rPr>
              <w:t>202</w:t>
            </w:r>
            <w:r>
              <w:rPr>
                <w:rFonts w:hint="eastAsia" w:cs="Times New Roman"/>
                <w:strike w:val="0"/>
                <w:dstrike w:val="0"/>
                <w:color w:val="auto"/>
                <w:sz w:val="21"/>
                <w:szCs w:val="21"/>
                <w:vertAlign w:val="baseline"/>
                <w:lang w:val="en-US" w:eastAsia="zh-CN"/>
              </w:rPr>
              <w:t>6-02</w:t>
            </w:r>
            <w:r>
              <w:rPr>
                <w:rFonts w:hint="eastAsia" w:ascii="Times New Roman" w:hAnsi="Times New Roman" w:eastAsia="宋体" w:cs="Times New Roman"/>
                <w:strike w:val="0"/>
                <w:dstrike w:val="0"/>
                <w:color w:val="auto"/>
                <w:sz w:val="21"/>
                <w:szCs w:val="21"/>
                <w:vertAlign w:val="baseline"/>
                <w:lang w:val="en-US" w:eastAsia="zh-CN"/>
              </w:rPr>
              <w:t>-</w:t>
            </w:r>
            <w:r>
              <w:rPr>
                <w:rFonts w:hint="eastAsia" w:cs="Times New Roman"/>
                <w:strike w:val="0"/>
                <w:dstrike w:val="0"/>
                <w:color w:val="auto"/>
                <w:sz w:val="21"/>
                <w:szCs w:val="21"/>
                <w:vertAlign w:val="baseline"/>
                <w:lang w:val="en-US" w:eastAsia="zh-CN"/>
              </w:rPr>
              <w:t>02</w:t>
            </w:r>
            <w:r>
              <w:rPr>
                <w:rFonts w:hint="eastAsia" w:ascii="Times New Roman" w:hAnsi="Times New Roman" w:eastAsia="宋体" w:cs="Times New Roman"/>
                <w:strike w:val="0"/>
                <w:dstrike w:val="0"/>
                <w:color w:val="auto"/>
                <w:sz w:val="21"/>
                <w:szCs w:val="21"/>
                <w:vertAlign w:val="baseline"/>
                <w:lang w:val="en-US" w:eastAsia="zh-CN"/>
              </w:rPr>
              <w:t>—202</w:t>
            </w:r>
            <w:r>
              <w:rPr>
                <w:rFonts w:hint="eastAsia" w:cs="Times New Roman"/>
                <w:strike w:val="0"/>
                <w:dstrike w:val="0"/>
                <w:color w:val="auto"/>
                <w:sz w:val="21"/>
                <w:szCs w:val="21"/>
                <w:vertAlign w:val="baseline"/>
                <w:lang w:val="en-US" w:eastAsia="zh-CN"/>
              </w:rPr>
              <w:t>9</w:t>
            </w:r>
            <w:r>
              <w:rPr>
                <w:rFonts w:hint="eastAsia" w:ascii="Times New Roman" w:hAnsi="Times New Roman" w:eastAsia="宋体" w:cs="Times New Roman"/>
                <w:strike w:val="0"/>
                <w:dstrike w:val="0"/>
                <w:color w:val="auto"/>
                <w:sz w:val="21"/>
                <w:szCs w:val="21"/>
                <w:vertAlign w:val="baseline"/>
                <w:lang w:val="en-US" w:eastAsia="zh-CN"/>
              </w:rPr>
              <w:t>-0</w:t>
            </w:r>
            <w:r>
              <w:rPr>
                <w:rFonts w:hint="eastAsia" w:cs="Times New Roman"/>
                <w:strike w:val="0"/>
                <w:dstrike w:val="0"/>
                <w:color w:val="auto"/>
                <w:sz w:val="21"/>
                <w:szCs w:val="21"/>
                <w:vertAlign w:val="baseline"/>
                <w:lang w:val="en-US" w:eastAsia="zh-CN"/>
              </w:rPr>
              <w:t>2</w:t>
            </w:r>
            <w:r>
              <w:rPr>
                <w:rFonts w:hint="eastAsia" w:ascii="Times New Roman" w:hAnsi="Times New Roman" w:eastAsia="宋体" w:cs="Times New Roman"/>
                <w:strike w:val="0"/>
                <w:dstrike w:val="0"/>
                <w:color w:val="auto"/>
                <w:sz w:val="21"/>
                <w:szCs w:val="21"/>
                <w:vertAlign w:val="baseline"/>
                <w:lang w:val="en-US" w:eastAsia="zh-CN"/>
              </w:rPr>
              <w:t>-</w:t>
            </w:r>
            <w:r>
              <w:rPr>
                <w:rFonts w:hint="eastAsia" w:cs="Times New Roman"/>
                <w:strike w:val="0"/>
                <w:dstrike w:val="0"/>
                <w:color w:val="auto"/>
                <w:sz w:val="21"/>
                <w:szCs w:val="21"/>
                <w:vertAlign w:val="baseline"/>
                <w:lang w:val="en-US" w:eastAsia="zh-CN"/>
              </w:rPr>
              <w:t>01</w:t>
            </w:r>
          </w:p>
        </w:tc>
      </w:tr>
      <w:tr w14:paraId="0A81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Align w:val="center"/>
          </w:tcPr>
          <w:p w14:paraId="6D679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专业技术人员</w:t>
            </w:r>
          </w:p>
        </w:tc>
        <w:tc>
          <w:tcPr>
            <w:tcW w:w="440" w:type="pct"/>
            <w:vAlign w:val="center"/>
          </w:tcPr>
          <w:p w14:paraId="150239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黄志敏</w:t>
            </w:r>
          </w:p>
        </w:tc>
        <w:tc>
          <w:tcPr>
            <w:tcW w:w="351" w:type="pct"/>
            <w:vAlign w:val="center"/>
          </w:tcPr>
          <w:p w14:paraId="2A84BE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资格证</w:t>
            </w:r>
          </w:p>
        </w:tc>
        <w:tc>
          <w:tcPr>
            <w:tcW w:w="3631" w:type="pct"/>
            <w:gridSpan w:val="6"/>
            <w:vAlign w:val="center"/>
          </w:tcPr>
          <w:p w14:paraId="69D0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104071201405000981</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地质</w:t>
            </w:r>
            <w:r>
              <w:rPr>
                <w:rFonts w:hint="eastAsia" w:ascii="Times New Roman" w:eastAsia="宋体"/>
                <w:strike w:val="0"/>
                <w:dstrike w:val="0"/>
                <w:color w:val="auto"/>
                <w:sz w:val="21"/>
                <w:szCs w:val="21"/>
                <w:vertAlign w:val="baseline"/>
                <w:lang w:val="en-US" w:eastAsia="zh-CN"/>
              </w:rPr>
              <w:t>工程）</w:t>
            </w:r>
          </w:p>
        </w:tc>
      </w:tr>
      <w:tr w14:paraId="4011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Align w:val="center"/>
          </w:tcPr>
          <w:p w14:paraId="7777E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专业技术人员</w:t>
            </w:r>
          </w:p>
        </w:tc>
        <w:tc>
          <w:tcPr>
            <w:tcW w:w="440" w:type="pct"/>
            <w:vAlign w:val="center"/>
          </w:tcPr>
          <w:p w14:paraId="06ED60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周伟俊</w:t>
            </w:r>
          </w:p>
        </w:tc>
        <w:tc>
          <w:tcPr>
            <w:tcW w:w="351" w:type="pct"/>
            <w:vAlign w:val="center"/>
          </w:tcPr>
          <w:p w14:paraId="6971D4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w:t>
            </w:r>
            <w:r>
              <w:rPr>
                <w:rFonts w:hint="eastAsia" w:ascii="Times New Roman" w:eastAsia="宋体"/>
                <w:strike w:val="0"/>
                <w:dstrike w:val="0"/>
                <w:color w:val="auto"/>
                <w:sz w:val="21"/>
                <w:szCs w:val="21"/>
                <w:vertAlign w:val="baseline"/>
                <w:lang w:val="en-US" w:eastAsia="zh-CN"/>
              </w:rPr>
              <w:t>书编</w:t>
            </w:r>
            <w:r>
              <w:rPr>
                <w:rFonts w:hint="default"/>
                <w:strike w:val="0"/>
                <w:dstrike w:val="0"/>
                <w:color w:val="auto"/>
                <w:sz w:val="21"/>
                <w:szCs w:val="21"/>
                <w:vertAlign w:val="baseline"/>
                <w:lang w:val="en-US" w:eastAsia="zh-CN"/>
              </w:rPr>
              <w:t>号</w:t>
            </w:r>
          </w:p>
        </w:tc>
        <w:tc>
          <w:tcPr>
            <w:tcW w:w="3631" w:type="pct"/>
            <w:gridSpan w:val="6"/>
            <w:vAlign w:val="center"/>
          </w:tcPr>
          <w:p w14:paraId="252F75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104071201905000184</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采矿工程</w:t>
            </w:r>
            <w:r>
              <w:rPr>
                <w:rFonts w:hint="eastAsia" w:ascii="Times New Roman" w:eastAsia="宋体"/>
                <w:strike w:val="0"/>
                <w:dstrike w:val="0"/>
                <w:color w:val="auto"/>
                <w:sz w:val="21"/>
                <w:szCs w:val="21"/>
                <w:vertAlign w:val="baseline"/>
                <w:lang w:val="en-US" w:eastAsia="zh-CN"/>
              </w:rPr>
              <w:t>）</w:t>
            </w:r>
          </w:p>
        </w:tc>
      </w:tr>
      <w:tr w14:paraId="159B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77" w:type="pct"/>
            <w:vAlign w:val="center"/>
          </w:tcPr>
          <w:p w14:paraId="7485D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专业技术人员</w:t>
            </w:r>
          </w:p>
        </w:tc>
        <w:tc>
          <w:tcPr>
            <w:tcW w:w="440" w:type="pct"/>
            <w:vAlign w:val="center"/>
          </w:tcPr>
          <w:p w14:paraId="7A3DAC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罗雄</w:t>
            </w:r>
          </w:p>
        </w:tc>
        <w:tc>
          <w:tcPr>
            <w:tcW w:w="351" w:type="pct"/>
            <w:vAlign w:val="center"/>
          </w:tcPr>
          <w:p w14:paraId="5996EF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w:t>
            </w:r>
            <w:r>
              <w:rPr>
                <w:rFonts w:hint="eastAsia" w:ascii="Times New Roman" w:eastAsia="宋体"/>
                <w:strike w:val="0"/>
                <w:dstrike w:val="0"/>
                <w:color w:val="auto"/>
                <w:sz w:val="21"/>
                <w:szCs w:val="21"/>
                <w:vertAlign w:val="baseline"/>
                <w:lang w:val="en-US" w:eastAsia="zh-CN"/>
              </w:rPr>
              <w:t>书编</w:t>
            </w:r>
            <w:r>
              <w:rPr>
                <w:rFonts w:hint="default"/>
                <w:strike w:val="0"/>
                <w:dstrike w:val="0"/>
                <w:color w:val="auto"/>
                <w:sz w:val="21"/>
                <w:szCs w:val="21"/>
                <w:vertAlign w:val="baseline"/>
                <w:lang w:val="en-US" w:eastAsia="zh-CN"/>
              </w:rPr>
              <w:t>号</w:t>
            </w:r>
          </w:p>
        </w:tc>
        <w:tc>
          <w:tcPr>
            <w:tcW w:w="3631" w:type="pct"/>
            <w:gridSpan w:val="6"/>
            <w:vAlign w:val="center"/>
          </w:tcPr>
          <w:p w14:paraId="31A13F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134291201905000129</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车辆工程</w:t>
            </w:r>
            <w:r>
              <w:rPr>
                <w:rFonts w:hint="eastAsia" w:ascii="Times New Roman" w:eastAsia="宋体"/>
                <w:strike w:val="0"/>
                <w:dstrike w:val="0"/>
                <w:color w:val="auto"/>
                <w:sz w:val="21"/>
                <w:szCs w:val="21"/>
                <w:vertAlign w:val="baseline"/>
                <w:lang w:val="en-US" w:eastAsia="zh-CN"/>
              </w:rPr>
              <w:t>）</w:t>
            </w:r>
          </w:p>
        </w:tc>
      </w:tr>
      <w:tr w14:paraId="3ABD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pct"/>
            <w:vAlign w:val="center"/>
          </w:tcPr>
          <w:p w14:paraId="3F942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注册安全工程师</w:t>
            </w:r>
          </w:p>
        </w:tc>
        <w:tc>
          <w:tcPr>
            <w:tcW w:w="440" w:type="pct"/>
            <w:vAlign w:val="center"/>
          </w:tcPr>
          <w:p w14:paraId="26E1D3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程国瑞</w:t>
            </w:r>
          </w:p>
        </w:tc>
        <w:tc>
          <w:tcPr>
            <w:tcW w:w="351" w:type="pct"/>
            <w:vAlign w:val="center"/>
          </w:tcPr>
          <w:p w14:paraId="59A15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w:t>
            </w:r>
            <w:r>
              <w:rPr>
                <w:rFonts w:hint="eastAsia" w:ascii="Times New Roman" w:eastAsia="宋体"/>
                <w:strike w:val="0"/>
                <w:dstrike w:val="0"/>
                <w:color w:val="auto"/>
                <w:sz w:val="21"/>
                <w:szCs w:val="21"/>
                <w:vertAlign w:val="baseline"/>
                <w:lang w:val="en-US" w:eastAsia="zh-CN"/>
              </w:rPr>
              <w:t>书编</w:t>
            </w:r>
            <w:r>
              <w:rPr>
                <w:rFonts w:hint="default"/>
                <w:strike w:val="0"/>
                <w:dstrike w:val="0"/>
                <w:color w:val="auto"/>
                <w:sz w:val="21"/>
                <w:szCs w:val="21"/>
                <w:vertAlign w:val="baseline"/>
                <w:lang w:val="en-US" w:eastAsia="zh-CN"/>
              </w:rPr>
              <w:t>号</w:t>
            </w:r>
          </w:p>
        </w:tc>
        <w:tc>
          <w:tcPr>
            <w:tcW w:w="3631" w:type="pct"/>
            <w:gridSpan w:val="6"/>
            <w:vAlign w:val="center"/>
          </w:tcPr>
          <w:p w14:paraId="5A05BE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03320251036000001146</w:t>
            </w:r>
            <w:r>
              <w:rPr>
                <w:rFonts w:hint="eastAsia" w:ascii="Times New Roman" w:eastAsia="宋体"/>
                <w:strike w:val="0"/>
                <w:dstrike w:val="0"/>
                <w:color w:val="auto"/>
                <w:sz w:val="21"/>
                <w:szCs w:val="21"/>
                <w:vertAlign w:val="baseline"/>
                <w:lang w:val="en-US" w:eastAsia="zh-CN"/>
              </w:rPr>
              <w:t>（金属非金属矿山安全）</w:t>
            </w:r>
          </w:p>
        </w:tc>
      </w:tr>
      <w:tr w14:paraId="0411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77" w:type="pct"/>
            <w:vAlign w:val="center"/>
          </w:tcPr>
          <w:p w14:paraId="6BC2B9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3C5F1C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唐秀先</w:t>
            </w:r>
          </w:p>
        </w:tc>
        <w:tc>
          <w:tcPr>
            <w:tcW w:w="351" w:type="pct"/>
            <w:vAlign w:val="center"/>
          </w:tcPr>
          <w:p w14:paraId="0B640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36B0CD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T362202199501073573</w:t>
            </w:r>
          </w:p>
        </w:tc>
        <w:tc>
          <w:tcPr>
            <w:tcW w:w="339" w:type="pct"/>
            <w:vAlign w:val="center"/>
          </w:tcPr>
          <w:p w14:paraId="0E748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19252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低压电工作业</w:t>
            </w:r>
          </w:p>
        </w:tc>
        <w:tc>
          <w:tcPr>
            <w:tcW w:w="369" w:type="pct"/>
            <w:vAlign w:val="center"/>
          </w:tcPr>
          <w:p w14:paraId="5622F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5BB539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2</w:t>
            </w:r>
            <w:r>
              <w:rPr>
                <w:rFonts w:hint="eastAsia" w:ascii="Times New Roman" w:eastAsia="宋体"/>
                <w:strike w:val="0"/>
                <w:dstrike w:val="0"/>
                <w:color w:val="auto"/>
                <w:sz w:val="21"/>
                <w:szCs w:val="21"/>
                <w:vertAlign w:val="baseline"/>
                <w:lang w:val="en-US" w:eastAsia="zh-CN"/>
              </w:rPr>
              <w:t>-1</w:t>
            </w:r>
            <w:r>
              <w:rPr>
                <w:rFonts w:hint="eastAsia"/>
                <w:strike w:val="0"/>
                <w:dstrike w:val="0"/>
                <w:color w:val="auto"/>
                <w:sz w:val="21"/>
                <w:szCs w:val="21"/>
                <w:vertAlign w:val="baseline"/>
                <w:lang w:val="en-US" w:eastAsia="zh-CN"/>
              </w:rPr>
              <w:t>0</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09</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8</w:t>
            </w:r>
            <w:r>
              <w:rPr>
                <w:rFonts w:hint="eastAsia" w:ascii="Times New Roman" w:eastAsia="宋体"/>
                <w:strike w:val="0"/>
                <w:dstrike w:val="0"/>
                <w:color w:val="auto"/>
                <w:sz w:val="21"/>
                <w:szCs w:val="21"/>
                <w:vertAlign w:val="baseline"/>
                <w:lang w:val="en-US" w:eastAsia="zh-CN"/>
              </w:rPr>
              <w:t>-1</w:t>
            </w:r>
            <w:r>
              <w:rPr>
                <w:rFonts w:hint="eastAsia"/>
                <w:strike w:val="0"/>
                <w:dstrike w:val="0"/>
                <w:color w:val="auto"/>
                <w:sz w:val="21"/>
                <w:szCs w:val="21"/>
                <w:vertAlign w:val="baseline"/>
                <w:lang w:val="en-US" w:eastAsia="zh-CN"/>
              </w:rPr>
              <w:t>0</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08</w:t>
            </w:r>
          </w:p>
        </w:tc>
      </w:tr>
      <w:tr w14:paraId="73E5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77" w:type="pct"/>
            <w:vAlign w:val="center"/>
          </w:tcPr>
          <w:p w14:paraId="3E522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1E539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strike w:val="0"/>
                <w:dstrike w:val="0"/>
                <w:color w:val="auto"/>
                <w:sz w:val="21"/>
                <w:szCs w:val="21"/>
                <w:highlight w:val="none"/>
                <w:vertAlign w:val="baseline"/>
                <w:lang w:val="en-US" w:eastAsia="zh-CN"/>
              </w:rPr>
              <w:t>江政</w:t>
            </w:r>
          </w:p>
        </w:tc>
        <w:tc>
          <w:tcPr>
            <w:tcW w:w="351" w:type="pct"/>
            <w:vAlign w:val="center"/>
          </w:tcPr>
          <w:p w14:paraId="67535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36FFE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T35078419970409281X</w:t>
            </w:r>
          </w:p>
        </w:tc>
        <w:tc>
          <w:tcPr>
            <w:tcW w:w="339" w:type="pct"/>
            <w:vAlign w:val="center"/>
          </w:tcPr>
          <w:p w14:paraId="61263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75AE6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低压电工作业</w:t>
            </w:r>
          </w:p>
        </w:tc>
        <w:tc>
          <w:tcPr>
            <w:tcW w:w="369" w:type="pct"/>
            <w:vAlign w:val="center"/>
          </w:tcPr>
          <w:p w14:paraId="1A2275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3B28BA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3</w:t>
            </w:r>
            <w:r>
              <w:rPr>
                <w:rFonts w:hint="eastAsia" w:ascii="Times New Roman" w:eastAsia="宋体"/>
                <w:strike w:val="0"/>
                <w:dstrike w:val="0"/>
                <w:color w:val="auto"/>
                <w:sz w:val="21"/>
                <w:szCs w:val="21"/>
                <w:vertAlign w:val="baseline"/>
                <w:lang w:val="en-US" w:eastAsia="zh-CN"/>
              </w:rPr>
              <w:t>-11-</w:t>
            </w:r>
            <w:r>
              <w:rPr>
                <w:rFonts w:hint="eastAsia"/>
                <w:strike w:val="0"/>
                <w:dstrike w:val="0"/>
                <w:color w:val="auto"/>
                <w:sz w:val="21"/>
                <w:szCs w:val="21"/>
                <w:vertAlign w:val="baseline"/>
                <w:lang w:val="en-US" w:eastAsia="zh-CN"/>
              </w:rPr>
              <w:t>02</w:t>
            </w: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9</w:t>
            </w:r>
            <w:r>
              <w:rPr>
                <w:rFonts w:hint="eastAsia" w:ascii="Times New Roman" w:eastAsia="宋体"/>
                <w:strike w:val="0"/>
                <w:dstrike w:val="0"/>
                <w:color w:val="auto"/>
                <w:sz w:val="21"/>
                <w:szCs w:val="21"/>
                <w:vertAlign w:val="baseline"/>
                <w:lang w:val="en-US" w:eastAsia="zh-CN"/>
              </w:rPr>
              <w:t>-11-</w:t>
            </w:r>
            <w:r>
              <w:rPr>
                <w:rFonts w:hint="eastAsia"/>
                <w:strike w:val="0"/>
                <w:dstrike w:val="0"/>
                <w:color w:val="auto"/>
                <w:sz w:val="21"/>
                <w:szCs w:val="21"/>
                <w:vertAlign w:val="baseline"/>
                <w:lang w:val="en-US" w:eastAsia="zh-CN"/>
              </w:rPr>
              <w:t>01</w:t>
            </w:r>
          </w:p>
        </w:tc>
      </w:tr>
      <w:tr w14:paraId="6BD0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77" w:type="pct"/>
            <w:vAlign w:val="center"/>
          </w:tcPr>
          <w:p w14:paraId="69A9A3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44AB41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李升华</w:t>
            </w:r>
          </w:p>
        </w:tc>
        <w:tc>
          <w:tcPr>
            <w:tcW w:w="351" w:type="pct"/>
            <w:vAlign w:val="center"/>
          </w:tcPr>
          <w:p w14:paraId="31A688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5A1690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T362326199002190317</w:t>
            </w:r>
          </w:p>
        </w:tc>
        <w:tc>
          <w:tcPr>
            <w:tcW w:w="339" w:type="pct"/>
            <w:vAlign w:val="center"/>
          </w:tcPr>
          <w:p w14:paraId="0A207C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4A184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熔化焊接与热切割作业</w:t>
            </w:r>
          </w:p>
        </w:tc>
        <w:tc>
          <w:tcPr>
            <w:tcW w:w="369" w:type="pct"/>
            <w:vAlign w:val="center"/>
          </w:tcPr>
          <w:p w14:paraId="6A9730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5A0DDA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4</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12</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10</w:t>
            </w:r>
            <w:r>
              <w:rPr>
                <w:rFonts w:hint="eastAsia" w:ascii="Times New Roman" w:eastAsia="宋体"/>
                <w:strike w:val="0"/>
                <w:dstrike w:val="0"/>
                <w:color w:val="auto"/>
                <w:sz w:val="21"/>
                <w:szCs w:val="21"/>
                <w:vertAlign w:val="baseline"/>
                <w:lang w:val="en-US" w:eastAsia="zh-CN"/>
              </w:rPr>
              <w:t>—20</w:t>
            </w:r>
            <w:r>
              <w:rPr>
                <w:rFonts w:hint="eastAsia"/>
                <w:strike w:val="0"/>
                <w:dstrike w:val="0"/>
                <w:color w:val="auto"/>
                <w:sz w:val="21"/>
                <w:szCs w:val="21"/>
                <w:vertAlign w:val="baseline"/>
                <w:lang w:val="en-US" w:eastAsia="zh-CN"/>
              </w:rPr>
              <w:t>30</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12</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9</w:t>
            </w:r>
          </w:p>
        </w:tc>
      </w:tr>
      <w:tr w14:paraId="7CBB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77" w:type="pct"/>
            <w:vAlign w:val="center"/>
          </w:tcPr>
          <w:p w14:paraId="545146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6F34E7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汪俊杰</w:t>
            </w:r>
          </w:p>
        </w:tc>
        <w:tc>
          <w:tcPr>
            <w:tcW w:w="351" w:type="pct"/>
            <w:vAlign w:val="center"/>
          </w:tcPr>
          <w:p w14:paraId="548AC5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5FA50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T36232620010122213X</w:t>
            </w:r>
          </w:p>
        </w:tc>
        <w:tc>
          <w:tcPr>
            <w:tcW w:w="339" w:type="pct"/>
            <w:vAlign w:val="center"/>
          </w:tcPr>
          <w:p w14:paraId="144ACD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48EEE3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熔化焊接与热切割作业</w:t>
            </w:r>
          </w:p>
        </w:tc>
        <w:tc>
          <w:tcPr>
            <w:tcW w:w="369" w:type="pct"/>
            <w:vAlign w:val="center"/>
          </w:tcPr>
          <w:p w14:paraId="3DD648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193646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4</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12</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10</w:t>
            </w:r>
            <w:r>
              <w:rPr>
                <w:rFonts w:hint="eastAsia" w:ascii="Times New Roman" w:eastAsia="宋体"/>
                <w:strike w:val="0"/>
                <w:dstrike w:val="0"/>
                <w:color w:val="auto"/>
                <w:sz w:val="21"/>
                <w:szCs w:val="21"/>
                <w:vertAlign w:val="baseline"/>
                <w:lang w:val="en-US" w:eastAsia="zh-CN"/>
              </w:rPr>
              <w:t>—20</w:t>
            </w:r>
            <w:r>
              <w:rPr>
                <w:rFonts w:hint="eastAsia"/>
                <w:strike w:val="0"/>
                <w:dstrike w:val="0"/>
                <w:color w:val="auto"/>
                <w:sz w:val="21"/>
                <w:szCs w:val="21"/>
                <w:vertAlign w:val="baseline"/>
                <w:lang w:val="en-US" w:eastAsia="zh-CN"/>
              </w:rPr>
              <w:t>30</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12</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9</w:t>
            </w:r>
          </w:p>
        </w:tc>
      </w:tr>
      <w:tr w14:paraId="67F7A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77" w:type="pct"/>
            <w:vAlign w:val="center"/>
          </w:tcPr>
          <w:p w14:paraId="2227B8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bookmarkStart w:id="193" w:name="_Toc23713"/>
            <w:bookmarkStart w:id="194" w:name="_Toc7688"/>
            <w:bookmarkStart w:id="195" w:name="_Toc4360"/>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799B41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张涛</w:t>
            </w:r>
          </w:p>
        </w:tc>
        <w:tc>
          <w:tcPr>
            <w:tcW w:w="351" w:type="pct"/>
            <w:vAlign w:val="center"/>
          </w:tcPr>
          <w:p w14:paraId="76A2A6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5E104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T362301199007073518</w:t>
            </w:r>
          </w:p>
        </w:tc>
        <w:tc>
          <w:tcPr>
            <w:tcW w:w="339" w:type="pct"/>
            <w:vAlign w:val="center"/>
          </w:tcPr>
          <w:p w14:paraId="756ED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62894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熔化焊接与热切割作业</w:t>
            </w:r>
          </w:p>
        </w:tc>
        <w:tc>
          <w:tcPr>
            <w:tcW w:w="369" w:type="pct"/>
            <w:vAlign w:val="center"/>
          </w:tcPr>
          <w:p w14:paraId="31A3E5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42166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2025-10-31</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2031-10-30</w:t>
            </w:r>
          </w:p>
        </w:tc>
      </w:tr>
      <w:tr w14:paraId="093B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77" w:type="pct"/>
            <w:vAlign w:val="center"/>
          </w:tcPr>
          <w:p w14:paraId="73CC6D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223A8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default" w:ascii="Times New Roman" w:eastAsia="宋体"/>
                <w:strike w:val="0"/>
                <w:dstrike w:val="0"/>
                <w:color w:val="auto"/>
                <w:sz w:val="21"/>
                <w:szCs w:val="21"/>
                <w:vertAlign w:val="baseline"/>
                <w:lang w:val="en-US" w:eastAsia="zh-CN"/>
              </w:rPr>
              <w:t>邵小真</w:t>
            </w:r>
          </w:p>
        </w:tc>
        <w:tc>
          <w:tcPr>
            <w:tcW w:w="351" w:type="pct"/>
            <w:vAlign w:val="center"/>
          </w:tcPr>
          <w:p w14:paraId="36F53E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6EC79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T362326199002025418</w:t>
            </w:r>
          </w:p>
        </w:tc>
        <w:tc>
          <w:tcPr>
            <w:tcW w:w="339" w:type="pct"/>
            <w:vAlign w:val="center"/>
          </w:tcPr>
          <w:p w14:paraId="29A78F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359E51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熔化焊接与热切割作业</w:t>
            </w:r>
          </w:p>
        </w:tc>
        <w:tc>
          <w:tcPr>
            <w:tcW w:w="369" w:type="pct"/>
            <w:vAlign w:val="center"/>
          </w:tcPr>
          <w:p w14:paraId="2F4E6E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4CAD2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202</w:t>
            </w:r>
            <w:r>
              <w:rPr>
                <w:rFonts w:hint="eastAsia"/>
                <w:strike w:val="0"/>
                <w:dstrike w:val="0"/>
                <w:color w:val="auto"/>
                <w:sz w:val="21"/>
                <w:szCs w:val="21"/>
                <w:vertAlign w:val="baseline"/>
                <w:lang w:val="en-US" w:eastAsia="zh-CN"/>
              </w:rPr>
              <w:t>4</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12</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10</w:t>
            </w:r>
            <w:r>
              <w:rPr>
                <w:rFonts w:hint="eastAsia" w:ascii="Times New Roman" w:eastAsia="宋体"/>
                <w:strike w:val="0"/>
                <w:dstrike w:val="0"/>
                <w:color w:val="auto"/>
                <w:sz w:val="21"/>
                <w:szCs w:val="21"/>
                <w:vertAlign w:val="baseline"/>
                <w:lang w:val="en-US" w:eastAsia="zh-CN"/>
              </w:rPr>
              <w:t>—20</w:t>
            </w:r>
            <w:r>
              <w:rPr>
                <w:rFonts w:hint="eastAsia"/>
                <w:strike w:val="0"/>
                <w:dstrike w:val="0"/>
                <w:color w:val="auto"/>
                <w:sz w:val="21"/>
                <w:szCs w:val="21"/>
                <w:vertAlign w:val="baseline"/>
                <w:lang w:val="en-US" w:eastAsia="zh-CN"/>
              </w:rPr>
              <w:t>30</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12</w:t>
            </w:r>
            <w:r>
              <w:rPr>
                <w:rFonts w:hint="eastAsia" w:ascii="Times New Roman" w:eastAsia="宋体"/>
                <w:strike w:val="0"/>
                <w:dstrike w:val="0"/>
                <w:color w:val="auto"/>
                <w:sz w:val="21"/>
                <w:szCs w:val="21"/>
                <w:vertAlign w:val="baseline"/>
                <w:lang w:val="en-US" w:eastAsia="zh-CN"/>
              </w:rPr>
              <w:t>-0</w:t>
            </w:r>
            <w:r>
              <w:rPr>
                <w:rFonts w:hint="eastAsia"/>
                <w:strike w:val="0"/>
                <w:dstrike w:val="0"/>
                <w:color w:val="auto"/>
                <w:sz w:val="21"/>
                <w:szCs w:val="21"/>
                <w:vertAlign w:val="baseline"/>
                <w:lang w:val="en-US" w:eastAsia="zh-CN"/>
              </w:rPr>
              <w:t>9</w:t>
            </w:r>
          </w:p>
        </w:tc>
      </w:tr>
      <w:tr w14:paraId="5C653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77" w:type="pct"/>
            <w:vAlign w:val="center"/>
          </w:tcPr>
          <w:p w14:paraId="151F12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特种作业人员</w:t>
            </w:r>
          </w:p>
        </w:tc>
        <w:tc>
          <w:tcPr>
            <w:tcW w:w="440" w:type="pct"/>
            <w:vAlign w:val="center"/>
          </w:tcPr>
          <w:p w14:paraId="6C4987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袁国庆</w:t>
            </w:r>
          </w:p>
        </w:tc>
        <w:tc>
          <w:tcPr>
            <w:tcW w:w="351" w:type="pct"/>
            <w:vAlign w:val="center"/>
          </w:tcPr>
          <w:p w14:paraId="7A0EE3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证号</w:t>
            </w:r>
          </w:p>
        </w:tc>
        <w:tc>
          <w:tcPr>
            <w:tcW w:w="1206" w:type="pct"/>
            <w:vAlign w:val="center"/>
          </w:tcPr>
          <w:p w14:paraId="2E12FE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strike w:val="0"/>
                <w:dstrike w:val="0"/>
                <w:color w:val="auto"/>
                <w:sz w:val="21"/>
                <w:szCs w:val="21"/>
                <w:vertAlign w:val="baseline"/>
                <w:lang w:val="en-US" w:eastAsia="zh-CN"/>
              </w:rPr>
            </w:pPr>
            <w:r>
              <w:rPr>
                <w:rFonts w:hint="default"/>
                <w:strike w:val="0"/>
                <w:dstrike w:val="0"/>
                <w:color w:val="auto"/>
                <w:sz w:val="21"/>
                <w:szCs w:val="21"/>
                <w:vertAlign w:val="baseline"/>
                <w:lang w:val="en-US" w:eastAsia="zh-CN"/>
              </w:rPr>
              <w:t>T36232619751114001X</w:t>
            </w:r>
          </w:p>
        </w:tc>
        <w:tc>
          <w:tcPr>
            <w:tcW w:w="339" w:type="pct"/>
            <w:vAlign w:val="center"/>
          </w:tcPr>
          <w:p w14:paraId="55A572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操作项目</w:t>
            </w:r>
          </w:p>
        </w:tc>
        <w:tc>
          <w:tcPr>
            <w:tcW w:w="921" w:type="pct"/>
            <w:gridSpan w:val="2"/>
            <w:vAlign w:val="center"/>
          </w:tcPr>
          <w:p w14:paraId="50EAD4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熔化焊接与热切割作业</w:t>
            </w:r>
          </w:p>
        </w:tc>
        <w:tc>
          <w:tcPr>
            <w:tcW w:w="369" w:type="pct"/>
            <w:vAlign w:val="center"/>
          </w:tcPr>
          <w:p w14:paraId="43EA10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ascii="Times New Roman" w:eastAsia="宋体"/>
                <w:strike w:val="0"/>
                <w:dstrike w:val="0"/>
                <w:color w:val="auto"/>
                <w:sz w:val="21"/>
                <w:szCs w:val="21"/>
                <w:vertAlign w:val="baseline"/>
                <w:lang w:val="en-US" w:eastAsia="zh-CN"/>
              </w:rPr>
              <w:t>有效期</w:t>
            </w:r>
          </w:p>
        </w:tc>
        <w:tc>
          <w:tcPr>
            <w:tcW w:w="793" w:type="pct"/>
            <w:vAlign w:val="center"/>
          </w:tcPr>
          <w:p w14:paraId="678D6D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eastAsia="宋体"/>
                <w:strike w:val="0"/>
                <w:dstrike w:val="0"/>
                <w:color w:val="auto"/>
                <w:sz w:val="21"/>
                <w:szCs w:val="21"/>
                <w:vertAlign w:val="baseline"/>
                <w:lang w:val="en-US" w:eastAsia="zh-CN"/>
              </w:rPr>
            </w:pPr>
            <w:r>
              <w:rPr>
                <w:rFonts w:hint="eastAsia"/>
                <w:strike w:val="0"/>
                <w:dstrike w:val="0"/>
                <w:color w:val="auto"/>
                <w:sz w:val="21"/>
                <w:szCs w:val="21"/>
                <w:vertAlign w:val="baseline"/>
                <w:lang w:val="en-US" w:eastAsia="zh-CN"/>
              </w:rPr>
              <w:t>2025-10-31</w:t>
            </w:r>
            <w:r>
              <w:rPr>
                <w:rFonts w:hint="eastAsia" w:ascii="Times New Roman" w:eastAsia="宋体"/>
                <w:strike w:val="0"/>
                <w:dstrike w:val="0"/>
                <w:color w:val="auto"/>
                <w:sz w:val="21"/>
                <w:szCs w:val="21"/>
                <w:vertAlign w:val="baseline"/>
                <w:lang w:val="en-US" w:eastAsia="zh-CN"/>
              </w:rPr>
              <w:t>—</w:t>
            </w:r>
            <w:r>
              <w:rPr>
                <w:rFonts w:hint="eastAsia"/>
                <w:strike w:val="0"/>
                <w:dstrike w:val="0"/>
                <w:color w:val="auto"/>
                <w:sz w:val="21"/>
                <w:szCs w:val="21"/>
                <w:vertAlign w:val="baseline"/>
                <w:lang w:val="en-US" w:eastAsia="zh-CN"/>
              </w:rPr>
              <w:t>2031-10-30</w:t>
            </w:r>
          </w:p>
        </w:tc>
      </w:tr>
    </w:tbl>
    <w:p w14:paraId="3A71F846">
      <w:pPr>
        <w:pStyle w:val="4"/>
        <w:bidi w:val="0"/>
        <w:rPr>
          <w:rFonts w:hint="default"/>
          <w:color w:val="auto"/>
          <w:lang w:val="en-US" w:eastAsia="zh-CN"/>
        </w:rPr>
      </w:pPr>
      <w:bookmarkStart w:id="196" w:name="_Toc5409"/>
      <w:r>
        <w:rPr>
          <w:rFonts w:hint="default"/>
          <w:color w:val="auto"/>
          <w:lang w:val="en-US" w:eastAsia="zh-CN"/>
        </w:rPr>
        <w:t>2.5.</w:t>
      </w:r>
      <w:r>
        <w:rPr>
          <w:rFonts w:hint="eastAsia"/>
          <w:color w:val="auto"/>
          <w:lang w:val="en-US" w:eastAsia="zh-CN"/>
        </w:rPr>
        <w:t>4</w:t>
      </w:r>
      <w:r>
        <w:rPr>
          <w:rFonts w:hint="default"/>
          <w:color w:val="auto"/>
          <w:lang w:val="en-US" w:eastAsia="zh-CN"/>
        </w:rPr>
        <w:t xml:space="preserve"> 安全标准化运行情况</w:t>
      </w:r>
      <w:bookmarkEnd w:id="193"/>
      <w:bookmarkEnd w:id="194"/>
      <w:bookmarkEnd w:id="195"/>
      <w:bookmarkEnd w:id="196"/>
    </w:p>
    <w:p w14:paraId="17866628">
      <w:pPr>
        <w:bidi w:val="0"/>
        <w:rPr>
          <w:rFonts w:hint="default"/>
          <w:color w:val="auto"/>
          <w:lang w:val="en-US" w:eastAsia="zh-CN"/>
        </w:rPr>
      </w:pPr>
      <w:r>
        <w:rPr>
          <w:rFonts w:hint="eastAsia"/>
          <w:color w:val="auto"/>
          <w:lang w:val="en-US" w:eastAsia="zh-CN"/>
        </w:rPr>
        <w:t>曹溪二矿于</w:t>
      </w:r>
      <w:r>
        <w:rPr>
          <w:rFonts w:hint="default"/>
          <w:color w:val="auto"/>
          <w:lang w:val="en-US" w:eastAsia="zh-CN"/>
        </w:rPr>
        <w:t>20</w:t>
      </w:r>
      <w:r>
        <w:rPr>
          <w:rFonts w:hint="eastAsia"/>
          <w:color w:val="auto"/>
          <w:lang w:val="en-US" w:eastAsia="zh-CN"/>
        </w:rPr>
        <w:t>25</w:t>
      </w:r>
      <w:r>
        <w:rPr>
          <w:rFonts w:hint="default"/>
          <w:color w:val="auto"/>
          <w:lang w:val="en-US" w:eastAsia="zh-CN"/>
        </w:rPr>
        <w:t>年</w:t>
      </w:r>
      <w:r>
        <w:rPr>
          <w:rFonts w:hint="eastAsia"/>
          <w:color w:val="auto"/>
          <w:lang w:val="en-US" w:eastAsia="zh-CN"/>
        </w:rPr>
        <w:t>01</w:t>
      </w:r>
      <w:r>
        <w:rPr>
          <w:rFonts w:hint="default"/>
          <w:color w:val="auto"/>
          <w:lang w:val="en-US" w:eastAsia="zh-CN"/>
        </w:rPr>
        <w:t>月</w:t>
      </w:r>
      <w:r>
        <w:rPr>
          <w:rFonts w:hint="eastAsia"/>
          <w:color w:val="auto"/>
          <w:lang w:val="en-US" w:eastAsia="zh-CN"/>
        </w:rPr>
        <w:t>03</w:t>
      </w:r>
      <w:r>
        <w:rPr>
          <w:rFonts w:hint="default"/>
          <w:color w:val="auto"/>
          <w:lang w:val="en-US" w:eastAsia="zh-CN"/>
        </w:rPr>
        <w:t>日获得了安全生产标准化</w:t>
      </w:r>
      <w:r>
        <w:rPr>
          <w:rFonts w:hint="eastAsia"/>
          <w:color w:val="auto"/>
          <w:lang w:val="en-US" w:eastAsia="zh-CN"/>
        </w:rPr>
        <w:t>二</w:t>
      </w:r>
      <w:r>
        <w:rPr>
          <w:rFonts w:hint="default"/>
          <w:color w:val="auto"/>
          <w:lang w:val="en-US" w:eastAsia="zh-CN"/>
        </w:rPr>
        <w:t>级</w:t>
      </w:r>
      <w:r>
        <w:rPr>
          <w:rFonts w:hint="eastAsia"/>
          <w:color w:val="auto"/>
          <w:lang w:val="en-US" w:eastAsia="zh-CN"/>
        </w:rPr>
        <w:t>企业</w:t>
      </w:r>
      <w:r>
        <w:rPr>
          <w:rFonts w:hint="eastAsia"/>
          <w:color w:val="FF0000"/>
          <w:lang w:val="en-US" w:eastAsia="zh-CN"/>
        </w:rPr>
        <w:t>（详见江西省应急管理厅网站《江西省非煤矿山企业安全生产标准化评审定级审核决定公告（第七十四号）》，有效期三年）</w:t>
      </w:r>
      <w:r>
        <w:rPr>
          <w:rFonts w:hint="default"/>
          <w:color w:val="auto"/>
          <w:lang w:val="en-US" w:eastAsia="zh-CN"/>
        </w:rPr>
        <w:t>。</w:t>
      </w:r>
    </w:p>
    <w:p w14:paraId="73333D84">
      <w:pPr>
        <w:bidi w:val="0"/>
        <w:rPr>
          <w:rFonts w:hint="default"/>
          <w:color w:val="auto"/>
          <w:lang w:val="en-US" w:eastAsia="zh-CN"/>
        </w:rPr>
      </w:pPr>
      <w:r>
        <w:rPr>
          <w:rFonts w:hint="default"/>
          <w:color w:val="auto"/>
          <w:lang w:val="en-US" w:eastAsia="zh-CN"/>
        </w:rPr>
        <w:t>自取得非煤矿山安全生产标准化</w:t>
      </w:r>
      <w:r>
        <w:rPr>
          <w:rFonts w:hint="eastAsia"/>
          <w:color w:val="auto"/>
          <w:lang w:val="en-US" w:eastAsia="zh-CN"/>
        </w:rPr>
        <w:t>二</w:t>
      </w:r>
      <w:r>
        <w:rPr>
          <w:rFonts w:hint="default"/>
          <w:color w:val="auto"/>
          <w:lang w:val="en-US" w:eastAsia="zh-CN"/>
        </w:rPr>
        <w:t>级后，</w:t>
      </w:r>
      <w:r>
        <w:rPr>
          <w:rFonts w:hint="eastAsia"/>
          <w:color w:val="auto"/>
          <w:lang w:val="en-US" w:eastAsia="zh-CN"/>
        </w:rPr>
        <w:t>曹溪二矿</w:t>
      </w:r>
      <w:r>
        <w:rPr>
          <w:rFonts w:hint="default"/>
          <w:color w:val="auto"/>
          <w:lang w:val="en-US" w:eastAsia="zh-CN"/>
        </w:rPr>
        <w:t>一直按非煤矿山安全生产标准化体系运行。</w:t>
      </w:r>
    </w:p>
    <w:p w14:paraId="028CEF5A">
      <w:pPr>
        <w:pStyle w:val="4"/>
        <w:bidi w:val="0"/>
        <w:rPr>
          <w:rFonts w:hint="default"/>
          <w:color w:val="auto"/>
          <w:lang w:val="en-US" w:eastAsia="zh-CN"/>
        </w:rPr>
      </w:pPr>
      <w:bookmarkStart w:id="197" w:name="_Toc31330"/>
      <w:bookmarkStart w:id="198" w:name="_Toc17660"/>
      <w:bookmarkStart w:id="199" w:name="_Toc8444"/>
      <w:bookmarkStart w:id="200" w:name="_Toc20371"/>
      <w:r>
        <w:rPr>
          <w:rFonts w:hint="eastAsia"/>
          <w:color w:val="auto"/>
          <w:lang w:val="en-US" w:eastAsia="zh-CN"/>
        </w:rPr>
        <w:t>2.5.5 双重预防机制</w:t>
      </w:r>
      <w:bookmarkEnd w:id="197"/>
      <w:bookmarkEnd w:id="198"/>
      <w:bookmarkEnd w:id="199"/>
      <w:bookmarkEnd w:id="200"/>
    </w:p>
    <w:p w14:paraId="79376296">
      <w:pPr>
        <w:bidi w:val="0"/>
        <w:rPr>
          <w:rFonts w:hint="eastAsia"/>
          <w:color w:val="auto"/>
        </w:rPr>
      </w:pPr>
      <w:r>
        <w:rPr>
          <w:rFonts w:hint="eastAsia"/>
          <w:color w:val="auto"/>
          <w:lang w:val="en-US" w:eastAsia="zh-CN"/>
        </w:rPr>
        <w:t xml:space="preserve">1. </w:t>
      </w:r>
      <w:r>
        <w:rPr>
          <w:rFonts w:hint="eastAsia"/>
          <w:color w:val="auto"/>
        </w:rPr>
        <w:t>成立安全风险分级管控工作小组</w:t>
      </w:r>
    </w:p>
    <w:p w14:paraId="73CD2B51">
      <w:pPr>
        <w:bidi w:val="0"/>
        <w:rPr>
          <w:rFonts w:hint="eastAsia"/>
          <w:color w:val="auto"/>
        </w:rPr>
      </w:pPr>
      <w:r>
        <w:rPr>
          <w:rFonts w:hint="eastAsia"/>
          <w:color w:val="auto"/>
          <w:lang w:val="en-US" w:eastAsia="zh-CN"/>
        </w:rPr>
        <w:t>曹溪二矿</w:t>
      </w:r>
      <w:r>
        <w:rPr>
          <w:rFonts w:hint="eastAsia"/>
          <w:color w:val="auto"/>
        </w:rPr>
        <w:t>成立了安全风险分级管控工作小组</w:t>
      </w:r>
      <w:r>
        <w:rPr>
          <w:rFonts w:hint="eastAsia"/>
          <w:color w:val="auto"/>
          <w:lang w:eastAsia="zh-CN"/>
        </w:rPr>
        <w:t>，</w:t>
      </w:r>
      <w:r>
        <w:rPr>
          <w:rFonts w:hint="eastAsia"/>
          <w:color w:val="auto"/>
        </w:rPr>
        <w:t>安全风险分级管控工作小组具体负责</w:t>
      </w:r>
      <w:r>
        <w:rPr>
          <w:rFonts w:hint="eastAsia"/>
          <w:color w:val="auto"/>
          <w:lang w:val="en-US" w:eastAsia="zh-CN"/>
        </w:rPr>
        <w:t>矿山</w:t>
      </w:r>
      <w:r>
        <w:rPr>
          <w:rFonts w:hint="eastAsia"/>
          <w:color w:val="auto"/>
        </w:rPr>
        <w:t>安全风险分级管控体系建设组织领导和统筹协调，支持宣传推广安全风险分级管控体系建设，确保实现“全员、全过程、全方位、全天候”的风险管控，严格按照安全风险分级管理工作职责，做好各项工作。</w:t>
      </w:r>
    </w:p>
    <w:p w14:paraId="024F2B5F">
      <w:pPr>
        <w:bidi w:val="0"/>
        <w:rPr>
          <w:rFonts w:hint="eastAsia"/>
          <w:color w:val="auto"/>
        </w:rPr>
      </w:pPr>
      <w:r>
        <w:rPr>
          <w:rFonts w:hint="eastAsia"/>
          <w:color w:val="auto"/>
          <w:lang w:val="en-US" w:eastAsia="zh-CN"/>
        </w:rPr>
        <w:t xml:space="preserve">2. </w:t>
      </w:r>
      <w:r>
        <w:rPr>
          <w:rFonts w:hint="eastAsia"/>
          <w:color w:val="auto"/>
        </w:rPr>
        <w:t>风险分级管控</w:t>
      </w:r>
    </w:p>
    <w:p w14:paraId="7F2AA4A8">
      <w:pPr>
        <w:bidi w:val="0"/>
        <w:rPr>
          <w:rFonts w:hint="eastAsia"/>
          <w:color w:val="auto"/>
        </w:rPr>
      </w:pPr>
      <w:r>
        <w:rPr>
          <w:rFonts w:hint="eastAsia"/>
          <w:color w:val="auto"/>
          <w:lang w:val="en-US" w:eastAsia="zh-CN"/>
        </w:rPr>
        <w:t>曹溪二矿</w:t>
      </w:r>
      <w:r>
        <w:rPr>
          <w:rFonts w:hint="eastAsia"/>
          <w:color w:val="auto"/>
        </w:rPr>
        <w:t>组织</w:t>
      </w:r>
      <w:r>
        <w:rPr>
          <w:rFonts w:hint="eastAsia"/>
          <w:color w:val="auto"/>
          <w:lang w:val="en-US" w:eastAsia="zh-CN"/>
        </w:rPr>
        <w:t>了</w:t>
      </w:r>
      <w:r>
        <w:rPr>
          <w:rFonts w:hint="eastAsia"/>
          <w:color w:val="auto"/>
        </w:rPr>
        <w:t>相关人员对矿山的安全风险进行辨识、风险评估，依据风险级别、管理权限实施分组管控。在此基础上，编制了风险分级管控“一图一牌三清单”。</w:t>
      </w:r>
    </w:p>
    <w:p w14:paraId="792F8595">
      <w:pPr>
        <w:bidi w:val="0"/>
        <w:rPr>
          <w:rFonts w:hint="default"/>
          <w:color w:val="auto"/>
          <w:lang w:val="en-US" w:eastAsia="zh-CN"/>
        </w:rPr>
      </w:pPr>
      <w:r>
        <w:rPr>
          <w:rFonts w:hint="eastAsia"/>
          <w:color w:val="auto"/>
          <w:lang w:val="en-US" w:eastAsia="zh-CN"/>
        </w:rPr>
        <w:t xml:space="preserve">3. </w:t>
      </w:r>
      <w:r>
        <w:rPr>
          <w:rFonts w:hint="eastAsia"/>
          <w:color w:val="auto"/>
        </w:rPr>
        <w:t>隐患排查治理和安全生产基础资料建档</w:t>
      </w:r>
    </w:p>
    <w:p w14:paraId="686723F4">
      <w:pPr>
        <w:bidi w:val="0"/>
        <w:rPr>
          <w:rFonts w:hint="default"/>
          <w:color w:val="auto"/>
          <w:lang w:val="en-US" w:eastAsia="zh-CN"/>
        </w:rPr>
      </w:pPr>
      <w:r>
        <w:rPr>
          <w:rFonts w:hint="eastAsia"/>
          <w:color w:val="auto"/>
          <w:lang w:val="en-US" w:eastAsia="zh-CN"/>
        </w:rPr>
        <w:t>曹溪二矿</w:t>
      </w:r>
      <w:r>
        <w:rPr>
          <w:rFonts w:hint="default"/>
          <w:color w:val="auto"/>
          <w:lang w:val="en-US" w:eastAsia="zh-CN"/>
        </w:rPr>
        <w:t>根据《江西省安全生产事故隐患排查分级实施指南》完善隐患排查机制，修改了安全环保制度汇编，并根据隐患排查分级实施指南，每月进行一次排查，将排查出的隐患登记在隐患排查与治理台账内，按照</w:t>
      </w:r>
      <w:r>
        <w:rPr>
          <w:rFonts w:hint="eastAsia"/>
          <w:color w:val="auto"/>
          <w:lang w:val="en-US" w:eastAsia="zh-CN"/>
        </w:rPr>
        <w:t>“</w:t>
      </w:r>
      <w:r>
        <w:rPr>
          <w:rFonts w:hint="default"/>
          <w:color w:val="auto"/>
          <w:lang w:val="en-US" w:eastAsia="zh-CN"/>
        </w:rPr>
        <w:t>五落实</w:t>
      </w:r>
      <w:r>
        <w:rPr>
          <w:rFonts w:hint="eastAsia"/>
          <w:color w:val="auto"/>
          <w:lang w:val="en-US" w:eastAsia="zh-CN"/>
        </w:rPr>
        <w:t>”</w:t>
      </w:r>
      <w:r>
        <w:rPr>
          <w:rFonts w:hint="default"/>
          <w:color w:val="auto"/>
          <w:lang w:val="en-US" w:eastAsia="zh-CN"/>
        </w:rPr>
        <w:t>及隐患排查整改闭环管理的要求整改落实到位。</w:t>
      </w:r>
    </w:p>
    <w:p w14:paraId="5243371C">
      <w:pPr>
        <w:pStyle w:val="4"/>
        <w:bidi w:val="0"/>
        <w:rPr>
          <w:rFonts w:hint="default"/>
          <w:color w:val="auto"/>
          <w:lang w:val="en-US" w:eastAsia="zh-CN"/>
        </w:rPr>
      </w:pPr>
      <w:bookmarkStart w:id="201" w:name="_Toc19305"/>
      <w:bookmarkStart w:id="202" w:name="_Toc22808"/>
      <w:bookmarkStart w:id="203" w:name="_Toc10018"/>
      <w:bookmarkStart w:id="204" w:name="_Toc25380"/>
      <w:r>
        <w:rPr>
          <w:rFonts w:hint="default"/>
          <w:color w:val="auto"/>
          <w:lang w:val="en-US" w:eastAsia="zh-CN"/>
        </w:rPr>
        <w:t>2.</w:t>
      </w:r>
      <w:r>
        <w:rPr>
          <w:rFonts w:hint="eastAsia"/>
          <w:color w:val="auto"/>
          <w:lang w:val="en-US" w:eastAsia="zh-CN"/>
        </w:rPr>
        <w:t>5</w:t>
      </w:r>
      <w:r>
        <w:rPr>
          <w:rFonts w:hint="default"/>
          <w:color w:val="auto"/>
          <w:lang w:val="en-US" w:eastAsia="zh-CN"/>
        </w:rPr>
        <w:t>.6</w:t>
      </w:r>
      <w:r>
        <w:rPr>
          <w:rFonts w:hint="eastAsia"/>
          <w:color w:val="auto"/>
          <w:lang w:val="en-US" w:eastAsia="zh-CN"/>
        </w:rPr>
        <w:t xml:space="preserve"> 安全生产费用</w:t>
      </w:r>
      <w:bookmarkEnd w:id="201"/>
      <w:bookmarkEnd w:id="202"/>
      <w:bookmarkEnd w:id="203"/>
      <w:bookmarkEnd w:id="204"/>
    </w:p>
    <w:p w14:paraId="6C745E5C">
      <w:pPr>
        <w:bidi w:val="0"/>
        <w:rPr>
          <w:rFonts w:hint="eastAsia"/>
          <w:color w:val="auto"/>
          <w:lang w:val="en-US" w:eastAsia="zh-CN"/>
        </w:rPr>
      </w:pPr>
      <w:r>
        <w:rPr>
          <w:rFonts w:hint="eastAsia"/>
          <w:color w:val="auto"/>
          <w:lang w:val="en-US" w:eastAsia="zh-CN"/>
        </w:rPr>
        <w:t>曹溪二矿</w:t>
      </w:r>
      <w:r>
        <w:rPr>
          <w:rFonts w:hint="default"/>
          <w:color w:val="auto"/>
          <w:lang w:val="en-US" w:eastAsia="zh-CN"/>
        </w:rPr>
        <w:t>按照《财政部 应急部关于印发〈企业安全生产费用提取和使用管理办法〉的通知》</w:t>
      </w:r>
      <w:r>
        <w:rPr>
          <w:rFonts w:hint="eastAsia"/>
          <w:color w:val="auto"/>
          <w:lang w:val="en-US" w:eastAsia="zh-CN"/>
        </w:rPr>
        <w:t>（</w:t>
      </w:r>
      <w:r>
        <w:rPr>
          <w:rFonts w:hint="default"/>
          <w:color w:val="auto"/>
          <w:lang w:val="en-US" w:eastAsia="zh-CN"/>
        </w:rPr>
        <w:t>财资〔2022〕136号文</w:t>
      </w:r>
      <w:r>
        <w:rPr>
          <w:rFonts w:hint="eastAsia"/>
          <w:color w:val="auto"/>
          <w:lang w:val="en-US" w:eastAsia="zh-CN"/>
        </w:rPr>
        <w:t>）的</w:t>
      </w:r>
      <w:r>
        <w:rPr>
          <w:rFonts w:hint="default"/>
          <w:color w:val="auto"/>
          <w:lang w:val="en-US" w:eastAsia="zh-CN"/>
        </w:rPr>
        <w:t>要求标准提取</w:t>
      </w:r>
      <w:r>
        <w:rPr>
          <w:rFonts w:hint="eastAsia"/>
          <w:color w:val="auto"/>
          <w:lang w:val="en-US" w:eastAsia="zh-CN"/>
        </w:rPr>
        <w:t>，</w:t>
      </w:r>
      <w:r>
        <w:rPr>
          <w:rFonts w:hint="eastAsia"/>
          <w:color w:val="auto"/>
          <w:lang w:eastAsia="zh-CN"/>
        </w:rPr>
        <w:t>安全生产措施费用计划按不少于3元/t标准按月提取</w:t>
      </w:r>
      <w:r>
        <w:rPr>
          <w:rFonts w:hint="eastAsia"/>
          <w:color w:val="auto"/>
          <w:lang w:val="en-US" w:eastAsia="zh-CN"/>
        </w:rPr>
        <w:t>，</w:t>
      </w:r>
      <w:r>
        <w:rPr>
          <w:rFonts w:hint="default"/>
          <w:color w:val="auto"/>
          <w:lang w:val="en-US" w:eastAsia="zh-CN"/>
        </w:rPr>
        <w:t>202</w:t>
      </w:r>
      <w:r>
        <w:rPr>
          <w:rFonts w:hint="eastAsia"/>
          <w:color w:val="auto"/>
          <w:lang w:val="en-US" w:eastAsia="zh-CN"/>
        </w:rPr>
        <w:t>6</w:t>
      </w:r>
      <w:r>
        <w:rPr>
          <w:rFonts w:hint="default"/>
          <w:color w:val="auto"/>
          <w:lang w:val="en-US" w:eastAsia="zh-CN"/>
        </w:rPr>
        <w:t>年</w:t>
      </w:r>
      <w:r>
        <w:rPr>
          <w:rFonts w:hint="eastAsia"/>
          <w:color w:val="auto"/>
          <w:lang w:eastAsia="zh-CN"/>
        </w:rPr>
        <w:t>1</w:t>
      </w:r>
      <w:r>
        <w:rPr>
          <w:rFonts w:hint="default"/>
          <w:color w:val="auto"/>
          <w:lang w:val="en-US" w:eastAsia="zh-CN"/>
        </w:rPr>
        <w:t>～</w:t>
      </w:r>
      <w:r>
        <w:rPr>
          <w:rFonts w:hint="eastAsia"/>
          <w:color w:val="auto"/>
          <w:lang w:val="en-US" w:eastAsia="zh-CN"/>
        </w:rPr>
        <w:t>2</w:t>
      </w:r>
      <w:r>
        <w:rPr>
          <w:rFonts w:hint="eastAsia"/>
          <w:color w:val="auto"/>
          <w:lang w:eastAsia="zh-CN"/>
        </w:rPr>
        <w:t>月实际使用安全生产费用金额</w:t>
      </w:r>
      <w:r>
        <w:rPr>
          <w:rFonts w:hint="eastAsia"/>
          <w:color w:val="auto"/>
          <w:lang w:val="en-US" w:eastAsia="zh-CN"/>
        </w:rPr>
        <w:t>91.89</w:t>
      </w:r>
      <w:r>
        <w:rPr>
          <w:rFonts w:hint="eastAsia"/>
          <w:color w:val="auto"/>
          <w:lang w:eastAsia="zh-CN"/>
        </w:rPr>
        <w:t>万元</w:t>
      </w:r>
      <w:r>
        <w:rPr>
          <w:rFonts w:hint="eastAsia"/>
          <w:color w:val="auto"/>
          <w:lang w:val="en-US" w:eastAsia="zh-CN"/>
        </w:rPr>
        <w:t>，</w:t>
      </w:r>
      <w:r>
        <w:rPr>
          <w:rFonts w:hint="default"/>
          <w:color w:val="auto"/>
          <w:lang w:val="en-US" w:eastAsia="zh-CN"/>
        </w:rPr>
        <w:t>做到</w:t>
      </w:r>
      <w:r>
        <w:rPr>
          <w:rFonts w:hint="eastAsia"/>
          <w:color w:val="auto"/>
          <w:lang w:val="en-US" w:eastAsia="zh-CN"/>
        </w:rPr>
        <w:t>了</w:t>
      </w:r>
      <w:r>
        <w:rPr>
          <w:rFonts w:hint="default"/>
          <w:color w:val="auto"/>
          <w:lang w:val="en-US" w:eastAsia="zh-CN"/>
        </w:rPr>
        <w:t>安全费用专款专用，台账记录资料齐全。安全费用用于完善、改造和维护安全防护设备设施（不含</w:t>
      </w:r>
      <w:r>
        <w:rPr>
          <w:rFonts w:hint="eastAsia" w:asciiTheme="minorEastAsia" w:hAnsiTheme="minorEastAsia" w:eastAsiaTheme="minorEastAsia" w:cstheme="minorEastAsia"/>
          <w:color w:val="auto"/>
          <w:lang w:val="en-US" w:eastAsia="zh-CN"/>
        </w:rPr>
        <w:t>“</w:t>
      </w:r>
      <w:r>
        <w:rPr>
          <w:rFonts w:hint="default"/>
          <w:color w:val="auto"/>
          <w:lang w:val="en-US" w:eastAsia="zh-CN"/>
        </w:rPr>
        <w:t>三同时</w:t>
      </w:r>
      <w:r>
        <w:rPr>
          <w:rFonts w:hint="eastAsia" w:asciiTheme="minorEastAsia" w:hAnsiTheme="minorEastAsia" w:eastAsiaTheme="minorEastAsia" w:cstheme="minorEastAsia"/>
          <w:color w:val="auto"/>
          <w:lang w:val="en-US" w:eastAsia="zh-CN"/>
        </w:rPr>
        <w:t>”</w:t>
      </w:r>
      <w:r>
        <w:rPr>
          <w:rFonts w:hint="default"/>
          <w:color w:val="auto"/>
          <w:lang w:val="en-US" w:eastAsia="zh-CN"/>
        </w:rPr>
        <w:t>要求初期投入的安全设施）</w:t>
      </w:r>
      <w:r>
        <w:rPr>
          <w:rFonts w:hint="eastAsia"/>
          <w:color w:val="auto"/>
          <w:lang w:val="en-US" w:eastAsia="zh-CN"/>
        </w:rPr>
        <w:t>；安全生产教育培训和配备劳动防护用品；安全评价（不包括新建、改建、扩建项目安全评价）、重大危险源监控、事故隐患评估和整改；职业危害防治，职业危害因素检测、监测和职业健康体检；设备设施安全性能检测检验；应急救援器材、装备的配备及应急救援演练；其他与安全生产直接相关的物品或者活动等。</w:t>
      </w:r>
    </w:p>
    <w:p w14:paraId="613F8002">
      <w:pPr>
        <w:pStyle w:val="4"/>
        <w:bidi w:val="0"/>
        <w:rPr>
          <w:rFonts w:hint="eastAsia"/>
          <w:lang w:val="en-US" w:eastAsia="zh-CN"/>
        </w:rPr>
      </w:pPr>
      <w:bookmarkStart w:id="205" w:name="_Toc8338"/>
      <w:r>
        <w:rPr>
          <w:rFonts w:hint="eastAsia"/>
          <w:lang w:val="en-US" w:eastAsia="zh-CN"/>
        </w:rPr>
        <w:t>2.5.7 工伤保险与安全生产责任险</w:t>
      </w:r>
      <w:bookmarkEnd w:id="205"/>
    </w:p>
    <w:p w14:paraId="472770B7">
      <w:pPr>
        <w:bidi w:val="0"/>
        <w:rPr>
          <w:rFonts w:hint="default"/>
          <w:color w:val="auto"/>
          <w:lang w:val="en-US" w:eastAsia="zh-CN"/>
        </w:rPr>
      </w:pPr>
      <w:r>
        <w:rPr>
          <w:rFonts w:hint="default"/>
          <w:color w:val="auto"/>
          <w:lang w:val="en-US" w:eastAsia="zh-CN"/>
        </w:rPr>
        <w:t>弋阳海螺水泥有限责任公司为矿山员工办理了工伤保险和非煤矿山安全生产责任保险</w:t>
      </w:r>
      <w:r>
        <w:rPr>
          <w:rFonts w:hint="eastAsia"/>
          <w:color w:val="auto"/>
          <w:lang w:val="en-US" w:eastAsia="zh-CN"/>
        </w:rPr>
        <w:t>，其中主要负责人李强工伤保险由安徽海螺集团有限责任公司缴纳，特种作业人员江政是从福建省建阳海螺水泥有限责任公司调任过来，工伤保险由福建省建阳海螺水泥有限责任公司缴纳。</w:t>
      </w:r>
    </w:p>
    <w:p w14:paraId="247D6F24">
      <w:pPr>
        <w:pStyle w:val="4"/>
        <w:bidi w:val="0"/>
        <w:rPr>
          <w:rFonts w:hint="default"/>
          <w:color w:val="auto"/>
          <w:lang w:val="en-US" w:eastAsia="zh-CN"/>
        </w:rPr>
      </w:pPr>
      <w:bookmarkStart w:id="206" w:name="_Toc13030"/>
      <w:bookmarkStart w:id="207" w:name="_Toc25491"/>
      <w:bookmarkStart w:id="208" w:name="_Toc14573"/>
      <w:bookmarkStart w:id="209" w:name="_Toc10378"/>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8 </w:t>
      </w:r>
      <w:r>
        <w:rPr>
          <w:rFonts w:hint="default"/>
          <w:color w:val="auto"/>
          <w:lang w:val="en-US" w:eastAsia="zh-CN"/>
        </w:rPr>
        <w:t>应急救援</w:t>
      </w:r>
      <w:bookmarkEnd w:id="206"/>
      <w:bookmarkEnd w:id="207"/>
      <w:bookmarkEnd w:id="208"/>
      <w:bookmarkEnd w:id="209"/>
    </w:p>
    <w:p w14:paraId="0BE9AA0A">
      <w:pPr>
        <w:bidi w:val="0"/>
        <w:rPr>
          <w:rFonts w:hint="default"/>
          <w:color w:val="auto"/>
          <w:lang w:val="en-US" w:eastAsia="zh-CN"/>
        </w:rPr>
      </w:pPr>
      <w:r>
        <w:rPr>
          <w:rFonts w:hint="default"/>
          <w:color w:val="auto"/>
          <w:lang w:val="en-US" w:eastAsia="zh-CN"/>
        </w:rPr>
        <w:t>弋阳海螺水泥有限责任公司编制了《弋阳海螺水泥有限责任公司曹溪二矿生产安全事故应急预案》</w:t>
      </w:r>
      <w:r>
        <w:rPr>
          <w:rFonts w:hint="eastAsia"/>
          <w:color w:val="auto"/>
          <w:lang w:val="en-US" w:eastAsia="zh-CN"/>
        </w:rPr>
        <w:t>，</w:t>
      </w:r>
      <w:r>
        <w:rPr>
          <w:rFonts w:hint="default"/>
          <w:color w:val="auto"/>
          <w:lang w:val="en-US" w:eastAsia="zh-CN"/>
        </w:rPr>
        <w:t>于202</w:t>
      </w:r>
      <w:r>
        <w:rPr>
          <w:rFonts w:hint="eastAsia"/>
          <w:color w:val="auto"/>
          <w:lang w:val="en-US" w:eastAsia="zh-CN"/>
        </w:rPr>
        <w:t>4</w:t>
      </w:r>
      <w:r>
        <w:rPr>
          <w:rFonts w:hint="default"/>
          <w:color w:val="auto"/>
          <w:lang w:val="en-US" w:eastAsia="zh-CN"/>
        </w:rPr>
        <w:t>年</w:t>
      </w:r>
      <w:r>
        <w:rPr>
          <w:rFonts w:hint="eastAsia"/>
          <w:color w:val="auto"/>
          <w:lang w:val="en-US" w:eastAsia="zh-CN"/>
        </w:rPr>
        <w:t>8</w:t>
      </w:r>
      <w:r>
        <w:rPr>
          <w:rFonts w:hint="default"/>
          <w:color w:val="auto"/>
          <w:lang w:val="en-US" w:eastAsia="zh-CN"/>
        </w:rPr>
        <w:t>月</w:t>
      </w:r>
      <w:r>
        <w:rPr>
          <w:rFonts w:hint="eastAsia"/>
          <w:color w:val="auto"/>
          <w:lang w:val="en-US" w:eastAsia="zh-CN"/>
        </w:rPr>
        <w:t>7</w:t>
      </w:r>
      <w:r>
        <w:rPr>
          <w:rFonts w:hint="default"/>
          <w:color w:val="auto"/>
          <w:lang w:val="en-US" w:eastAsia="zh-CN"/>
        </w:rPr>
        <w:t>日在</w:t>
      </w:r>
      <w:r>
        <w:rPr>
          <w:rFonts w:hint="eastAsia"/>
          <w:color w:val="auto"/>
          <w:lang w:val="en-US" w:eastAsia="zh-CN"/>
        </w:rPr>
        <w:t>弋阳县</w:t>
      </w:r>
      <w:r>
        <w:rPr>
          <w:rFonts w:hint="default"/>
          <w:color w:val="auto"/>
          <w:lang w:val="en-US" w:eastAsia="zh-CN"/>
        </w:rPr>
        <w:t>应急管理局备案</w:t>
      </w:r>
      <w:r>
        <w:rPr>
          <w:rFonts w:hint="eastAsia"/>
          <w:color w:val="auto"/>
          <w:lang w:val="en-US" w:eastAsia="zh-CN"/>
        </w:rPr>
        <w:t>，</w:t>
      </w:r>
      <w:r>
        <w:rPr>
          <w:rFonts w:hint="default"/>
          <w:color w:val="auto"/>
          <w:lang w:val="en-US" w:eastAsia="zh-CN"/>
        </w:rPr>
        <w:t>备案编号为</w:t>
      </w:r>
      <w:r>
        <w:rPr>
          <w:rFonts w:hint="eastAsia"/>
          <w:color w:val="auto"/>
          <w:lang w:val="en-US" w:eastAsia="zh-CN"/>
        </w:rPr>
        <w:t>：</w:t>
      </w:r>
      <w:r>
        <w:rPr>
          <w:rFonts w:hint="default"/>
          <w:color w:val="auto"/>
          <w:lang w:val="en-US" w:eastAsia="zh-CN"/>
        </w:rPr>
        <w:t>362326-2024-0007。</w:t>
      </w:r>
    </w:p>
    <w:p w14:paraId="08385982">
      <w:pPr>
        <w:bidi w:val="0"/>
        <w:rPr>
          <w:rFonts w:hint="default"/>
          <w:color w:val="FF0000"/>
          <w:lang w:val="en-US" w:eastAsia="zh-CN"/>
        </w:rPr>
      </w:pPr>
      <w:r>
        <w:rPr>
          <w:rFonts w:hint="default" w:ascii="Times New Roman" w:hAnsi="Times New Roman" w:eastAsia="宋体" w:cs="Times New Roman"/>
          <w:color w:val="FF0000"/>
          <w:lang w:val="en-US" w:eastAsia="zh-CN"/>
        </w:rPr>
        <w:t>弋阳海螺水泥有限责任公司</w:t>
      </w:r>
      <w:r>
        <w:rPr>
          <w:rFonts w:hint="eastAsia"/>
          <w:color w:val="FF0000"/>
          <w:lang w:val="en-US" w:eastAsia="zh-CN"/>
        </w:rPr>
        <w:t>依据风险辨识结果，配备了个体防护、抢险救援、医疗急救等应急物资，并建立检查维护制度，编制了《矿山应急救援设备与物资一览表》和《应急医疗药品检查维护清单》。</w:t>
      </w:r>
    </w:p>
    <w:p w14:paraId="279D3095">
      <w:pPr>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弋阳海螺水泥有限责任公司成立</w:t>
      </w:r>
      <w:r>
        <w:rPr>
          <w:rFonts w:hint="eastAsia" w:ascii="Times New Roman" w:hAnsi="Times New Roman" w:eastAsia="宋体" w:cs="Times New Roman"/>
          <w:color w:val="auto"/>
          <w:lang w:val="en-US" w:eastAsia="zh-CN"/>
        </w:rPr>
        <w:t>了</w:t>
      </w:r>
      <w:r>
        <w:rPr>
          <w:rFonts w:hint="default" w:ascii="Times New Roman" w:hAnsi="Times New Roman" w:eastAsia="宋体" w:cs="Times New Roman"/>
          <w:color w:val="auto"/>
          <w:lang w:val="en-US" w:eastAsia="zh-CN"/>
        </w:rPr>
        <w:t>矿山安全生产应急救援队伍，详见弋海安</w:t>
      </w:r>
      <w:r>
        <w:rPr>
          <w:rFonts w:hint="eastAsia" w:ascii="Times New Roman" w:hAnsi="Times New Roman" w:eastAsia="宋体" w:cs="Times New Roman"/>
          <w:color w:val="auto"/>
          <w:lang w:val="en-US" w:eastAsia="zh-CN"/>
        </w:rPr>
        <w:t>〔2025〕</w:t>
      </w:r>
      <w:r>
        <w:rPr>
          <w:rFonts w:hint="default" w:ascii="Times New Roman" w:hAnsi="Times New Roman" w:eastAsia="宋体" w:cs="Times New Roman"/>
          <w:color w:val="auto"/>
          <w:lang w:val="en-US" w:eastAsia="zh-CN"/>
        </w:rPr>
        <w:t>12号文。</w:t>
      </w:r>
    </w:p>
    <w:p w14:paraId="40AC878A">
      <w:pPr>
        <w:bidi w:val="0"/>
        <w:rPr>
          <w:rFonts w:hint="default"/>
          <w:color w:val="auto"/>
          <w:lang w:val="en-US" w:eastAsia="zh-CN"/>
        </w:rPr>
      </w:pPr>
      <w:r>
        <w:rPr>
          <w:rFonts w:hint="default"/>
          <w:strike w:val="0"/>
          <w:dstrike w:val="0"/>
          <w:color w:val="auto"/>
          <w:lang w:val="en-US" w:eastAsia="zh-CN"/>
        </w:rPr>
        <w:t>2025年</w:t>
      </w:r>
      <w:r>
        <w:rPr>
          <w:rFonts w:hint="eastAsia"/>
          <w:strike w:val="0"/>
          <w:dstrike w:val="0"/>
          <w:color w:val="auto"/>
          <w:lang w:val="en-US" w:eastAsia="zh-CN"/>
        </w:rPr>
        <w:t>11</w:t>
      </w:r>
      <w:r>
        <w:rPr>
          <w:rFonts w:hint="default"/>
          <w:strike w:val="0"/>
          <w:dstrike w:val="0"/>
          <w:color w:val="auto"/>
          <w:lang w:val="en-US" w:eastAsia="zh-CN"/>
        </w:rPr>
        <w:t>月</w:t>
      </w:r>
      <w:r>
        <w:rPr>
          <w:rFonts w:hint="eastAsia"/>
          <w:strike w:val="0"/>
          <w:dstrike w:val="0"/>
          <w:color w:val="auto"/>
          <w:lang w:val="en-US" w:eastAsia="zh-CN"/>
        </w:rPr>
        <w:t>3</w:t>
      </w:r>
      <w:r>
        <w:rPr>
          <w:rFonts w:hint="default"/>
          <w:strike w:val="0"/>
          <w:dstrike w:val="0"/>
          <w:color w:val="auto"/>
          <w:lang w:val="en-US" w:eastAsia="zh-CN"/>
        </w:rPr>
        <w:t>日，</w:t>
      </w:r>
      <w:r>
        <w:rPr>
          <w:rFonts w:hint="default"/>
          <w:color w:val="auto"/>
          <w:lang w:val="en-US" w:eastAsia="zh-CN"/>
        </w:rPr>
        <w:t>弋阳海螺水泥有限责任公司</w:t>
      </w:r>
      <w:r>
        <w:rPr>
          <w:rFonts w:hint="default"/>
          <w:strike w:val="0"/>
          <w:dstrike w:val="0"/>
          <w:color w:val="auto"/>
          <w:lang w:val="en-US" w:eastAsia="zh-CN"/>
        </w:rPr>
        <w:t>与</w:t>
      </w:r>
      <w:r>
        <w:rPr>
          <w:rFonts w:hint="eastAsia"/>
          <w:strike w:val="0"/>
          <w:dstrike w:val="0"/>
          <w:color w:val="auto"/>
          <w:lang w:val="en-US" w:eastAsia="zh-CN"/>
        </w:rPr>
        <w:t>弋阳县</w:t>
      </w:r>
      <w:r>
        <w:rPr>
          <w:rFonts w:hint="default"/>
          <w:strike w:val="0"/>
          <w:dstrike w:val="0"/>
          <w:color w:val="auto"/>
          <w:lang w:val="en-US" w:eastAsia="zh-CN"/>
        </w:rPr>
        <w:t>专业森林消防大队签订了《非煤矿生产事故救护协议》，有效期</w:t>
      </w:r>
      <w:r>
        <w:rPr>
          <w:rFonts w:hint="eastAsia"/>
          <w:strike w:val="0"/>
          <w:dstrike w:val="0"/>
          <w:color w:val="auto"/>
          <w:lang w:val="en-US" w:eastAsia="zh-CN"/>
        </w:rPr>
        <w:t>壹</w:t>
      </w:r>
      <w:r>
        <w:rPr>
          <w:rFonts w:hint="default"/>
          <w:strike w:val="0"/>
          <w:dstrike w:val="0"/>
          <w:color w:val="auto"/>
          <w:lang w:val="en-US" w:eastAsia="zh-CN"/>
        </w:rPr>
        <w:t>年，有效期至202</w:t>
      </w:r>
      <w:r>
        <w:rPr>
          <w:rFonts w:hint="eastAsia"/>
          <w:strike w:val="0"/>
          <w:dstrike w:val="0"/>
          <w:color w:val="auto"/>
          <w:lang w:val="en-US" w:eastAsia="zh-CN"/>
        </w:rPr>
        <w:t>6</w:t>
      </w:r>
      <w:r>
        <w:rPr>
          <w:rFonts w:hint="default"/>
          <w:strike w:val="0"/>
          <w:dstrike w:val="0"/>
          <w:color w:val="auto"/>
          <w:lang w:val="en-US" w:eastAsia="zh-CN"/>
        </w:rPr>
        <w:t>年</w:t>
      </w:r>
      <w:r>
        <w:rPr>
          <w:rFonts w:hint="eastAsia"/>
          <w:strike w:val="0"/>
          <w:dstrike w:val="0"/>
          <w:color w:val="auto"/>
          <w:lang w:val="en-US" w:eastAsia="zh-CN"/>
        </w:rPr>
        <w:t>11</w:t>
      </w:r>
      <w:r>
        <w:rPr>
          <w:rFonts w:hint="default"/>
          <w:strike w:val="0"/>
          <w:dstrike w:val="0"/>
          <w:color w:val="auto"/>
          <w:lang w:val="en-US" w:eastAsia="zh-CN"/>
        </w:rPr>
        <w:t>月</w:t>
      </w:r>
      <w:r>
        <w:rPr>
          <w:rFonts w:hint="eastAsia"/>
          <w:strike w:val="0"/>
          <w:dstrike w:val="0"/>
          <w:color w:val="auto"/>
          <w:lang w:val="en-US" w:eastAsia="zh-CN"/>
        </w:rPr>
        <w:t>2</w:t>
      </w:r>
      <w:r>
        <w:rPr>
          <w:rFonts w:hint="default"/>
          <w:strike w:val="0"/>
          <w:dstrike w:val="0"/>
          <w:color w:val="auto"/>
          <w:lang w:val="en-US" w:eastAsia="zh-CN"/>
        </w:rPr>
        <w:t>日。</w:t>
      </w:r>
    </w:p>
    <w:p w14:paraId="0CDB57DE">
      <w:pPr>
        <w:bidi w:val="0"/>
        <w:rPr>
          <w:rFonts w:hint="default"/>
          <w:b/>
          <w:bCs/>
          <w:color w:val="0000FF"/>
          <w:lang w:val="en-US" w:eastAsia="zh-CN"/>
        </w:rPr>
      </w:pPr>
      <w:r>
        <w:rPr>
          <w:rFonts w:hint="eastAsia"/>
          <w:b w:val="0"/>
          <w:bCs w:val="0"/>
          <w:color w:val="auto"/>
          <w:lang w:val="en-US" w:eastAsia="zh-CN"/>
        </w:rPr>
        <w:t>2026年3月19日，</w:t>
      </w:r>
      <w:r>
        <w:rPr>
          <w:rFonts w:hint="default"/>
          <w:b w:val="0"/>
          <w:bCs w:val="0"/>
          <w:color w:val="auto"/>
          <w:lang w:val="en-US" w:eastAsia="zh-CN"/>
        </w:rPr>
        <w:t>弋阳海螺水泥有限责任公司组织</w:t>
      </w:r>
      <w:r>
        <w:rPr>
          <w:rFonts w:hint="eastAsia"/>
          <w:b w:val="0"/>
          <w:bCs w:val="0"/>
          <w:color w:val="auto"/>
          <w:lang w:val="en-US" w:eastAsia="zh-CN"/>
        </w:rPr>
        <w:t>了曹溪一矿、曹溪二矿相关人员在曹溪一矿+205m平台开展了边坡滑坡、坍塌事故专项应急预案演练，</w:t>
      </w:r>
      <w:r>
        <w:rPr>
          <w:rFonts w:hint="default"/>
          <w:b w:val="0"/>
          <w:bCs w:val="0"/>
          <w:color w:val="auto"/>
          <w:shd w:val="clear" w:color="auto" w:fill="auto"/>
          <w:lang w:val="en-US" w:eastAsia="zh-CN"/>
        </w:rPr>
        <w:t>演练结束后，进行了评估、总结，保留有影像资料和相关记录。</w:t>
      </w:r>
    </w:p>
    <w:p w14:paraId="4170871A">
      <w:pPr>
        <w:pStyle w:val="4"/>
        <w:bidi w:val="0"/>
        <w:rPr>
          <w:rFonts w:hint="default"/>
          <w:color w:val="auto"/>
          <w:lang w:val="en-US" w:eastAsia="zh-CN"/>
        </w:rPr>
      </w:pPr>
      <w:bookmarkStart w:id="210" w:name="_Toc30398"/>
      <w:bookmarkStart w:id="211" w:name="_Toc31203"/>
      <w:bookmarkStart w:id="212" w:name="_Toc5624"/>
      <w:bookmarkStart w:id="213" w:name="_Toc4929"/>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 xml:space="preserve">9 </w:t>
      </w:r>
      <w:r>
        <w:rPr>
          <w:rFonts w:hint="default"/>
          <w:color w:val="auto"/>
          <w:lang w:val="en-US" w:eastAsia="zh-CN"/>
        </w:rPr>
        <w:t>安全生产状况</w:t>
      </w:r>
      <w:bookmarkEnd w:id="210"/>
      <w:bookmarkEnd w:id="211"/>
      <w:bookmarkEnd w:id="212"/>
      <w:bookmarkEnd w:id="213"/>
    </w:p>
    <w:p w14:paraId="2706025B">
      <w:pPr>
        <w:bidi w:val="0"/>
        <w:rPr>
          <w:rFonts w:hint="eastAsia"/>
          <w:color w:val="auto"/>
          <w:lang w:val="en-US" w:eastAsia="zh-CN"/>
        </w:rPr>
      </w:pPr>
      <w:r>
        <w:rPr>
          <w:rFonts w:hint="eastAsia"/>
          <w:color w:val="auto"/>
          <w:lang w:val="en-US" w:eastAsia="zh-CN"/>
        </w:rPr>
        <w:t>曹溪二矿贯彻了“安全第一、预防为主、综合治理”的方针，重视安全生产第一要务工作。</w:t>
      </w:r>
    </w:p>
    <w:p w14:paraId="2BA34F0D">
      <w:pPr>
        <w:bidi w:val="0"/>
        <w:rPr>
          <w:rFonts w:hint="default"/>
          <w:color w:val="auto"/>
          <w:lang w:val="en-US" w:eastAsia="zh-CN"/>
        </w:rPr>
      </w:pPr>
      <w:r>
        <w:rPr>
          <w:rFonts w:hint="eastAsia"/>
          <w:color w:val="auto"/>
          <w:lang w:val="en-US" w:eastAsia="zh-CN"/>
        </w:rPr>
        <w:t>曹溪二矿自上一轮取证三年以来，无重伤、死亡或其他重大安全生产事故。</w:t>
      </w:r>
    </w:p>
    <w:p w14:paraId="3289C692">
      <w:pPr>
        <w:pStyle w:val="3"/>
        <w:bidi w:val="0"/>
        <w:rPr>
          <w:rFonts w:hint="default"/>
          <w:color w:val="auto"/>
          <w:lang w:val="en-US" w:eastAsia="zh-CN"/>
        </w:rPr>
      </w:pPr>
      <w:bookmarkStart w:id="214" w:name="_Toc23830"/>
      <w:bookmarkStart w:id="215" w:name="_Toc14637"/>
      <w:bookmarkStart w:id="216" w:name="_Toc13497"/>
      <w:bookmarkStart w:id="217" w:name="_Toc10906"/>
      <w:r>
        <w:rPr>
          <w:rFonts w:hint="eastAsia"/>
          <w:color w:val="auto"/>
          <w:lang w:val="en-US" w:eastAsia="zh-CN"/>
        </w:rPr>
        <w:t>2.6 隐蔽治灾因素普查</w:t>
      </w:r>
      <w:bookmarkEnd w:id="214"/>
      <w:bookmarkEnd w:id="215"/>
      <w:bookmarkEnd w:id="216"/>
      <w:bookmarkEnd w:id="217"/>
    </w:p>
    <w:p w14:paraId="2B629C7F">
      <w:pPr>
        <w:rPr>
          <w:rFonts w:hint="default"/>
          <w:color w:val="auto"/>
          <w:lang w:val="en-US" w:eastAsia="zh-CN"/>
        </w:rPr>
      </w:pPr>
      <w:r>
        <w:rPr>
          <w:rFonts w:hint="default"/>
          <w:color w:val="auto"/>
          <w:lang w:val="en-US" w:eastAsia="zh-CN"/>
        </w:rPr>
        <w:t>2025年7月，弋阳海螺水泥有限责任公司会同中国建筑材料工业地质勘查中心江西总队编写了《弋阳海螺水泥有限责任公司江西省弋阳县曹溪二矿区制碱用灰岩矿隐蔽致灾因素普查报告》，并通过了弋阳海螺水泥有限责任公司组织专家及有关人员的评审。</w:t>
      </w:r>
    </w:p>
    <w:p w14:paraId="543CEE1A">
      <w:pPr>
        <w:bidi w:val="0"/>
        <w:rPr>
          <w:rFonts w:hint="eastAsia"/>
          <w:color w:val="auto"/>
          <w:lang w:val="en-US" w:eastAsia="zh-CN"/>
        </w:rPr>
      </w:pPr>
      <w:r>
        <w:rPr>
          <w:rFonts w:hint="eastAsia"/>
          <w:color w:val="auto"/>
          <w:lang w:val="en-US" w:eastAsia="zh-CN"/>
        </w:rPr>
        <w:t>隐蔽致灾因素普查报告得出结论：</w:t>
      </w:r>
    </w:p>
    <w:p w14:paraId="189B2B66">
      <w:pPr>
        <w:bidi w:val="0"/>
        <w:rPr>
          <w:rFonts w:hint="eastAsia"/>
          <w:color w:val="auto"/>
          <w:lang w:val="en-US" w:eastAsia="zh-CN"/>
        </w:rPr>
      </w:pPr>
      <w:r>
        <w:rPr>
          <w:rFonts w:hint="eastAsia"/>
          <w:color w:val="auto"/>
          <w:lang w:val="en-US" w:eastAsia="zh-CN"/>
        </w:rPr>
        <w:t>（1）本矿山存在的主要矿山隐蔽致灾因素包括断层、节理、层理、岩溶、和边坡岩体等。</w:t>
      </w:r>
    </w:p>
    <w:p w14:paraId="77FD446B">
      <w:pPr>
        <w:bidi w:val="0"/>
        <w:rPr>
          <w:rFonts w:hint="eastAsia"/>
          <w:color w:val="auto"/>
          <w:lang w:val="en-US" w:eastAsia="zh-CN"/>
        </w:rPr>
      </w:pPr>
      <w:r>
        <w:rPr>
          <w:rFonts w:hint="eastAsia"/>
          <w:color w:val="auto"/>
          <w:lang w:val="en-US" w:eastAsia="zh-CN"/>
        </w:rPr>
        <w:t>（2）露采场边坡顶部零星分布土质边坡，下部均为岩质边坡，西侧形成终了边坡，边坡高度约30m。边坡未见软弱结构面和滑移迹象，滑坡发育程度弱，根据前期稳定性计算结果，终了边坡稳定性好，发生整体滑移可能性小。边坡滑坡的潜在经济损失相对较大，将边坡危害等级定为中等，露采场滑坡风险等级为低风险。</w:t>
      </w:r>
    </w:p>
    <w:p w14:paraId="20418B62">
      <w:pPr>
        <w:bidi w:val="0"/>
        <w:rPr>
          <w:rFonts w:hint="eastAsia"/>
          <w:color w:val="auto"/>
          <w:lang w:val="en-US" w:eastAsia="zh-CN"/>
        </w:rPr>
      </w:pPr>
      <w:r>
        <w:rPr>
          <w:rFonts w:hint="eastAsia"/>
          <w:color w:val="auto"/>
          <w:lang w:val="en-US" w:eastAsia="zh-CN"/>
        </w:rPr>
        <w:t>（3）边坡局部地段断层、节理较为发育，在爆破震动和降雨等不利作用下，边坡崩塌中等发育，平台边坡崩塌较发育。崩塌一般局部发生，影响范围小，潜在经济损失相对较小，崩塌危害等级为危害小，露采场崩塌风险等级为低风险。</w:t>
      </w:r>
    </w:p>
    <w:p w14:paraId="4EE20531">
      <w:pPr>
        <w:bidi w:val="0"/>
        <w:rPr>
          <w:rFonts w:hint="eastAsia"/>
          <w:color w:val="auto"/>
          <w:lang w:val="en-US" w:eastAsia="zh-CN"/>
        </w:rPr>
      </w:pPr>
    </w:p>
    <w:p w14:paraId="6480E56D">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根据本次矿区岩溶普查，矿区地表岩溶发育，表现为溶沟、石芽、岩溶漏斗、岩溶谷地和溶隙等</w:t>
      </w:r>
      <w:r>
        <w:rPr>
          <w:rFonts w:hint="eastAsia"/>
          <w:color w:val="auto"/>
          <w:lang w:val="en-US" w:eastAsia="zh-CN"/>
        </w:rPr>
        <w:t>；</w:t>
      </w:r>
      <w:r>
        <w:rPr>
          <w:rFonts w:hint="default"/>
          <w:color w:val="auto"/>
          <w:lang w:val="en-US" w:eastAsia="zh-CN"/>
        </w:rPr>
        <w:t>分析以往资料可知，矿区深部岩溶局部较发育，勘查钻孔揭露深部溶洞共有12个。在矿区范围内采用瞬变电磁法进行全方位探测，推断存在19处岩溶发育区、6处断层破碎带、1处岩溶溶蚀发育带</w:t>
      </w:r>
      <w:r>
        <w:rPr>
          <w:rFonts w:hint="eastAsia"/>
          <w:color w:val="auto"/>
          <w:lang w:val="en-US" w:eastAsia="zh-CN"/>
        </w:rPr>
        <w:t>；</w:t>
      </w:r>
      <w:r>
        <w:rPr>
          <w:rFonts w:hint="default"/>
          <w:color w:val="auto"/>
          <w:lang w:val="en-US" w:eastAsia="zh-CN"/>
        </w:rPr>
        <w:t>综上矿区岩溶中发育。但露采场岩溶崩塌一般在局部发生，规模小，影响范围小，潜在经济损失相对较小，因此将边坡崩塌危害等级定为危害小。</w:t>
      </w:r>
    </w:p>
    <w:p w14:paraId="20001F32">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根据核实报告及现场调查，矿区无地面水体</w:t>
      </w:r>
      <w:r>
        <w:rPr>
          <w:rFonts w:hint="eastAsia"/>
          <w:color w:val="auto"/>
          <w:lang w:val="en-US" w:eastAsia="zh-CN"/>
        </w:rPr>
        <w:t>；</w:t>
      </w:r>
      <w:r>
        <w:rPr>
          <w:rFonts w:hint="default"/>
          <w:color w:val="auto"/>
          <w:lang w:val="en-US" w:eastAsia="zh-CN"/>
        </w:rPr>
        <w:t>矿区开采现状看，深部岩溶不发育，岩层含水弱，不会受到地下水害威胁</w:t>
      </w:r>
      <w:r>
        <w:rPr>
          <w:rFonts w:hint="eastAsia"/>
          <w:color w:val="auto"/>
          <w:lang w:val="en-US" w:eastAsia="zh-CN"/>
        </w:rPr>
        <w:t>；</w:t>
      </w:r>
      <w:r>
        <w:rPr>
          <w:rFonts w:hint="default"/>
          <w:color w:val="auto"/>
          <w:lang w:val="en-US" w:eastAsia="zh-CN"/>
        </w:rPr>
        <w:t>矿区不存在地下采空区，不受地下老隆水威胁。大气降水是主要充水水源。矿山为山坡露天开采，高于当地侵蚀基准面，采场采用自流排水方式</w:t>
      </w:r>
      <w:r>
        <w:rPr>
          <w:rFonts w:hint="eastAsia"/>
          <w:color w:val="auto"/>
          <w:lang w:val="en-US" w:eastAsia="zh-CN"/>
        </w:rPr>
        <w:t>；</w:t>
      </w:r>
      <w:r>
        <w:rPr>
          <w:rFonts w:hint="default"/>
          <w:color w:val="auto"/>
          <w:lang w:val="en-US" w:eastAsia="zh-CN"/>
        </w:rPr>
        <w:t>采场运输道路内侧已设置了排水沟，排水沟与沉淀池相连接，经沉淀后循环利用。矿山已在沉淀池、集水池，设置安全警示标志、护栏、照明设施，防范措施到位。经过安全检查表分析，矿区涌水量较小，可实现自流排水，且防排水措施满足排水需要，相应配套设施基本齐全，能满足基本的安全生产活动。本矿区水害的潜在经济损失相对较大，将水害危害等级定为中等。水害风险等级为低风险。</w:t>
      </w:r>
    </w:p>
    <w:p w14:paraId="78981F68">
      <w:pPr>
        <w:bidi w:val="0"/>
        <w:rPr>
          <w:rFonts w:hint="default"/>
          <w:color w:val="auto"/>
          <w:lang w:val="en-US" w:eastAsia="zh-CN"/>
        </w:rPr>
      </w:pPr>
    </w:p>
    <w:p w14:paraId="41933587">
      <w:pPr>
        <w:bidi w:val="0"/>
        <w:ind w:left="0" w:leftChars="0" w:firstLine="0" w:firstLineChars="0"/>
        <w:rPr>
          <w:rFonts w:hint="default"/>
          <w:color w:val="auto"/>
          <w:lang w:val="en-US" w:eastAsia="zh-CN"/>
        </w:rPr>
      </w:pPr>
    </w:p>
    <w:p w14:paraId="33389486">
      <w:pPr>
        <w:bidi w:val="0"/>
        <w:ind w:left="0" w:leftChars="0" w:firstLine="0" w:firstLineChars="0"/>
        <w:rPr>
          <w:rFonts w:hint="default"/>
          <w:color w:val="auto"/>
          <w:lang w:val="en-US" w:eastAsia="zh-CN"/>
        </w:rPr>
        <w:sectPr>
          <w:footerReference r:id="rId7" w:type="default"/>
          <w:type w:val="continuous"/>
          <w:pgSz w:w="11906" w:h="16839"/>
          <w:pgMar w:top="1417" w:right="1417" w:bottom="1417" w:left="1417" w:header="850" w:footer="992" w:gutter="0"/>
          <w:pgNumType w:fmt="decimal" w:start="1"/>
          <w:cols w:space="425" w:num="1"/>
          <w:rtlGutter w:val="0"/>
          <w:docGrid w:linePitch="312" w:charSpace="0"/>
        </w:sectPr>
      </w:pPr>
    </w:p>
    <w:p w14:paraId="0C7F2991">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218" w:name="_Toc10714"/>
      <w:bookmarkStart w:id="219" w:name="_Toc20256"/>
      <w:bookmarkStart w:id="220" w:name="_Toc24994"/>
      <w:bookmarkStart w:id="221" w:name="_Toc32209"/>
      <w:r>
        <w:rPr>
          <w:rFonts w:hint="default" w:ascii="Times New Roman" w:hAnsi="Times New Roman" w:cs="Times New Roman"/>
          <w:color w:val="auto"/>
          <w:lang w:val="en-US" w:eastAsia="zh-CN"/>
        </w:rPr>
        <w:t>危险、有害因素辨识与分析</w:t>
      </w:r>
      <w:bookmarkEnd w:id="218"/>
      <w:bookmarkEnd w:id="219"/>
      <w:bookmarkEnd w:id="220"/>
      <w:bookmarkEnd w:id="221"/>
    </w:p>
    <w:p w14:paraId="6EDC1755">
      <w:pPr>
        <w:bidi w:val="0"/>
        <w:rPr>
          <w:rFonts w:hint="default"/>
          <w:color w:val="auto"/>
          <w:lang w:val="en-US" w:eastAsia="zh-CN"/>
        </w:rPr>
      </w:pPr>
      <w:r>
        <w:rPr>
          <w:rFonts w:hint="default"/>
          <w:color w:val="auto"/>
          <w:lang w:val="en-US" w:eastAsia="zh-CN"/>
        </w:rPr>
        <w:t>危险因素是指能对人造成伤亡或对物造成突发性损坏的因素</w:t>
      </w:r>
      <w:r>
        <w:rPr>
          <w:rFonts w:hint="eastAsia"/>
          <w:color w:val="auto"/>
          <w:lang w:val="en-US" w:eastAsia="zh-CN"/>
        </w:rPr>
        <w:t>，</w:t>
      </w:r>
      <w:r>
        <w:rPr>
          <w:rFonts w:hint="default"/>
          <w:color w:val="auto"/>
          <w:lang w:val="en-US" w:eastAsia="zh-CN"/>
        </w:rPr>
        <w:t>有害因素是指能影响人的身体健康、导致疾病或对物造成慢性损害的因素。所有的危险、有害因素尽管其表现形式不同，但从本质上讲，之所以能造成危险、有害的后果，都归结为存在危险有害物质、能量和危险有害物质、能量失去控制两方面因素的综合作用，并导致危险有害物质的泄漏、散发和能量的意外释放。因此，存在危险有害物质，能量失去控制是危险、有害因素转为事故的根本原因。</w:t>
      </w:r>
    </w:p>
    <w:p w14:paraId="3207E6BC">
      <w:pPr>
        <w:bidi w:val="0"/>
        <w:rPr>
          <w:rFonts w:hint="default"/>
          <w:color w:val="auto"/>
          <w:lang w:val="en-US" w:eastAsia="zh-CN"/>
        </w:rPr>
      </w:pPr>
      <w:r>
        <w:rPr>
          <w:rFonts w:hint="default"/>
          <w:color w:val="auto"/>
          <w:lang w:val="en-US" w:eastAsia="zh-CN"/>
        </w:rPr>
        <w:t>危险有害物质和能量失控主要体现在人的不安全行为、物的不安全状态和管理缺陷等三个方面。</w:t>
      </w:r>
    </w:p>
    <w:p w14:paraId="457065FF">
      <w:pPr>
        <w:bidi w:val="0"/>
        <w:rPr>
          <w:rFonts w:hint="default"/>
          <w:color w:val="auto"/>
          <w:lang w:val="en-US" w:eastAsia="zh-CN"/>
        </w:rPr>
      </w:pPr>
      <w:r>
        <w:rPr>
          <w:rFonts w:hint="default"/>
          <w:color w:val="auto"/>
          <w:lang w:val="en-US" w:eastAsia="zh-CN"/>
        </w:rPr>
        <w:t>按照《</w:t>
      </w:r>
      <w:r>
        <w:rPr>
          <w:rFonts w:hint="eastAsia"/>
          <w:color w:val="auto"/>
          <w:lang w:val="en-US" w:eastAsia="zh-CN"/>
        </w:rPr>
        <w:t>生产安全事故分类与编码</w:t>
      </w:r>
      <w:r>
        <w:rPr>
          <w:rFonts w:hint="default"/>
          <w:color w:val="auto"/>
          <w:lang w:val="en-US" w:eastAsia="zh-CN"/>
        </w:rPr>
        <w:t>》</w:t>
      </w:r>
      <w:r>
        <w:rPr>
          <w:rFonts w:hint="eastAsia"/>
          <w:color w:val="auto"/>
          <w:lang w:val="en-US" w:eastAsia="zh-CN"/>
        </w:rPr>
        <w:t>（GB6441-2025）</w:t>
      </w:r>
      <w:r>
        <w:rPr>
          <w:rFonts w:hint="default"/>
          <w:color w:val="auto"/>
          <w:lang w:val="en-US" w:eastAsia="zh-CN"/>
        </w:rPr>
        <w:t>，</w:t>
      </w:r>
      <w:r>
        <w:rPr>
          <w:rFonts w:hint="eastAsia"/>
          <w:color w:val="auto"/>
          <w:lang w:val="en-US" w:eastAsia="zh-CN"/>
        </w:rPr>
        <w:t>通过对项目的现场调查和资料收集，分析研究矿山提供的相关资料及图纸，针对项目生产过程中的生产工艺流程、作业环境条件、作业方式、运输过程、使用的主要设备装置及周围环境、水文地质、工程地质等特点，对危险、有类因素进行识别。</w:t>
      </w:r>
    </w:p>
    <w:p w14:paraId="7112CCBA">
      <w:pPr>
        <w:pStyle w:val="3"/>
        <w:bidi w:val="0"/>
        <w:rPr>
          <w:rFonts w:hint="default"/>
          <w:color w:val="auto"/>
          <w:lang w:val="en-US" w:eastAsia="zh-CN"/>
        </w:rPr>
      </w:pPr>
      <w:bookmarkStart w:id="222" w:name="_Toc1484"/>
      <w:bookmarkStart w:id="223" w:name="_Toc29189"/>
      <w:bookmarkStart w:id="224" w:name="_Toc3775"/>
      <w:bookmarkStart w:id="225" w:name="_Toc8418"/>
      <w:r>
        <w:rPr>
          <w:rFonts w:hint="default"/>
          <w:color w:val="auto"/>
          <w:lang w:val="en-US" w:eastAsia="zh-CN"/>
        </w:rPr>
        <w:t>3.1 危险因素辨识</w:t>
      </w:r>
      <w:bookmarkEnd w:id="222"/>
      <w:bookmarkEnd w:id="223"/>
      <w:bookmarkEnd w:id="224"/>
      <w:bookmarkEnd w:id="225"/>
    </w:p>
    <w:p w14:paraId="2FA9D933">
      <w:pPr>
        <w:pStyle w:val="4"/>
        <w:bidi w:val="0"/>
        <w:rPr>
          <w:rFonts w:hint="default"/>
          <w:color w:val="auto"/>
          <w:lang w:val="en-US" w:eastAsia="zh-CN"/>
        </w:rPr>
      </w:pPr>
      <w:bookmarkStart w:id="226" w:name="_Toc12891"/>
      <w:bookmarkStart w:id="227" w:name="_Toc10263"/>
      <w:bookmarkStart w:id="228" w:name="_Toc5771"/>
      <w:bookmarkStart w:id="229" w:name="_Toc2814"/>
      <w:r>
        <w:rPr>
          <w:rFonts w:hint="default"/>
          <w:color w:val="auto"/>
          <w:lang w:val="en-US" w:eastAsia="zh-CN"/>
        </w:rPr>
        <w:t xml:space="preserve">3.1.1 </w:t>
      </w:r>
      <w:bookmarkEnd w:id="226"/>
      <w:bookmarkEnd w:id="227"/>
      <w:bookmarkEnd w:id="228"/>
      <w:r>
        <w:rPr>
          <w:rFonts w:hint="default"/>
          <w:color w:val="auto"/>
          <w:lang w:val="en-US" w:eastAsia="zh-CN"/>
        </w:rPr>
        <w:t>民用爆炸物品爆炸</w:t>
      </w:r>
      <w:bookmarkEnd w:id="229"/>
    </w:p>
    <w:p w14:paraId="226D623D">
      <w:pPr>
        <w:bidi w:val="0"/>
        <w:rPr>
          <w:rFonts w:hint="default"/>
          <w:color w:val="auto"/>
          <w:lang w:val="en-US" w:eastAsia="zh-CN"/>
        </w:rPr>
      </w:pPr>
      <w:r>
        <w:rPr>
          <w:rFonts w:hint="default"/>
          <w:color w:val="auto"/>
          <w:lang w:val="en-US" w:eastAsia="zh-CN"/>
        </w:rPr>
        <w:t>民用爆炸物品在生产、经营、存储、运输或使用过程中发生爆炸造成的事故。</w:t>
      </w:r>
    </w:p>
    <w:p w14:paraId="7E7B7A66">
      <w:pPr>
        <w:bidi w:val="0"/>
        <w:rPr>
          <w:rFonts w:hint="default"/>
          <w:color w:val="auto"/>
          <w:lang w:val="en-US" w:eastAsia="zh-CN"/>
        </w:rPr>
      </w:pPr>
      <w:r>
        <w:rPr>
          <w:rFonts w:hint="eastAsia"/>
          <w:color w:val="auto"/>
          <w:lang w:val="en-US" w:eastAsia="zh-CN"/>
        </w:rPr>
        <w:t>曹溪二矿露天爆破</w:t>
      </w:r>
      <w:r>
        <w:rPr>
          <w:rFonts w:hint="default"/>
          <w:color w:val="auto"/>
          <w:lang w:val="en-US" w:eastAsia="zh-CN"/>
        </w:rPr>
        <w:t>使用民用爆炸物品</w:t>
      </w:r>
      <w:r>
        <w:rPr>
          <w:rFonts w:hint="eastAsia"/>
          <w:color w:val="auto"/>
          <w:lang w:val="en-US" w:eastAsia="zh-CN"/>
        </w:rPr>
        <w:t>，</w:t>
      </w:r>
      <w:r>
        <w:rPr>
          <w:rFonts w:hint="default"/>
          <w:color w:val="auto"/>
          <w:lang w:val="en-US" w:eastAsia="zh-CN"/>
        </w:rPr>
        <w:t>民用爆炸物品从民用爆破器材库往矿山运输的途中、装药和起爆的过程中、未爆炸或未爆炸完全的炸药在装卸矿岩的过程中，都有发生爆炸可能。</w:t>
      </w:r>
    </w:p>
    <w:p w14:paraId="7D0664F0">
      <w:pPr>
        <w:bidi w:val="0"/>
        <w:rPr>
          <w:rFonts w:hint="eastAsia"/>
          <w:color w:val="auto"/>
          <w:lang w:val="en-US" w:eastAsia="zh-CN"/>
        </w:rPr>
      </w:pPr>
      <w:r>
        <w:rPr>
          <w:rFonts w:hint="eastAsia"/>
          <w:color w:val="auto"/>
          <w:lang w:val="en-US" w:eastAsia="zh-CN"/>
        </w:rPr>
        <w:t xml:space="preserve">1. </w:t>
      </w:r>
      <w:r>
        <w:rPr>
          <w:rFonts w:hint="default"/>
          <w:color w:val="auto"/>
          <w:lang w:val="en-US" w:eastAsia="zh-CN"/>
        </w:rPr>
        <w:t>可能发生民用爆炸物品事故的场所（过程）主要有：</w:t>
      </w:r>
    </w:p>
    <w:p w14:paraId="3B221BA1">
      <w:pPr>
        <w:bidi w:val="0"/>
        <w:rPr>
          <w:rFonts w:hint="eastAsia"/>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）爆破器材搬运过程；</w:t>
      </w:r>
    </w:p>
    <w:p w14:paraId="1BD4643B">
      <w:pPr>
        <w:bidi w:val="0"/>
        <w:rPr>
          <w:rFonts w:hint="eastAsia"/>
          <w:color w:val="auto"/>
          <w:lang w:val="en-US" w:eastAsia="zh-CN"/>
        </w:rPr>
      </w:pPr>
      <w:r>
        <w:rPr>
          <w:rFonts w:hint="eastAsia"/>
          <w:color w:val="auto"/>
          <w:lang w:val="en-US" w:eastAsia="zh-CN"/>
        </w:rPr>
        <w:t>（2）爆破器材</w:t>
      </w:r>
      <w:r>
        <w:rPr>
          <w:rFonts w:hint="default"/>
          <w:color w:val="auto"/>
          <w:lang w:val="en-US" w:eastAsia="zh-CN"/>
        </w:rPr>
        <w:t>临时存放点</w:t>
      </w:r>
      <w:r>
        <w:rPr>
          <w:rFonts w:hint="eastAsia"/>
          <w:color w:val="auto"/>
          <w:lang w:val="en-US" w:eastAsia="zh-CN"/>
        </w:rPr>
        <w:t>；</w:t>
      </w:r>
    </w:p>
    <w:p w14:paraId="1D032DF7">
      <w:pPr>
        <w:bidi w:val="0"/>
        <w:rPr>
          <w:rFonts w:hint="default"/>
          <w:color w:val="auto"/>
          <w:lang w:val="en-US" w:eastAsia="zh-CN"/>
        </w:rPr>
      </w:pPr>
      <w:r>
        <w:rPr>
          <w:rFonts w:hint="eastAsia"/>
          <w:color w:val="auto"/>
          <w:lang w:val="en-US" w:eastAsia="zh-CN"/>
        </w:rPr>
        <w:t>（3）</w:t>
      </w:r>
      <w:r>
        <w:rPr>
          <w:rFonts w:hint="default"/>
          <w:color w:val="auto"/>
          <w:lang w:val="en-US" w:eastAsia="zh-CN"/>
        </w:rPr>
        <w:t>不合格爆破器材处理地点</w:t>
      </w:r>
      <w:r>
        <w:rPr>
          <w:rFonts w:hint="eastAsia"/>
          <w:color w:val="auto"/>
          <w:lang w:val="en-US" w:eastAsia="zh-CN"/>
        </w:rPr>
        <w:t>；</w:t>
      </w:r>
    </w:p>
    <w:p w14:paraId="0121FF25">
      <w:pPr>
        <w:bidi w:val="0"/>
        <w:rPr>
          <w:rFonts w:hint="default"/>
          <w:color w:val="auto"/>
          <w:lang w:val="en-US" w:eastAsia="zh-CN"/>
        </w:rPr>
      </w:pPr>
      <w:r>
        <w:rPr>
          <w:rFonts w:hint="eastAsia"/>
          <w:color w:val="auto"/>
          <w:lang w:val="en-US" w:eastAsia="zh-CN"/>
        </w:rPr>
        <w:t>（4）</w:t>
      </w:r>
      <w:r>
        <w:rPr>
          <w:rFonts w:hint="default"/>
          <w:color w:val="auto"/>
          <w:lang w:val="en-US" w:eastAsia="zh-CN"/>
        </w:rPr>
        <w:t>爆破作业场所等</w:t>
      </w:r>
      <w:r>
        <w:rPr>
          <w:rFonts w:hint="eastAsia"/>
          <w:color w:val="auto"/>
          <w:lang w:val="en-US" w:eastAsia="zh-CN"/>
        </w:rPr>
        <w:t>。</w:t>
      </w:r>
    </w:p>
    <w:p w14:paraId="3D6AD64E">
      <w:pPr>
        <w:bidi w:val="0"/>
        <w:rPr>
          <w:rFonts w:hint="default"/>
          <w:color w:val="auto"/>
          <w:lang w:val="en-US" w:eastAsia="zh-CN"/>
        </w:rPr>
      </w:pPr>
      <w:r>
        <w:rPr>
          <w:rFonts w:hint="eastAsia"/>
          <w:color w:val="auto"/>
          <w:lang w:val="en-US" w:eastAsia="zh-CN"/>
        </w:rPr>
        <w:t xml:space="preserve">2. </w:t>
      </w:r>
      <w:r>
        <w:rPr>
          <w:rFonts w:hint="default"/>
          <w:color w:val="auto"/>
          <w:lang w:val="en-US" w:eastAsia="zh-CN"/>
        </w:rPr>
        <w:t>产生民用爆炸物品爆炸的原因</w:t>
      </w:r>
    </w:p>
    <w:p w14:paraId="3A6851F4">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爆破警戒不严、信号不明、安全距离不够</w:t>
      </w:r>
      <w:r>
        <w:rPr>
          <w:rFonts w:hint="eastAsia"/>
          <w:color w:val="auto"/>
          <w:lang w:val="en-US" w:eastAsia="zh-CN"/>
        </w:rPr>
        <w:t>；</w:t>
      </w:r>
    </w:p>
    <w:p w14:paraId="16ED7350">
      <w:pPr>
        <w:bidi w:val="0"/>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引爆时人员未来得及撒出爆破作业场所</w:t>
      </w:r>
      <w:r>
        <w:rPr>
          <w:rFonts w:hint="eastAsia"/>
          <w:color w:val="auto"/>
          <w:lang w:val="en-US" w:eastAsia="zh-CN"/>
        </w:rPr>
        <w:t>；</w:t>
      </w:r>
    </w:p>
    <w:p w14:paraId="2F84B496">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使用不合格爆破器材</w:t>
      </w:r>
      <w:r>
        <w:rPr>
          <w:rFonts w:hint="eastAsia"/>
          <w:color w:val="auto"/>
          <w:lang w:val="en-US" w:eastAsia="zh-CN"/>
        </w:rPr>
        <w:t>；</w:t>
      </w:r>
    </w:p>
    <w:p w14:paraId="59263DA2">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爆破后过早进入爆破工作面或看回火</w:t>
      </w:r>
      <w:r>
        <w:rPr>
          <w:rFonts w:hint="eastAsia"/>
          <w:color w:val="auto"/>
          <w:lang w:val="en-US" w:eastAsia="zh-CN"/>
        </w:rPr>
        <w:t>；</w:t>
      </w:r>
    </w:p>
    <w:p w14:paraId="5B9D1F6D">
      <w:pPr>
        <w:bidi w:val="0"/>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杂散电流引发提前爆炸</w:t>
      </w:r>
      <w:r>
        <w:rPr>
          <w:rFonts w:hint="eastAsia"/>
          <w:color w:val="auto"/>
          <w:lang w:val="en-US" w:eastAsia="zh-CN"/>
        </w:rPr>
        <w:t>；</w:t>
      </w:r>
    </w:p>
    <w:p w14:paraId="2FA4699D">
      <w:pPr>
        <w:bidi w:val="0"/>
        <w:rPr>
          <w:rFonts w:hint="default"/>
          <w:color w:val="auto"/>
          <w:lang w:val="en-US" w:eastAsia="zh-CN"/>
        </w:rPr>
      </w:pP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非爆破专业人员作业、爆破作业人员违章</w:t>
      </w:r>
      <w:r>
        <w:rPr>
          <w:rFonts w:hint="eastAsia"/>
          <w:color w:val="auto"/>
          <w:lang w:val="en-US" w:eastAsia="zh-CN"/>
        </w:rPr>
        <w:t>。</w:t>
      </w:r>
    </w:p>
    <w:p w14:paraId="704CCFAA">
      <w:pPr>
        <w:pStyle w:val="4"/>
        <w:bidi w:val="0"/>
        <w:rPr>
          <w:rFonts w:hint="default"/>
          <w:color w:val="auto"/>
          <w:lang w:val="en-US" w:eastAsia="zh-CN"/>
        </w:rPr>
      </w:pPr>
      <w:bookmarkStart w:id="230" w:name="_Toc23769"/>
      <w:bookmarkStart w:id="231" w:name="_Toc24581"/>
      <w:bookmarkStart w:id="232" w:name="_Toc7024"/>
      <w:bookmarkStart w:id="233" w:name="_Toc11772"/>
      <w:r>
        <w:rPr>
          <w:rFonts w:hint="default"/>
          <w:color w:val="auto"/>
          <w:lang w:val="en-US" w:eastAsia="zh-CN"/>
        </w:rPr>
        <w:t>3.1.</w:t>
      </w:r>
      <w:r>
        <w:rPr>
          <w:rFonts w:hint="eastAsia"/>
          <w:color w:val="auto"/>
          <w:lang w:val="en-US" w:eastAsia="zh-CN"/>
        </w:rPr>
        <w:t>2</w:t>
      </w:r>
      <w:r>
        <w:rPr>
          <w:rFonts w:hint="default"/>
          <w:color w:val="auto"/>
          <w:lang w:val="en-US" w:eastAsia="zh-CN"/>
        </w:rPr>
        <w:t xml:space="preserve"> 坍塌</w:t>
      </w:r>
      <w:bookmarkEnd w:id="230"/>
    </w:p>
    <w:p w14:paraId="3D8D8E5D">
      <w:pPr>
        <w:bidi w:val="0"/>
        <w:rPr>
          <w:rFonts w:hint="default"/>
          <w:lang w:val="en-US" w:eastAsia="zh-CN"/>
        </w:rPr>
      </w:pPr>
      <w:r>
        <w:rPr>
          <w:rFonts w:hint="default"/>
          <w:lang w:val="en-US" w:eastAsia="zh-CN"/>
        </w:rPr>
        <w:t>建筑物、构筑物或堆置物等在外力、重力或环境作用下超过自身的强度极限或因结构稳定性破坏发生塌落、倾倒造成的事故。</w:t>
      </w:r>
    </w:p>
    <w:p w14:paraId="30C861B2">
      <w:pPr>
        <w:bidi w:val="0"/>
        <w:rPr>
          <w:rFonts w:hint="default"/>
          <w:lang w:val="en-US" w:eastAsia="zh-CN"/>
        </w:rPr>
      </w:pPr>
      <w:r>
        <w:rPr>
          <w:rFonts w:hint="default"/>
          <w:lang w:val="en-US" w:eastAsia="zh-CN"/>
        </w:rPr>
        <w:t>1</w:t>
      </w:r>
      <w:r>
        <w:rPr>
          <w:rFonts w:hint="eastAsia"/>
          <w:lang w:val="en-US" w:eastAsia="zh-CN"/>
        </w:rPr>
        <w:t xml:space="preserve">. </w:t>
      </w:r>
      <w:r>
        <w:rPr>
          <w:rFonts w:hint="default"/>
          <w:lang w:val="en-US" w:eastAsia="zh-CN"/>
        </w:rPr>
        <w:t>坍塌事故发生的原因</w:t>
      </w:r>
    </w:p>
    <w:p w14:paraId="24BA9BD3">
      <w:pPr>
        <w:bidi w:val="0"/>
        <w:rPr>
          <w:rFonts w:hint="default"/>
          <w:lang w:val="en-US" w:eastAsia="zh-CN"/>
        </w:rPr>
      </w:pPr>
      <w:r>
        <w:rPr>
          <w:rFonts w:hint="eastAsia"/>
          <w:lang w:val="en-US" w:eastAsia="zh-CN"/>
        </w:rPr>
        <w:t>（</w:t>
      </w:r>
      <w:r>
        <w:rPr>
          <w:rFonts w:hint="default"/>
          <w:lang w:val="en-US" w:eastAsia="zh-CN"/>
        </w:rPr>
        <w:t>1）边坡设计不合理；</w:t>
      </w:r>
    </w:p>
    <w:p w14:paraId="1E357443">
      <w:pPr>
        <w:bidi w:val="0"/>
        <w:rPr>
          <w:rFonts w:hint="default"/>
          <w:lang w:val="en-US" w:eastAsia="zh-CN"/>
        </w:rPr>
      </w:pPr>
      <w:r>
        <w:rPr>
          <w:rFonts w:hint="eastAsia"/>
          <w:lang w:val="en-US" w:eastAsia="zh-CN"/>
        </w:rPr>
        <w:t>（</w:t>
      </w:r>
      <w:r>
        <w:rPr>
          <w:rFonts w:hint="default"/>
          <w:lang w:val="en-US" w:eastAsia="zh-CN"/>
        </w:rPr>
        <w:t>2）开采境界内或最终边坡邻近地段存在采空区、废旧巷道等；</w:t>
      </w:r>
    </w:p>
    <w:p w14:paraId="196B005A">
      <w:pPr>
        <w:bidi w:val="0"/>
        <w:rPr>
          <w:rFonts w:hint="default"/>
          <w:lang w:val="en-US" w:eastAsia="zh-CN"/>
        </w:rPr>
      </w:pPr>
      <w:r>
        <w:rPr>
          <w:rFonts w:hint="eastAsia"/>
          <w:lang w:val="en-US" w:eastAsia="zh-CN"/>
        </w:rPr>
        <w:t>（</w:t>
      </w:r>
      <w:r>
        <w:rPr>
          <w:rFonts w:hint="default"/>
          <w:lang w:val="en-US" w:eastAsia="zh-CN"/>
        </w:rPr>
        <w:t>3）存在地质构造、断层、破碎带、层理、节理等；</w:t>
      </w:r>
    </w:p>
    <w:p w14:paraId="071FFF2F">
      <w:pPr>
        <w:bidi w:val="0"/>
        <w:rPr>
          <w:rFonts w:hint="default"/>
          <w:lang w:val="en-US" w:eastAsia="zh-CN"/>
        </w:rPr>
      </w:pPr>
      <w:r>
        <w:rPr>
          <w:rFonts w:hint="eastAsia"/>
          <w:lang w:val="en-US" w:eastAsia="zh-CN"/>
        </w:rPr>
        <w:t>（</w:t>
      </w:r>
      <w:r>
        <w:rPr>
          <w:rFonts w:hint="default"/>
          <w:lang w:val="en-US" w:eastAsia="zh-CN"/>
        </w:rPr>
        <w:t>4）应该进行处理的边坡未进行处理或处理不当；</w:t>
      </w:r>
    </w:p>
    <w:p w14:paraId="72AD3613">
      <w:pPr>
        <w:bidi w:val="0"/>
        <w:rPr>
          <w:rFonts w:hint="default"/>
          <w:lang w:val="en-US" w:eastAsia="zh-CN"/>
        </w:rPr>
      </w:pPr>
      <w:r>
        <w:rPr>
          <w:rFonts w:hint="eastAsia"/>
          <w:lang w:val="en-US" w:eastAsia="zh-CN"/>
        </w:rPr>
        <w:t>（</w:t>
      </w:r>
      <w:r>
        <w:rPr>
          <w:rFonts w:hint="default"/>
          <w:lang w:val="en-US" w:eastAsia="zh-CN"/>
        </w:rPr>
        <w:t>5）未设置边坡的防、排水设施，以及边坡的防、排水设施存在缺陷或不起作用；</w:t>
      </w:r>
    </w:p>
    <w:p w14:paraId="595F569F">
      <w:pPr>
        <w:bidi w:val="0"/>
        <w:rPr>
          <w:rFonts w:hint="default"/>
          <w:lang w:val="en-US" w:eastAsia="zh-CN"/>
        </w:rPr>
      </w:pPr>
      <w:r>
        <w:rPr>
          <w:rFonts w:hint="eastAsia"/>
          <w:lang w:val="en-US" w:eastAsia="zh-CN"/>
        </w:rPr>
        <w:t>（</w:t>
      </w:r>
      <w:r>
        <w:rPr>
          <w:rFonts w:hint="default"/>
          <w:lang w:val="en-US" w:eastAsia="zh-CN"/>
        </w:rPr>
        <w:t>6）违章作业；</w:t>
      </w:r>
    </w:p>
    <w:p w14:paraId="727ECE4B">
      <w:pPr>
        <w:bidi w:val="0"/>
        <w:rPr>
          <w:rFonts w:hint="default"/>
          <w:lang w:val="en-US" w:eastAsia="zh-CN"/>
        </w:rPr>
      </w:pPr>
      <w:r>
        <w:rPr>
          <w:rFonts w:hint="eastAsia"/>
          <w:lang w:val="en-US" w:eastAsia="zh-CN"/>
        </w:rPr>
        <w:t>（</w:t>
      </w:r>
      <w:r>
        <w:rPr>
          <w:rFonts w:hint="default"/>
          <w:lang w:val="en-US" w:eastAsia="zh-CN"/>
        </w:rPr>
        <w:t>7）其他异常情况等。</w:t>
      </w:r>
    </w:p>
    <w:p w14:paraId="32F80F03">
      <w:pPr>
        <w:bidi w:val="0"/>
        <w:rPr>
          <w:rFonts w:hint="default"/>
          <w:lang w:val="en-US" w:eastAsia="zh-CN"/>
        </w:rPr>
      </w:pPr>
      <w:r>
        <w:rPr>
          <w:rFonts w:hint="default"/>
          <w:lang w:val="en-US" w:eastAsia="zh-CN"/>
        </w:rPr>
        <w:t>2</w:t>
      </w:r>
      <w:r>
        <w:rPr>
          <w:rFonts w:hint="eastAsia"/>
          <w:lang w:val="en-US" w:eastAsia="zh-CN"/>
        </w:rPr>
        <w:t xml:space="preserve">. </w:t>
      </w:r>
      <w:r>
        <w:rPr>
          <w:rFonts w:hint="default"/>
          <w:lang w:val="en-US" w:eastAsia="zh-CN"/>
        </w:rPr>
        <w:t>容易发生坍塌事故的场所</w:t>
      </w:r>
    </w:p>
    <w:p w14:paraId="24306FEA">
      <w:pPr>
        <w:bidi w:val="0"/>
        <w:rPr>
          <w:rFonts w:hint="default"/>
          <w:lang w:val="en-US" w:eastAsia="zh-CN"/>
        </w:rPr>
      </w:pPr>
      <w:r>
        <w:rPr>
          <w:rFonts w:hint="default"/>
          <w:lang w:val="en-US" w:eastAsia="zh-CN"/>
        </w:rPr>
        <w:t>在生产过程中，容易发生坍塌事故的场所（过程）主要有：</w:t>
      </w:r>
    </w:p>
    <w:p w14:paraId="2B3FA8C7">
      <w:pPr>
        <w:bidi w:val="0"/>
        <w:rPr>
          <w:rFonts w:hint="default"/>
          <w:lang w:val="en-US" w:eastAsia="zh-CN"/>
        </w:rPr>
      </w:pPr>
      <w:r>
        <w:rPr>
          <w:rFonts w:hint="eastAsia"/>
          <w:lang w:val="en-US" w:eastAsia="zh-CN"/>
        </w:rPr>
        <w:t>（</w:t>
      </w:r>
      <w:r>
        <w:rPr>
          <w:rFonts w:hint="default"/>
          <w:lang w:val="en-US" w:eastAsia="zh-CN"/>
        </w:rPr>
        <w:t>1）露天开采形成的边坡处；</w:t>
      </w:r>
      <w:r>
        <w:rPr>
          <w:rFonts w:hint="eastAsia"/>
          <w:lang w:val="en-US" w:eastAsia="zh-CN"/>
        </w:rPr>
        <w:t>（</w:t>
      </w:r>
      <w:r>
        <w:rPr>
          <w:rFonts w:hint="default"/>
          <w:lang w:val="en-US" w:eastAsia="zh-CN"/>
        </w:rPr>
        <w:t>2）台阶作业面；</w:t>
      </w:r>
      <w:r>
        <w:rPr>
          <w:rFonts w:hint="eastAsia"/>
          <w:lang w:val="en-US" w:eastAsia="zh-CN"/>
        </w:rPr>
        <w:t>（3</w:t>
      </w:r>
      <w:r>
        <w:rPr>
          <w:rFonts w:hint="default"/>
          <w:lang w:val="en-US" w:eastAsia="zh-CN"/>
        </w:rPr>
        <w:t>）其他超高堆放物体的场所。</w:t>
      </w:r>
    </w:p>
    <w:p w14:paraId="1FEBFDEF">
      <w:pPr>
        <w:bidi w:val="0"/>
        <w:rPr>
          <w:rFonts w:hint="default"/>
          <w:lang w:val="en-US" w:eastAsia="zh-CN"/>
        </w:rPr>
      </w:pPr>
      <w:r>
        <w:rPr>
          <w:rFonts w:hint="default"/>
          <w:lang w:val="en-US" w:eastAsia="zh-CN"/>
        </w:rPr>
        <w:t>（3）引起后果</w:t>
      </w:r>
    </w:p>
    <w:p w14:paraId="047AC977">
      <w:pPr>
        <w:bidi w:val="0"/>
        <w:rPr>
          <w:rFonts w:hint="default"/>
          <w:lang w:val="en-US" w:eastAsia="zh-CN"/>
        </w:rPr>
      </w:pPr>
      <w:r>
        <w:rPr>
          <w:rFonts w:hint="default"/>
          <w:lang w:val="en-US" w:eastAsia="zh-CN"/>
        </w:rPr>
        <w:t>引起人员伤亡、设备设施损坏</w:t>
      </w:r>
    </w:p>
    <w:p w14:paraId="09E9DA2F">
      <w:pPr>
        <w:pStyle w:val="4"/>
        <w:bidi w:val="0"/>
        <w:rPr>
          <w:rFonts w:hint="default"/>
          <w:lang w:val="en-US" w:eastAsia="zh-CN"/>
        </w:rPr>
      </w:pPr>
      <w:bookmarkStart w:id="234" w:name="_Toc27569"/>
      <w:r>
        <w:rPr>
          <w:rFonts w:hint="eastAsia"/>
          <w:lang w:val="en-US" w:eastAsia="zh-CN"/>
        </w:rPr>
        <w:t>3.1.3 厂（场）内车辆致害</w:t>
      </w:r>
      <w:bookmarkEnd w:id="234"/>
    </w:p>
    <w:p w14:paraId="11F3B36E">
      <w:pPr>
        <w:bidi w:val="0"/>
        <w:rPr>
          <w:rFonts w:hint="default"/>
          <w:color w:val="auto"/>
          <w:lang w:val="en-US" w:eastAsia="zh-CN"/>
        </w:rPr>
      </w:pPr>
      <w:r>
        <w:rPr>
          <w:rFonts w:hint="default"/>
          <w:color w:val="auto"/>
          <w:lang w:val="en-US" w:eastAsia="zh-CN"/>
        </w:rPr>
        <w:t>车辆在生产经营单位内部或生产作业场所内进行生产经营活动过程中由于碰撞、刮擦、碾压、挤压、翻车、脱轨等造成的事故。</w:t>
      </w:r>
    </w:p>
    <w:p w14:paraId="2622D9CE">
      <w:pPr>
        <w:bidi w:val="0"/>
        <w:rPr>
          <w:rFonts w:hint="default"/>
          <w:color w:val="auto"/>
          <w:lang w:val="en-US" w:eastAsia="zh-CN"/>
        </w:rPr>
      </w:pPr>
      <w:r>
        <w:rPr>
          <w:rFonts w:hint="default"/>
          <w:color w:val="auto"/>
          <w:lang w:val="en-US" w:eastAsia="zh-CN"/>
        </w:rPr>
        <w:t>露天开采通常采用自卸汽车作为矿石、废石运输载体，此外人员上下班及管理人员现场检查乘用汽车</w:t>
      </w:r>
      <w:r>
        <w:rPr>
          <w:rFonts w:hint="eastAsia"/>
          <w:color w:val="auto"/>
          <w:lang w:val="en-US" w:eastAsia="zh-CN"/>
        </w:rPr>
        <w:t>；</w:t>
      </w:r>
      <w:r>
        <w:rPr>
          <w:rFonts w:hint="default"/>
          <w:color w:val="auto"/>
          <w:lang w:val="en-US" w:eastAsia="zh-CN"/>
        </w:rPr>
        <w:t>因此，厂（场）内车辆致害</w:t>
      </w:r>
      <w:r>
        <w:rPr>
          <w:rFonts w:hint="eastAsia"/>
          <w:color w:val="auto"/>
          <w:lang w:val="en-US" w:eastAsia="zh-CN"/>
        </w:rPr>
        <w:t>（如挖机、铲车铲装）</w:t>
      </w:r>
      <w:r>
        <w:rPr>
          <w:rFonts w:hint="default"/>
          <w:color w:val="auto"/>
          <w:lang w:val="en-US" w:eastAsia="zh-CN"/>
        </w:rPr>
        <w:t>也是露天开采最常见的伤害形式之</w:t>
      </w:r>
      <w:r>
        <w:rPr>
          <w:rFonts w:hint="eastAsia"/>
          <w:color w:val="auto"/>
          <w:lang w:val="en-US" w:eastAsia="zh-CN"/>
        </w:rPr>
        <w:t>一。</w:t>
      </w:r>
    </w:p>
    <w:p w14:paraId="51789A94">
      <w:pPr>
        <w:bidi w:val="0"/>
        <w:rPr>
          <w:rFonts w:hint="default"/>
          <w:color w:val="auto"/>
          <w:lang w:val="en-US" w:eastAsia="zh-CN"/>
        </w:rPr>
      </w:pPr>
      <w:r>
        <w:rPr>
          <w:rFonts w:hint="default"/>
          <w:color w:val="auto"/>
          <w:lang w:val="en-US" w:eastAsia="zh-CN"/>
        </w:rPr>
        <w:t>1</w:t>
      </w:r>
      <w:r>
        <w:rPr>
          <w:rFonts w:hint="eastAsia"/>
          <w:lang w:val="en-US" w:eastAsia="zh-CN"/>
        </w:rPr>
        <w:t xml:space="preserve">. </w:t>
      </w:r>
      <w:r>
        <w:rPr>
          <w:rFonts w:hint="default"/>
          <w:color w:val="auto"/>
          <w:lang w:val="en-US" w:eastAsia="zh-CN"/>
        </w:rPr>
        <w:t>厂（场）内车辆致害的主要原因</w:t>
      </w:r>
    </w:p>
    <w:p w14:paraId="08BFCFB8">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违规操作</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车况不好、车辆保养不良</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路况不好、视线不良</w:t>
      </w: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驾驶人员经验技术欠缺等。</w:t>
      </w:r>
    </w:p>
    <w:p w14:paraId="78A05954">
      <w:pPr>
        <w:bidi w:val="0"/>
        <w:rPr>
          <w:rFonts w:hint="eastAsia"/>
          <w:color w:val="auto"/>
          <w:lang w:val="en-US" w:eastAsia="zh-CN"/>
        </w:rPr>
      </w:pPr>
      <w:r>
        <w:rPr>
          <w:rFonts w:hint="default"/>
          <w:color w:val="auto"/>
          <w:lang w:val="en-US" w:eastAsia="zh-CN"/>
        </w:rPr>
        <w:t>2</w:t>
      </w:r>
      <w:r>
        <w:rPr>
          <w:rFonts w:hint="eastAsia"/>
          <w:lang w:val="en-US" w:eastAsia="zh-CN"/>
        </w:rPr>
        <w:t xml:space="preserve">. </w:t>
      </w:r>
      <w:r>
        <w:rPr>
          <w:rFonts w:hint="default"/>
          <w:color w:val="auto"/>
          <w:lang w:val="en-US" w:eastAsia="zh-CN"/>
        </w:rPr>
        <w:t>容易发生厂（场）内车辆致害的场所</w:t>
      </w:r>
      <w:r>
        <w:rPr>
          <w:rFonts w:hint="eastAsia"/>
          <w:color w:val="auto"/>
          <w:lang w:val="en-US" w:eastAsia="zh-CN"/>
        </w:rPr>
        <w:t>（</w:t>
      </w:r>
      <w:r>
        <w:rPr>
          <w:rFonts w:hint="default"/>
          <w:color w:val="auto"/>
          <w:lang w:val="en-US" w:eastAsia="zh-CN"/>
        </w:rPr>
        <w:t>过程</w:t>
      </w:r>
      <w:r>
        <w:rPr>
          <w:rFonts w:hint="eastAsia"/>
          <w:color w:val="auto"/>
          <w:lang w:val="en-US" w:eastAsia="zh-CN"/>
        </w:rPr>
        <w:t>）</w:t>
      </w:r>
    </w:p>
    <w:p w14:paraId="2B83FCB4">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矿石、废石的装载、卸排点</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矿石、废石的运输过程</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人员上下班途中、工作人员乘坐车辆赴矿山现场进行安全检查。</w:t>
      </w:r>
    </w:p>
    <w:p w14:paraId="0B4C501C">
      <w:pPr>
        <w:bidi w:val="0"/>
        <w:rPr>
          <w:rFonts w:hint="default"/>
          <w:color w:val="auto"/>
          <w:lang w:val="en-US" w:eastAsia="zh-CN"/>
        </w:rPr>
      </w:pPr>
      <w:r>
        <w:rPr>
          <w:rFonts w:hint="default"/>
          <w:color w:val="auto"/>
          <w:lang w:val="en-US" w:eastAsia="zh-CN"/>
        </w:rPr>
        <w:t>3</w:t>
      </w:r>
      <w:r>
        <w:rPr>
          <w:rFonts w:hint="eastAsia"/>
          <w:lang w:val="en-US" w:eastAsia="zh-CN"/>
        </w:rPr>
        <w:t xml:space="preserve">. </w:t>
      </w:r>
      <w:r>
        <w:rPr>
          <w:rFonts w:hint="default"/>
          <w:color w:val="auto"/>
          <w:lang w:val="en-US" w:eastAsia="zh-CN"/>
        </w:rPr>
        <w:t>引起后果</w:t>
      </w:r>
    </w:p>
    <w:p w14:paraId="4FF13F59">
      <w:pPr>
        <w:bidi w:val="0"/>
        <w:rPr>
          <w:rFonts w:hint="default"/>
          <w:color w:val="auto"/>
          <w:lang w:val="en-US" w:eastAsia="zh-CN"/>
        </w:rPr>
      </w:pPr>
      <w:r>
        <w:rPr>
          <w:rFonts w:hint="default"/>
          <w:color w:val="auto"/>
          <w:lang w:val="en-US" w:eastAsia="zh-CN"/>
        </w:rPr>
        <w:t>引起人员伤亡、车辆损毁。</w:t>
      </w:r>
    </w:p>
    <w:p w14:paraId="5BF36BF4">
      <w:pPr>
        <w:pStyle w:val="4"/>
        <w:bidi w:val="0"/>
        <w:rPr>
          <w:rFonts w:hint="default"/>
          <w:lang w:val="en-US" w:eastAsia="zh-CN"/>
        </w:rPr>
      </w:pPr>
      <w:bookmarkStart w:id="235" w:name="_Toc26979"/>
      <w:r>
        <w:rPr>
          <w:rFonts w:hint="eastAsia"/>
          <w:lang w:val="en-US" w:eastAsia="zh-CN"/>
        </w:rPr>
        <w:t>3.1.4 机械致害</w:t>
      </w:r>
      <w:bookmarkEnd w:id="235"/>
    </w:p>
    <w:p w14:paraId="55FC12BC">
      <w:pPr>
        <w:rPr>
          <w:rFonts w:hint="default"/>
          <w:color w:val="auto"/>
          <w:lang w:val="en-US" w:eastAsia="zh-CN"/>
        </w:rPr>
      </w:pPr>
      <w:r>
        <w:rPr>
          <w:rFonts w:hint="default"/>
          <w:color w:val="auto"/>
          <w:lang w:val="en-US" w:eastAsia="zh-CN"/>
        </w:rPr>
        <w:t>机械设备（含部件）或加工件直接与人体或设备设施接触造成的夹击、碾压、绞、剪切、割、刺及物体飞溅等事故。</w:t>
      </w:r>
    </w:p>
    <w:p w14:paraId="211CAF80">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机械致害发生的主要原因</w:t>
      </w:r>
    </w:p>
    <w:p w14:paraId="3333E4BC">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机械设备的传动、转动部件无有效防护装置</w:t>
      </w:r>
      <w:r>
        <w:rPr>
          <w:rFonts w:hint="eastAsia"/>
          <w:color w:val="auto"/>
          <w:lang w:val="en-US" w:eastAsia="zh-CN"/>
        </w:rPr>
        <w:t>；</w:t>
      </w:r>
    </w:p>
    <w:p w14:paraId="4188D7D3">
      <w:pPr>
        <w:bidi w:val="0"/>
        <w:rPr>
          <w:rFonts w:hint="default"/>
          <w:color w:val="auto"/>
          <w:lang w:val="en-US" w:eastAsia="zh-CN"/>
        </w:rPr>
      </w:pPr>
      <w:r>
        <w:rPr>
          <w:rFonts w:hint="eastAsia"/>
          <w:color w:val="auto"/>
          <w:lang w:val="en-US" w:eastAsia="zh-CN"/>
        </w:rPr>
        <w:t>（2）</w:t>
      </w:r>
      <w:r>
        <w:rPr>
          <w:rFonts w:hint="default"/>
          <w:color w:val="auto"/>
          <w:lang w:val="en-US" w:eastAsia="zh-CN"/>
        </w:rPr>
        <w:t>人员不小心触及机械设备的静止危险部位</w:t>
      </w:r>
      <w:r>
        <w:rPr>
          <w:rFonts w:hint="eastAsia"/>
          <w:color w:val="auto"/>
          <w:lang w:val="en-US" w:eastAsia="zh-CN"/>
        </w:rPr>
        <w:t>；</w:t>
      </w:r>
    </w:p>
    <w:p w14:paraId="0BB916F2">
      <w:pPr>
        <w:bidi w:val="0"/>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机械设备设计不当</w:t>
      </w:r>
      <w:r>
        <w:rPr>
          <w:rFonts w:hint="eastAsia"/>
          <w:color w:val="auto"/>
          <w:lang w:val="en-US" w:eastAsia="zh-CN"/>
        </w:rPr>
        <w:t>；</w:t>
      </w:r>
    </w:p>
    <w:p w14:paraId="043642D8">
      <w:pPr>
        <w:bidi w:val="0"/>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操作人员未穿戴劳保用品或劳保用品穿戴不当</w:t>
      </w:r>
      <w:r>
        <w:rPr>
          <w:rFonts w:hint="eastAsia"/>
          <w:color w:val="auto"/>
          <w:lang w:val="en-US" w:eastAsia="zh-CN"/>
        </w:rPr>
        <w:t>；</w:t>
      </w:r>
    </w:p>
    <w:p w14:paraId="5BAA1A9C">
      <w:pPr>
        <w:bidi w:val="0"/>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违章作业</w:t>
      </w:r>
      <w:r>
        <w:rPr>
          <w:rFonts w:hint="eastAsia"/>
          <w:color w:val="auto"/>
          <w:lang w:val="en-US" w:eastAsia="zh-CN"/>
        </w:rPr>
        <w:t>；</w:t>
      </w:r>
    </w:p>
    <w:p w14:paraId="75575D9E">
      <w:pPr>
        <w:bidi w:val="0"/>
        <w:rPr>
          <w:rFonts w:hint="default"/>
          <w:color w:val="auto"/>
          <w:lang w:val="en-US" w:eastAsia="zh-CN"/>
        </w:rPr>
      </w:pP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其他原因。</w:t>
      </w:r>
    </w:p>
    <w:p w14:paraId="13AF1A14">
      <w:pPr>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容易发生机械致害事故的设备和设施</w:t>
      </w:r>
    </w:p>
    <w:p w14:paraId="3A0202CE">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潜孔钻机</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铲装机械</w:t>
      </w:r>
      <w:r>
        <w:rPr>
          <w:rFonts w:hint="eastAsia"/>
          <w:color w:val="auto"/>
          <w:lang w:val="en-US" w:eastAsia="zh-CN"/>
        </w:rPr>
        <w:t>；（3）</w:t>
      </w:r>
      <w:r>
        <w:rPr>
          <w:rFonts w:hint="default"/>
          <w:color w:val="auto"/>
          <w:lang w:val="en-US" w:eastAsia="zh-CN"/>
        </w:rPr>
        <w:t>机械维修、保养过程</w:t>
      </w:r>
      <w:r>
        <w:rPr>
          <w:rFonts w:hint="eastAsia"/>
          <w:color w:val="auto"/>
          <w:lang w:val="en-US" w:eastAsia="zh-CN"/>
        </w:rPr>
        <w:t>；（4）</w:t>
      </w:r>
      <w:r>
        <w:rPr>
          <w:rFonts w:hint="default"/>
          <w:color w:val="auto"/>
          <w:lang w:val="en-US" w:eastAsia="zh-CN"/>
        </w:rPr>
        <w:t>其他机械设备设施。</w:t>
      </w:r>
    </w:p>
    <w:p w14:paraId="67CDD414">
      <w:pPr>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引起后果</w:t>
      </w:r>
    </w:p>
    <w:p w14:paraId="444BD8BC">
      <w:pPr>
        <w:bidi w:val="0"/>
        <w:rPr>
          <w:rFonts w:hint="default"/>
          <w:color w:val="auto"/>
          <w:lang w:val="en-US" w:eastAsia="zh-CN"/>
        </w:rPr>
      </w:pPr>
      <w:r>
        <w:rPr>
          <w:rFonts w:hint="default"/>
          <w:color w:val="auto"/>
          <w:lang w:val="en-US" w:eastAsia="zh-CN"/>
        </w:rPr>
        <w:t>引起人员伤亡、设备损毁。</w:t>
      </w:r>
    </w:p>
    <w:p w14:paraId="2F4976A0">
      <w:pPr>
        <w:pStyle w:val="4"/>
        <w:bidi w:val="0"/>
        <w:rPr>
          <w:rFonts w:hint="default"/>
          <w:lang w:val="en-US" w:eastAsia="zh-CN"/>
        </w:rPr>
      </w:pPr>
      <w:bookmarkStart w:id="236" w:name="_Toc2892"/>
      <w:r>
        <w:rPr>
          <w:rFonts w:hint="eastAsia"/>
          <w:lang w:val="en-US" w:eastAsia="zh-CN"/>
        </w:rPr>
        <w:t xml:space="preserve">3.1.5 </w:t>
      </w:r>
      <w:r>
        <w:rPr>
          <w:rFonts w:hint="eastAsia"/>
          <w:b/>
          <w:bCs/>
          <w:color w:val="auto"/>
          <w:lang w:val="en-US" w:eastAsia="zh-CN"/>
        </w:rPr>
        <w:t>火灾</w:t>
      </w:r>
      <w:bookmarkEnd w:id="236"/>
    </w:p>
    <w:p w14:paraId="717D027B">
      <w:pPr>
        <w:rPr>
          <w:rFonts w:hint="default"/>
          <w:color w:val="auto"/>
          <w:lang w:val="en-US" w:eastAsia="zh-CN"/>
        </w:rPr>
      </w:pPr>
      <w:r>
        <w:rPr>
          <w:rFonts w:hint="default"/>
          <w:color w:val="auto"/>
          <w:lang w:val="en-US" w:eastAsia="zh-CN"/>
        </w:rPr>
        <w:t>在时间或空间上失去控制的燃烧造成的事故。</w:t>
      </w:r>
    </w:p>
    <w:p w14:paraId="2C2E7F28">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火灾发生的原因</w:t>
      </w:r>
    </w:p>
    <w:p w14:paraId="7C69ED8B">
      <w:pPr>
        <w:bidi w:val="0"/>
        <w:rPr>
          <w:rFonts w:hint="default"/>
          <w:color w:val="auto"/>
          <w:lang w:val="en-US" w:eastAsia="zh-CN"/>
        </w:rPr>
      </w:pPr>
      <w:r>
        <w:rPr>
          <w:rFonts w:hint="default"/>
          <w:color w:val="auto"/>
          <w:lang w:val="en-US" w:eastAsia="zh-CN"/>
        </w:rPr>
        <w:t>火灾的发生主要是因为可燃、易燃物体遇到点火源而引起，导致火灾发生的点火源主要有</w:t>
      </w:r>
      <w:r>
        <w:rPr>
          <w:rFonts w:hint="eastAsia"/>
          <w:color w:val="auto"/>
          <w:lang w:val="en-US" w:eastAsia="zh-CN"/>
        </w:rPr>
        <w:t>：</w:t>
      </w:r>
    </w:p>
    <w:p w14:paraId="00492399">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明火，如吸烟、电焊火花、违章用火等</w:t>
      </w:r>
      <w:r>
        <w:rPr>
          <w:rFonts w:hint="eastAsia"/>
          <w:color w:val="auto"/>
          <w:lang w:val="en-US" w:eastAsia="zh-CN"/>
        </w:rPr>
        <w:t>；</w:t>
      </w:r>
    </w:p>
    <w:p w14:paraId="2EEF6422">
      <w:pPr>
        <w:bidi w:val="0"/>
        <w:rPr>
          <w:rFonts w:hint="default"/>
          <w:color w:val="auto"/>
          <w:lang w:val="en-US" w:eastAsia="zh-CN"/>
        </w:rPr>
      </w:pPr>
      <w:r>
        <w:rPr>
          <w:rFonts w:hint="eastAsia"/>
          <w:color w:val="auto"/>
          <w:lang w:val="en-US" w:eastAsia="zh-CN"/>
        </w:rPr>
        <w:t>（2）</w:t>
      </w:r>
      <w:r>
        <w:rPr>
          <w:rFonts w:hint="default"/>
          <w:color w:val="auto"/>
          <w:lang w:val="en-US" w:eastAsia="zh-CN"/>
        </w:rPr>
        <w:t>因摩擦、撞击而产生的火源</w:t>
      </w:r>
      <w:r>
        <w:rPr>
          <w:rFonts w:hint="eastAsia"/>
          <w:color w:val="auto"/>
          <w:lang w:val="en-US" w:eastAsia="zh-CN"/>
        </w:rPr>
        <w:t>；</w:t>
      </w:r>
    </w:p>
    <w:p w14:paraId="79571C4D">
      <w:pPr>
        <w:bidi w:val="0"/>
        <w:rPr>
          <w:rFonts w:hint="default"/>
          <w:color w:val="auto"/>
          <w:lang w:val="en-US" w:eastAsia="zh-CN"/>
        </w:rPr>
      </w:pPr>
      <w:r>
        <w:rPr>
          <w:rFonts w:hint="eastAsia"/>
          <w:color w:val="auto"/>
          <w:lang w:val="en-US" w:eastAsia="zh-CN"/>
        </w:rPr>
        <w:t>（3）</w:t>
      </w:r>
      <w:r>
        <w:rPr>
          <w:rFonts w:hint="default"/>
          <w:color w:val="auto"/>
          <w:lang w:val="en-US" w:eastAsia="zh-CN"/>
        </w:rPr>
        <w:t>运输车辆及工程车在运输过程中，由于车载油料管理不善、车辆电线老化、过载、长距离下坡轮胎刹车系统摩擦等起火。</w:t>
      </w:r>
    </w:p>
    <w:p w14:paraId="325098DA">
      <w:pPr>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容易发生火灾的场所</w:t>
      </w:r>
    </w:p>
    <w:p w14:paraId="514BF3D3">
      <w:pPr>
        <w:bidi w:val="0"/>
        <w:rPr>
          <w:rFonts w:hint="default"/>
          <w:color w:val="auto"/>
          <w:lang w:val="en-US" w:eastAsia="zh-CN"/>
        </w:rPr>
      </w:pPr>
      <w:r>
        <w:rPr>
          <w:rFonts w:hint="eastAsia"/>
          <w:color w:val="auto"/>
          <w:lang w:val="en-US" w:eastAsia="zh-CN"/>
        </w:rPr>
        <w:t>（1）</w:t>
      </w:r>
      <w:r>
        <w:rPr>
          <w:rFonts w:hint="default"/>
          <w:color w:val="auto"/>
          <w:lang w:val="en-US" w:eastAsia="zh-CN"/>
        </w:rPr>
        <w:t>运输车辆、装载设备</w:t>
      </w:r>
      <w:r>
        <w:rPr>
          <w:rFonts w:hint="eastAsia"/>
          <w:color w:val="auto"/>
          <w:lang w:val="en-US" w:eastAsia="zh-CN"/>
        </w:rPr>
        <w:t>；（2）</w:t>
      </w:r>
      <w:r>
        <w:rPr>
          <w:rFonts w:hint="default"/>
          <w:color w:val="auto"/>
          <w:lang w:val="en-US" w:eastAsia="zh-CN"/>
        </w:rPr>
        <w:t>其他可燃材料储存、使用和运输过程</w:t>
      </w:r>
      <w:r>
        <w:rPr>
          <w:rFonts w:hint="eastAsia"/>
          <w:color w:val="auto"/>
          <w:lang w:val="en-US" w:eastAsia="zh-CN"/>
        </w:rPr>
        <w:t>等</w:t>
      </w:r>
      <w:r>
        <w:rPr>
          <w:rFonts w:hint="default"/>
          <w:color w:val="auto"/>
          <w:lang w:val="en-US" w:eastAsia="zh-CN"/>
        </w:rPr>
        <w:t>。</w:t>
      </w:r>
    </w:p>
    <w:p w14:paraId="5BA8EE28">
      <w:pPr>
        <w:bidi w:val="0"/>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后果</w:t>
      </w:r>
    </w:p>
    <w:p w14:paraId="07E782B2">
      <w:pPr>
        <w:bidi w:val="0"/>
        <w:rPr>
          <w:rFonts w:hint="default"/>
          <w:color w:val="auto"/>
          <w:lang w:val="en-US" w:eastAsia="zh-CN"/>
        </w:rPr>
      </w:pPr>
      <w:r>
        <w:rPr>
          <w:rFonts w:hint="default"/>
          <w:color w:val="auto"/>
          <w:lang w:val="en-US" w:eastAsia="zh-CN"/>
        </w:rPr>
        <w:t>引起设备设施损坏、人员伤亡。</w:t>
      </w:r>
    </w:p>
    <w:p w14:paraId="371F6E7E">
      <w:pPr>
        <w:pStyle w:val="4"/>
        <w:bidi w:val="0"/>
        <w:rPr>
          <w:rFonts w:hint="default"/>
          <w:lang w:val="en-US" w:eastAsia="zh-CN"/>
        </w:rPr>
      </w:pPr>
      <w:bookmarkStart w:id="237" w:name="_Toc18306"/>
      <w:r>
        <w:rPr>
          <w:rFonts w:hint="eastAsia"/>
          <w:lang w:val="en-US" w:eastAsia="zh-CN"/>
        </w:rPr>
        <w:t>3.1.6 物体打击</w:t>
      </w:r>
      <w:bookmarkEnd w:id="237"/>
    </w:p>
    <w:p w14:paraId="18A4AC56">
      <w:pPr>
        <w:rPr>
          <w:rFonts w:hint="default"/>
          <w:color w:val="auto"/>
          <w:lang w:val="en-US" w:eastAsia="zh-CN"/>
        </w:rPr>
      </w:pPr>
      <w:r>
        <w:rPr>
          <w:rFonts w:hint="default"/>
          <w:color w:val="auto"/>
          <w:lang w:val="en-US" w:eastAsia="zh-CN"/>
        </w:rPr>
        <w:t>物体在受重力或其他外力的作用下产生运动，打击人体或设备设施造成的事故。</w:t>
      </w:r>
    </w:p>
    <w:p w14:paraId="446797F3">
      <w:pPr>
        <w:bidi w:val="0"/>
        <w:rPr>
          <w:rFonts w:hint="default"/>
          <w:color w:val="auto"/>
          <w:lang w:val="en-US" w:eastAsia="zh-CN"/>
        </w:rPr>
      </w:pPr>
      <w:r>
        <w:rPr>
          <w:rFonts w:hint="default"/>
          <w:color w:val="auto"/>
          <w:lang w:val="en-US" w:eastAsia="zh-CN"/>
        </w:rPr>
        <w:t>人体在遭到外来物体的打击之后，可能出现不同程度的后果，轻则可致轻伤，重则出现重伤，造成肌体不可逆转的伤害后果，更为严重的是有可能致人死亡。</w:t>
      </w:r>
    </w:p>
    <w:p w14:paraId="39F5CF0F">
      <w:pPr>
        <w:bidi w:val="0"/>
        <w:rPr>
          <w:rFonts w:hint="default"/>
          <w:color w:val="auto"/>
          <w:lang w:val="en-US" w:eastAsia="zh-CN"/>
        </w:rPr>
      </w:pPr>
      <w:r>
        <w:rPr>
          <w:rFonts w:hint="default"/>
          <w:color w:val="auto"/>
          <w:lang w:val="en-US" w:eastAsia="zh-CN"/>
        </w:rPr>
        <w:t>存在发生物体打击危险性的场所</w:t>
      </w:r>
      <w:r>
        <w:rPr>
          <w:rFonts w:hint="eastAsia"/>
          <w:color w:val="auto"/>
          <w:lang w:val="en-US" w:eastAsia="zh-CN"/>
        </w:rPr>
        <w:t>（</w:t>
      </w:r>
      <w:r>
        <w:rPr>
          <w:rFonts w:hint="default"/>
          <w:color w:val="auto"/>
          <w:lang w:val="en-US" w:eastAsia="zh-CN"/>
        </w:rPr>
        <w:t>过程</w:t>
      </w:r>
      <w:r>
        <w:rPr>
          <w:rFonts w:hint="eastAsia"/>
          <w:color w:val="auto"/>
          <w:lang w:val="en-US" w:eastAsia="zh-CN"/>
        </w:rPr>
        <w:t>）</w:t>
      </w:r>
      <w:r>
        <w:rPr>
          <w:rFonts w:hint="default"/>
          <w:color w:val="auto"/>
          <w:lang w:val="en-US" w:eastAsia="zh-CN"/>
        </w:rPr>
        <w:t>主要有</w:t>
      </w:r>
      <w:r>
        <w:rPr>
          <w:rFonts w:hint="eastAsia"/>
          <w:color w:val="auto"/>
          <w:lang w:val="en-US" w:eastAsia="zh-CN"/>
        </w:rPr>
        <w:t>：</w:t>
      </w:r>
    </w:p>
    <w:p w14:paraId="4BAA90F1">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露天采场在不同台阶上同时作业时</w:t>
      </w:r>
      <w:r>
        <w:rPr>
          <w:rFonts w:hint="eastAsia"/>
          <w:color w:val="auto"/>
          <w:lang w:val="en-US" w:eastAsia="zh-CN"/>
        </w:rPr>
        <w:t>；（2）</w:t>
      </w:r>
      <w:r>
        <w:rPr>
          <w:rFonts w:hint="default"/>
          <w:color w:val="auto"/>
          <w:lang w:val="en-US" w:eastAsia="zh-CN"/>
        </w:rPr>
        <w:t>运输车辆装载的矿石或废石超高、超宽，人员靠近时</w:t>
      </w:r>
      <w:r>
        <w:rPr>
          <w:rFonts w:hint="eastAsia"/>
          <w:color w:val="auto"/>
          <w:lang w:val="en-US" w:eastAsia="zh-CN"/>
        </w:rPr>
        <w:t>；（3）</w:t>
      </w:r>
      <w:r>
        <w:rPr>
          <w:rFonts w:hint="default"/>
          <w:color w:val="auto"/>
          <w:lang w:val="en-US" w:eastAsia="zh-CN"/>
        </w:rPr>
        <w:t>其他场所。</w:t>
      </w:r>
    </w:p>
    <w:p w14:paraId="20C365B0">
      <w:pPr>
        <w:pStyle w:val="4"/>
        <w:bidi w:val="0"/>
        <w:rPr>
          <w:rFonts w:hint="default"/>
          <w:lang w:val="en-US" w:eastAsia="zh-CN"/>
        </w:rPr>
      </w:pPr>
      <w:bookmarkStart w:id="238" w:name="_Toc5184"/>
      <w:r>
        <w:rPr>
          <w:rFonts w:hint="eastAsia"/>
          <w:lang w:val="en-US" w:eastAsia="zh-CN"/>
        </w:rPr>
        <w:t xml:space="preserve">3.1.7 </w:t>
      </w:r>
      <w:r>
        <w:rPr>
          <w:rFonts w:hint="eastAsia"/>
          <w:b/>
          <w:bCs/>
          <w:color w:val="auto"/>
          <w:lang w:val="en-US" w:eastAsia="zh-CN"/>
        </w:rPr>
        <w:t>起重致害</w:t>
      </w:r>
      <w:bookmarkEnd w:id="238"/>
    </w:p>
    <w:p w14:paraId="5E1743CD">
      <w:pPr>
        <w:rPr>
          <w:rFonts w:hint="default"/>
          <w:color w:val="auto"/>
          <w:lang w:val="en-US" w:eastAsia="zh-CN"/>
        </w:rPr>
      </w:pPr>
      <w:r>
        <w:rPr>
          <w:rFonts w:hint="default"/>
          <w:color w:val="auto"/>
          <w:lang w:val="en-US" w:eastAsia="zh-CN"/>
        </w:rPr>
        <w:t>起重机械在运行、检修、试验过程中因发生挤压、倾覆、折断、倒塌、部件坠落、吊具打击、起重物坠落等造成的事故。</w:t>
      </w:r>
    </w:p>
    <w:p w14:paraId="7FE2C51C">
      <w:pPr>
        <w:bidi w:val="0"/>
        <w:rPr>
          <w:rFonts w:hint="default"/>
          <w:color w:val="auto"/>
          <w:lang w:val="en-US" w:eastAsia="zh-CN"/>
        </w:rPr>
      </w:pPr>
      <w:r>
        <w:rPr>
          <w:rFonts w:hint="default"/>
          <w:color w:val="auto"/>
          <w:lang w:val="en-US" w:eastAsia="zh-CN"/>
        </w:rPr>
        <w:t>存在</w:t>
      </w:r>
      <w:r>
        <w:rPr>
          <w:rFonts w:hint="default"/>
          <w:b w:val="0"/>
          <w:bCs w:val="0"/>
          <w:color w:val="auto"/>
          <w:lang w:val="en-US" w:eastAsia="zh-CN"/>
        </w:rPr>
        <w:t>发生</w:t>
      </w:r>
      <w:r>
        <w:rPr>
          <w:rFonts w:hint="eastAsia"/>
          <w:b w:val="0"/>
          <w:bCs w:val="0"/>
          <w:color w:val="auto"/>
          <w:lang w:val="en-US" w:eastAsia="zh-CN"/>
        </w:rPr>
        <w:t>起重致害</w:t>
      </w:r>
      <w:r>
        <w:rPr>
          <w:rFonts w:hint="default"/>
          <w:b w:val="0"/>
          <w:bCs w:val="0"/>
          <w:color w:val="auto"/>
          <w:lang w:val="en-US" w:eastAsia="zh-CN"/>
        </w:rPr>
        <w:t>的场</w:t>
      </w:r>
      <w:r>
        <w:rPr>
          <w:rFonts w:hint="default"/>
          <w:color w:val="auto"/>
          <w:lang w:val="en-US" w:eastAsia="zh-CN"/>
        </w:rPr>
        <w:t>所</w:t>
      </w:r>
      <w:r>
        <w:rPr>
          <w:rFonts w:hint="eastAsia"/>
          <w:color w:val="auto"/>
          <w:lang w:val="en-US" w:eastAsia="zh-CN"/>
        </w:rPr>
        <w:t>（</w:t>
      </w:r>
      <w:r>
        <w:rPr>
          <w:rFonts w:hint="default"/>
          <w:color w:val="auto"/>
          <w:lang w:val="en-US" w:eastAsia="zh-CN"/>
        </w:rPr>
        <w:t>过程</w:t>
      </w:r>
      <w:r>
        <w:rPr>
          <w:rFonts w:hint="eastAsia"/>
          <w:color w:val="auto"/>
          <w:lang w:val="en-US" w:eastAsia="zh-CN"/>
        </w:rPr>
        <w:t>）</w:t>
      </w:r>
      <w:r>
        <w:rPr>
          <w:rFonts w:hint="default"/>
          <w:color w:val="auto"/>
          <w:lang w:val="en-US" w:eastAsia="zh-CN"/>
        </w:rPr>
        <w:t>主要有</w:t>
      </w:r>
      <w:r>
        <w:rPr>
          <w:rFonts w:hint="eastAsia"/>
          <w:color w:val="auto"/>
          <w:lang w:val="en-US" w:eastAsia="zh-CN"/>
        </w:rPr>
        <w:t>：</w:t>
      </w:r>
    </w:p>
    <w:p w14:paraId="32F8E3BF">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设备吊装过程</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使用了起重设备的场所</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起重设备的安装、检修、维护过程。</w:t>
      </w:r>
    </w:p>
    <w:p w14:paraId="20F2DDD2">
      <w:pPr>
        <w:pStyle w:val="4"/>
        <w:bidi w:val="0"/>
        <w:rPr>
          <w:rFonts w:hint="default"/>
          <w:lang w:val="en-US" w:eastAsia="zh-CN"/>
        </w:rPr>
      </w:pPr>
      <w:bookmarkStart w:id="239" w:name="_Toc13397"/>
      <w:r>
        <w:rPr>
          <w:rFonts w:hint="eastAsia"/>
          <w:lang w:val="en-US" w:eastAsia="zh-CN"/>
        </w:rPr>
        <w:t>3.1.8 高处坠落、跌落</w:t>
      </w:r>
      <w:bookmarkEnd w:id="239"/>
    </w:p>
    <w:p w14:paraId="41D72A05">
      <w:pPr>
        <w:rPr>
          <w:rFonts w:hint="default"/>
          <w:color w:val="auto"/>
          <w:lang w:val="en-US" w:eastAsia="zh-CN"/>
        </w:rPr>
      </w:pPr>
      <w:r>
        <w:rPr>
          <w:rFonts w:hint="default"/>
          <w:color w:val="auto"/>
          <w:lang w:val="en-US" w:eastAsia="zh-CN"/>
        </w:rPr>
        <w:t>非高处作业时，坠落或跌倒至非液体或非液态物质基准面造成的事故</w:t>
      </w:r>
      <w:r>
        <w:rPr>
          <w:rFonts w:hint="eastAsia"/>
          <w:color w:val="auto"/>
          <w:lang w:val="en-US" w:eastAsia="zh-CN"/>
        </w:rPr>
        <w:t>。</w:t>
      </w:r>
    </w:p>
    <w:p w14:paraId="3D40935F">
      <w:pPr>
        <w:rPr>
          <w:rFonts w:hint="default"/>
          <w:color w:val="auto"/>
          <w:lang w:val="en-US" w:eastAsia="zh-CN"/>
        </w:rPr>
      </w:pPr>
      <w:r>
        <w:rPr>
          <w:rFonts w:hint="default"/>
          <w:color w:val="auto"/>
          <w:lang w:val="en-US" w:eastAsia="zh-CN"/>
        </w:rPr>
        <w:t>高处作业时发生坠落造成的事故</w:t>
      </w:r>
      <w:r>
        <w:rPr>
          <w:rFonts w:hint="eastAsia"/>
          <w:color w:val="auto"/>
          <w:lang w:val="en-US" w:eastAsia="zh-CN"/>
        </w:rPr>
        <w:t>。</w:t>
      </w:r>
    </w:p>
    <w:p w14:paraId="1BD504DB">
      <w:pPr>
        <w:rPr>
          <w:rFonts w:hint="default"/>
          <w:color w:val="auto"/>
          <w:lang w:val="en-US" w:eastAsia="zh-CN"/>
        </w:rPr>
      </w:pPr>
      <w:r>
        <w:rPr>
          <w:rFonts w:hint="default"/>
          <w:color w:val="auto"/>
          <w:lang w:val="en-US" w:eastAsia="zh-CN"/>
        </w:rPr>
        <w:t>造成高处坠落</w:t>
      </w:r>
      <w:r>
        <w:rPr>
          <w:rFonts w:hint="eastAsia"/>
          <w:color w:val="auto"/>
          <w:lang w:val="en-US" w:eastAsia="zh-CN"/>
        </w:rPr>
        <w:t>、</w:t>
      </w:r>
      <w:r>
        <w:rPr>
          <w:rFonts w:hint="default"/>
          <w:color w:val="auto"/>
          <w:lang w:val="en-US" w:eastAsia="zh-CN"/>
        </w:rPr>
        <w:t>坠落的主要原因有</w:t>
      </w: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没有按要求使用安全带、安全绳</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没有按要求穿防滑性能良好的软底鞋</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高处作业时安全防护设施损坏</w:t>
      </w: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使用安全保护装置不完善的设备、设施进行作业</w:t>
      </w: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工作责任心不强，主观判断失误</w:t>
      </w: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作业人员疏忽大意，疲劳过度。</w:t>
      </w:r>
    </w:p>
    <w:p w14:paraId="3807A367">
      <w:pPr>
        <w:rPr>
          <w:rFonts w:hint="default"/>
          <w:color w:val="auto"/>
          <w:lang w:val="en-US" w:eastAsia="zh-CN"/>
        </w:rPr>
      </w:pPr>
      <w:r>
        <w:rPr>
          <w:rFonts w:hint="default"/>
          <w:color w:val="auto"/>
          <w:lang w:val="en-US" w:eastAsia="zh-CN"/>
        </w:rPr>
        <w:t>产生高处坠落</w:t>
      </w:r>
      <w:r>
        <w:rPr>
          <w:rFonts w:hint="eastAsia"/>
          <w:color w:val="auto"/>
          <w:lang w:val="en-US" w:eastAsia="zh-CN"/>
        </w:rPr>
        <w:t>、</w:t>
      </w:r>
      <w:r>
        <w:rPr>
          <w:rFonts w:hint="default"/>
          <w:color w:val="auto"/>
          <w:lang w:val="en-US" w:eastAsia="zh-CN"/>
        </w:rPr>
        <w:t>坠落的场所</w:t>
      </w: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采场的各作业台阶</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上、下大型机械设备的过程</w:t>
      </w:r>
      <w:r>
        <w:rPr>
          <w:rFonts w:hint="eastAsia"/>
          <w:color w:val="auto"/>
          <w:lang w:val="en-US" w:eastAsia="zh-CN"/>
        </w:rPr>
        <w:t>；（3）</w:t>
      </w:r>
      <w:r>
        <w:rPr>
          <w:rFonts w:hint="default"/>
          <w:color w:val="auto"/>
          <w:lang w:val="en-US" w:eastAsia="zh-CN"/>
        </w:rPr>
        <w:t>各种存在平台及登高梯台的场所</w:t>
      </w:r>
      <w:r>
        <w:rPr>
          <w:rFonts w:hint="eastAsia"/>
          <w:color w:val="auto"/>
          <w:lang w:val="en-US" w:eastAsia="zh-CN"/>
        </w:rPr>
        <w:t>；（4）</w:t>
      </w:r>
      <w:r>
        <w:rPr>
          <w:rFonts w:hint="default"/>
          <w:color w:val="auto"/>
          <w:lang w:val="en-US" w:eastAsia="zh-CN"/>
        </w:rPr>
        <w:t>其他高处作业、检修、维护过程。</w:t>
      </w:r>
    </w:p>
    <w:p w14:paraId="69A03D98">
      <w:pPr>
        <w:pStyle w:val="4"/>
        <w:bidi w:val="0"/>
        <w:rPr>
          <w:rFonts w:hint="default"/>
          <w:lang w:val="en-US" w:eastAsia="zh-CN"/>
        </w:rPr>
      </w:pPr>
      <w:bookmarkStart w:id="240" w:name="_Toc25046"/>
      <w:r>
        <w:rPr>
          <w:rFonts w:hint="eastAsia"/>
          <w:lang w:val="en-US" w:eastAsia="zh-CN"/>
        </w:rPr>
        <w:t xml:space="preserve">3.1.9 </w:t>
      </w:r>
      <w:r>
        <w:rPr>
          <w:rFonts w:hint="default"/>
          <w:lang w:val="en-US" w:eastAsia="zh-CN"/>
        </w:rPr>
        <w:t>淹溺</w:t>
      </w:r>
      <w:bookmarkEnd w:id="240"/>
    </w:p>
    <w:p w14:paraId="2E52B638">
      <w:pPr>
        <w:bidi w:val="0"/>
        <w:rPr>
          <w:rFonts w:hint="default"/>
          <w:color w:val="auto"/>
          <w:lang w:val="en-US" w:eastAsia="zh-CN"/>
        </w:rPr>
      </w:pPr>
      <w:r>
        <w:rPr>
          <w:rFonts w:hint="default"/>
          <w:color w:val="auto"/>
          <w:lang w:val="en-US" w:eastAsia="zh-CN"/>
        </w:rPr>
        <w:t>大量液体或液态物质经口、鼻进入肺部使呼吸道阻塞，引起人体急性缺氧窒息伤亡的事故。</w:t>
      </w:r>
    </w:p>
    <w:p w14:paraId="02EF4AE0">
      <w:pPr>
        <w:bidi w:val="0"/>
        <w:rPr>
          <w:rFonts w:hint="default"/>
          <w:color w:val="auto"/>
          <w:lang w:val="en-US" w:eastAsia="zh-CN"/>
        </w:rPr>
      </w:pPr>
      <w:r>
        <w:rPr>
          <w:rFonts w:hint="default"/>
          <w:color w:val="auto"/>
          <w:lang w:val="en-US" w:eastAsia="zh-CN"/>
        </w:rPr>
        <w:t>容易发生淹溺的场所主要有</w:t>
      </w:r>
      <w:r>
        <w:rPr>
          <w:rFonts w:hint="eastAsia"/>
          <w:color w:val="auto"/>
          <w:lang w:val="en-US" w:eastAsia="zh-CN"/>
        </w:rPr>
        <w:t>：矿山破碎站旁的高位水池</w:t>
      </w:r>
      <w:r>
        <w:rPr>
          <w:rFonts w:hint="default"/>
          <w:color w:val="auto"/>
          <w:lang w:val="en-US" w:eastAsia="zh-CN"/>
        </w:rPr>
        <w:t>。</w:t>
      </w:r>
    </w:p>
    <w:p w14:paraId="7D54FE73">
      <w:pPr>
        <w:pStyle w:val="4"/>
        <w:bidi w:val="0"/>
        <w:rPr>
          <w:rFonts w:hint="default"/>
          <w:lang w:val="en-US" w:eastAsia="zh-CN"/>
        </w:rPr>
      </w:pPr>
      <w:bookmarkStart w:id="241" w:name="_Toc3590"/>
      <w:r>
        <w:rPr>
          <w:rFonts w:hint="eastAsia"/>
          <w:lang w:val="en-US" w:eastAsia="zh-CN"/>
        </w:rPr>
        <w:t xml:space="preserve">3.1.10 </w:t>
      </w:r>
      <w:r>
        <w:rPr>
          <w:rFonts w:hint="eastAsia"/>
          <w:b/>
          <w:bCs/>
          <w:i w:val="0"/>
          <w:iCs w:val="0"/>
          <w:color w:val="auto"/>
          <w:lang w:val="en-US" w:eastAsia="zh-CN"/>
        </w:rPr>
        <w:t>容器爆炸</w:t>
      </w:r>
      <w:bookmarkEnd w:id="241"/>
    </w:p>
    <w:p w14:paraId="3ADB6378">
      <w:pPr>
        <w:rPr>
          <w:rFonts w:hint="default"/>
          <w:color w:val="auto"/>
          <w:lang w:val="en-US" w:eastAsia="zh-CN"/>
        </w:rPr>
      </w:pPr>
      <w:r>
        <w:rPr>
          <w:rFonts w:hint="default"/>
          <w:color w:val="auto"/>
          <w:lang w:val="en-US" w:eastAsia="zh-CN"/>
        </w:rPr>
        <w:t>各类容器</w:t>
      </w:r>
      <w:r>
        <w:rPr>
          <w:rFonts w:hint="eastAsia"/>
          <w:color w:val="auto"/>
          <w:lang w:val="en-US" w:eastAsia="zh-CN"/>
        </w:rPr>
        <w:t>（如乙炔瓶、氧气瓶等）</w:t>
      </w:r>
      <w:r>
        <w:rPr>
          <w:rFonts w:hint="default"/>
          <w:color w:val="auto"/>
          <w:lang w:val="en-US" w:eastAsia="zh-CN"/>
        </w:rPr>
        <w:t>由于质量缺陷、使用不当或维护不当等原因发生爆炸造成的事故。</w:t>
      </w:r>
    </w:p>
    <w:p w14:paraId="6C258B08">
      <w:pPr>
        <w:bidi w:val="0"/>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容器爆炸的原因</w:t>
      </w:r>
    </w:p>
    <w:p w14:paraId="47AF003A">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管路或容器内部压力超压</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使用时间太长或损伤造成强度下降</w:t>
      </w: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安全保护装置等失效</w:t>
      </w:r>
      <w:r>
        <w:rPr>
          <w:rFonts w:hint="eastAsia"/>
          <w:color w:val="auto"/>
          <w:lang w:val="en-US" w:eastAsia="zh-CN"/>
        </w:rPr>
        <w:t>；（4）</w:t>
      </w:r>
      <w:r>
        <w:rPr>
          <w:rFonts w:hint="default"/>
          <w:color w:val="auto"/>
          <w:lang w:val="en-US" w:eastAsia="zh-CN"/>
        </w:rPr>
        <w:t>违章操作等。</w:t>
      </w:r>
    </w:p>
    <w:p w14:paraId="0F7EF1AC">
      <w:pPr>
        <w:bidi w:val="0"/>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发生容器爆炸的场所</w:t>
      </w:r>
    </w:p>
    <w:p w14:paraId="376A6D79">
      <w:pPr>
        <w:bidi w:val="0"/>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输送生产用压缩动力空气的管路</w:t>
      </w: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储存压缩动力空气的容气瓶使用和存放点。</w:t>
      </w:r>
    </w:p>
    <w:p w14:paraId="26479BE0">
      <w:pPr>
        <w:pStyle w:val="4"/>
        <w:bidi w:val="0"/>
        <w:rPr>
          <w:rFonts w:hint="default"/>
          <w:lang w:val="en-US" w:eastAsia="zh-CN"/>
        </w:rPr>
      </w:pPr>
      <w:bookmarkStart w:id="242" w:name="_Toc4490"/>
      <w:r>
        <w:rPr>
          <w:rFonts w:hint="eastAsia"/>
          <w:lang w:val="en-US" w:eastAsia="zh-CN"/>
        </w:rPr>
        <w:t>3.1.11 其他</w:t>
      </w:r>
      <w:bookmarkEnd w:id="242"/>
    </w:p>
    <w:p w14:paraId="05D1DEAD">
      <w:pPr>
        <w:rPr>
          <w:rFonts w:hint="eastAsia"/>
          <w:color w:val="auto"/>
          <w:lang w:val="en-US" w:eastAsia="zh-CN"/>
        </w:rPr>
      </w:pPr>
      <w:r>
        <w:rPr>
          <w:rFonts w:hint="default"/>
          <w:color w:val="auto"/>
          <w:lang w:val="en-US" w:eastAsia="zh-CN"/>
        </w:rPr>
        <w:t>不能归于</w:t>
      </w:r>
      <w:r>
        <w:rPr>
          <w:rFonts w:hint="eastAsia"/>
          <w:color w:val="auto"/>
          <w:lang w:val="en-US" w:eastAsia="zh-CN"/>
        </w:rPr>
        <w:t>《生产安全事故分类与编码》（GB6441-2025）</w:t>
      </w:r>
      <w:r>
        <w:rPr>
          <w:rFonts w:hint="default"/>
          <w:color w:val="auto"/>
          <w:lang w:val="en-US" w:eastAsia="zh-CN"/>
        </w:rPr>
        <w:t>前26种类型的事故</w:t>
      </w:r>
      <w:r>
        <w:rPr>
          <w:rFonts w:hint="eastAsia"/>
          <w:color w:val="auto"/>
          <w:lang w:val="en-US" w:eastAsia="zh-CN"/>
        </w:rPr>
        <w:t>。</w:t>
      </w:r>
    </w:p>
    <w:p w14:paraId="2891A4C6">
      <w:pPr>
        <w:rPr>
          <w:rFonts w:hint="default"/>
          <w:color w:val="auto"/>
          <w:lang w:val="en-US" w:eastAsia="zh-CN"/>
        </w:rPr>
      </w:pPr>
      <w:r>
        <w:rPr>
          <w:rFonts w:hint="default"/>
          <w:color w:val="auto"/>
          <w:lang w:val="en-US" w:eastAsia="zh-CN"/>
        </w:rPr>
        <w:t>复合型事故中无法归类的特殊致害方式：如冲击波伤害、特殊气体物理冲击等</w:t>
      </w:r>
      <w:r>
        <w:rPr>
          <w:rFonts w:hint="eastAsia"/>
          <w:color w:val="auto"/>
          <w:lang w:val="en-US" w:eastAsia="zh-CN"/>
        </w:rPr>
        <w:t>。</w:t>
      </w:r>
    </w:p>
    <w:bookmarkEnd w:id="231"/>
    <w:bookmarkEnd w:id="232"/>
    <w:bookmarkEnd w:id="233"/>
    <w:p w14:paraId="42599152">
      <w:pPr>
        <w:pStyle w:val="3"/>
        <w:bidi w:val="0"/>
        <w:rPr>
          <w:rFonts w:hint="default"/>
          <w:color w:val="auto"/>
          <w:lang w:val="en-US" w:eastAsia="zh-CN"/>
        </w:rPr>
      </w:pPr>
      <w:bookmarkStart w:id="243" w:name="_Toc29555"/>
      <w:bookmarkStart w:id="244" w:name="_Toc15410"/>
      <w:bookmarkStart w:id="245" w:name="_Toc19087"/>
      <w:bookmarkStart w:id="246" w:name="_Toc11660"/>
      <w:r>
        <w:rPr>
          <w:rFonts w:hint="default"/>
          <w:color w:val="auto"/>
          <w:lang w:val="en-US" w:eastAsia="zh-CN"/>
        </w:rPr>
        <w:t>3.2 有害因素分析</w:t>
      </w:r>
      <w:bookmarkEnd w:id="243"/>
      <w:bookmarkEnd w:id="244"/>
      <w:bookmarkEnd w:id="245"/>
      <w:bookmarkEnd w:id="246"/>
    </w:p>
    <w:p w14:paraId="3AEEF2DC">
      <w:pPr>
        <w:pStyle w:val="4"/>
        <w:bidi w:val="0"/>
        <w:rPr>
          <w:rFonts w:hint="default"/>
          <w:color w:val="auto"/>
          <w:lang w:val="en-US" w:eastAsia="zh-CN"/>
        </w:rPr>
      </w:pPr>
      <w:bookmarkStart w:id="247" w:name="_Toc29780"/>
      <w:bookmarkStart w:id="248" w:name="_Toc12207"/>
      <w:bookmarkStart w:id="249" w:name="_Toc25225"/>
      <w:bookmarkStart w:id="250" w:name="_Toc10021"/>
      <w:r>
        <w:rPr>
          <w:rFonts w:hint="default"/>
          <w:color w:val="auto"/>
          <w:lang w:val="en-US" w:eastAsia="zh-CN"/>
        </w:rPr>
        <w:t>3.2.1 粉尘</w:t>
      </w:r>
      <w:bookmarkEnd w:id="247"/>
      <w:bookmarkEnd w:id="248"/>
      <w:bookmarkEnd w:id="249"/>
      <w:bookmarkEnd w:id="250"/>
    </w:p>
    <w:p w14:paraId="799A3D90">
      <w:pPr>
        <w:rPr>
          <w:rFonts w:hint="default"/>
          <w:color w:val="auto"/>
          <w:lang w:val="en-US" w:eastAsia="zh-CN"/>
        </w:rPr>
      </w:pPr>
      <w:r>
        <w:rPr>
          <w:rFonts w:hint="default"/>
          <w:color w:val="auto"/>
          <w:lang w:val="en-US" w:eastAsia="zh-CN"/>
        </w:rPr>
        <w:t>粉尘是矿山的主要职业危害之一。粉尘的危害性大小与粉尘的分散度、游离二氧化硅含量和粉尘物质组成有关。随着游离二氧化硅含量的增加、含硫量的增加，粉尘的危害增大。在不同粒径的粉尘中，呼吸性粉尘对人的危害较大。在矿山生产过程中会产生大量的粉尘，若通风防尘系统不符合规程要求，个体劳动防护用品失效，从业人员长期处于粉尘超标的作业环境中，易患职业病。</w:t>
      </w:r>
    </w:p>
    <w:p w14:paraId="782B9F96">
      <w:pPr>
        <w:rPr>
          <w:rFonts w:hint="default"/>
          <w:color w:val="auto"/>
          <w:lang w:val="en-US" w:eastAsia="zh-CN"/>
        </w:rPr>
      </w:pPr>
      <w:r>
        <w:rPr>
          <w:rFonts w:hint="default"/>
          <w:color w:val="auto"/>
          <w:lang w:val="en-US" w:eastAsia="zh-CN"/>
        </w:rPr>
        <w:t>矿山生产过程中主要产尘点有</w:t>
      </w:r>
      <w:r>
        <w:rPr>
          <w:rFonts w:hint="eastAsia"/>
          <w:color w:val="auto"/>
          <w:lang w:val="en-US" w:eastAsia="zh-CN"/>
        </w:rPr>
        <w:t>：</w:t>
      </w:r>
      <w:r>
        <w:rPr>
          <w:rFonts w:hint="default"/>
          <w:color w:val="auto"/>
          <w:lang w:val="en-US" w:eastAsia="zh-CN"/>
        </w:rPr>
        <w:t>凿岩和爆破作业、装矿运输作业等。</w:t>
      </w:r>
    </w:p>
    <w:p w14:paraId="79F4E715">
      <w:pPr>
        <w:pStyle w:val="4"/>
        <w:bidi w:val="0"/>
        <w:rPr>
          <w:rFonts w:hint="default"/>
          <w:color w:val="auto"/>
          <w:lang w:val="en-US" w:eastAsia="zh-CN"/>
        </w:rPr>
      </w:pPr>
      <w:bookmarkStart w:id="251" w:name="_Toc22657"/>
      <w:bookmarkStart w:id="252" w:name="_Toc2142"/>
      <w:bookmarkStart w:id="253" w:name="_Toc6672"/>
      <w:bookmarkStart w:id="254" w:name="_Toc23698"/>
      <w:r>
        <w:rPr>
          <w:rFonts w:hint="default"/>
          <w:color w:val="auto"/>
          <w:lang w:val="en-US" w:eastAsia="zh-CN"/>
        </w:rPr>
        <w:t>3.2.2 噪声与振动</w:t>
      </w:r>
      <w:bookmarkEnd w:id="251"/>
      <w:bookmarkEnd w:id="252"/>
      <w:bookmarkEnd w:id="253"/>
      <w:bookmarkEnd w:id="254"/>
    </w:p>
    <w:p w14:paraId="410637E2">
      <w:pPr>
        <w:rPr>
          <w:rFonts w:hint="default"/>
          <w:color w:val="auto"/>
          <w:lang w:val="en-US" w:eastAsia="zh-CN"/>
        </w:rPr>
      </w:pPr>
      <w:r>
        <w:rPr>
          <w:rFonts w:hint="default"/>
          <w:color w:val="auto"/>
          <w:lang w:val="en-US" w:eastAsia="zh-CN"/>
        </w:rPr>
        <w:t>噪声就是使人感到不愉快声音，不仅对人体的听力、心理、生理产生影响，还可引起职业性耳聋，对生产活动也会产生不利影响。在高噪声环境中作业，人的心情易烦躁，容易疲劳，反应迟钝，工作效率低，可诱发事故。噪声产生于物体的振动，振动是生产中常见的有害因素，它与噪声相结合作用于人体。振动可直接作用于人体，也可通过其他物体作用于人体，按其作用部位可分为局部振动和全身振动。振动多见于使用风动工具、电动工具及其他有较强机械磨擦作用的地方。</w:t>
      </w:r>
    </w:p>
    <w:p w14:paraId="6E156F91">
      <w:pPr>
        <w:rPr>
          <w:rFonts w:hint="default"/>
          <w:color w:val="auto"/>
          <w:lang w:val="en-US" w:eastAsia="zh-CN"/>
        </w:rPr>
      </w:pPr>
      <w:r>
        <w:rPr>
          <w:rFonts w:hint="default"/>
          <w:color w:val="auto"/>
          <w:lang w:val="en-US" w:eastAsia="zh-CN"/>
        </w:rPr>
        <w:t>矿山生产过程中，噪声与振动主要来源于气动凿岩工具的空气动力噪声，各设备在运转中的振动、磨擦、碰撞而产生的机械噪声和电动机等电气设备所产生的电磁辐射噪声。</w:t>
      </w:r>
    </w:p>
    <w:p w14:paraId="51255C94">
      <w:pPr>
        <w:rPr>
          <w:rFonts w:hint="default"/>
          <w:color w:val="auto"/>
          <w:lang w:val="en-US" w:eastAsia="zh-CN"/>
        </w:rPr>
      </w:pPr>
      <w:r>
        <w:rPr>
          <w:rFonts w:hint="default"/>
          <w:color w:val="auto"/>
          <w:lang w:val="en-US" w:eastAsia="zh-CN"/>
        </w:rPr>
        <w:t>产生的噪声源和振动的设备和场所主要有</w:t>
      </w:r>
      <w:r>
        <w:rPr>
          <w:rFonts w:hint="eastAsia"/>
          <w:color w:val="auto"/>
          <w:lang w:val="en-US" w:eastAsia="zh-CN"/>
        </w:rPr>
        <w:t>：</w:t>
      </w:r>
    </w:p>
    <w:p w14:paraId="0C4782C9">
      <w:pPr>
        <w:rPr>
          <w:rFonts w:hint="default"/>
          <w:color w:val="auto"/>
          <w:lang w:val="en-US" w:eastAsia="zh-CN"/>
        </w:rPr>
      </w:pPr>
      <w:r>
        <w:rPr>
          <w:rFonts w:hint="default"/>
          <w:color w:val="auto"/>
          <w:lang w:val="en-US" w:eastAsia="zh-CN"/>
        </w:rPr>
        <w:t>1</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空压机</w:t>
      </w:r>
      <w:r>
        <w:rPr>
          <w:rFonts w:hint="eastAsia"/>
          <w:color w:val="auto"/>
          <w:lang w:val="en-US" w:eastAsia="zh-CN"/>
        </w:rPr>
        <w:t>；</w:t>
      </w:r>
    </w:p>
    <w:p w14:paraId="133EEDD5">
      <w:pPr>
        <w:rPr>
          <w:rFonts w:hint="default"/>
          <w:color w:val="auto"/>
          <w:lang w:val="en-US" w:eastAsia="zh-CN"/>
        </w:rPr>
      </w:pPr>
      <w:r>
        <w:rPr>
          <w:rFonts w:hint="default"/>
          <w:color w:val="auto"/>
          <w:lang w:val="en-US" w:eastAsia="zh-CN"/>
        </w:rPr>
        <w:t>2</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爆破作业场所</w:t>
      </w:r>
      <w:r>
        <w:rPr>
          <w:rFonts w:hint="eastAsia"/>
          <w:color w:val="auto"/>
          <w:lang w:val="en-US" w:eastAsia="zh-CN"/>
        </w:rPr>
        <w:t>；</w:t>
      </w:r>
    </w:p>
    <w:p w14:paraId="30C8864D">
      <w:pPr>
        <w:rPr>
          <w:rFonts w:hint="default"/>
          <w:color w:val="auto"/>
          <w:lang w:val="en-US" w:eastAsia="zh-CN"/>
        </w:rPr>
      </w:pPr>
      <w:r>
        <w:rPr>
          <w:rFonts w:hint="default"/>
          <w:color w:val="auto"/>
          <w:lang w:val="en-US" w:eastAsia="zh-CN"/>
        </w:rPr>
        <w:t>3</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凿岩设备和凿岩工作面</w:t>
      </w:r>
      <w:r>
        <w:rPr>
          <w:rFonts w:hint="eastAsia"/>
          <w:color w:val="auto"/>
          <w:lang w:val="en-US" w:eastAsia="zh-CN"/>
        </w:rPr>
        <w:t>；</w:t>
      </w:r>
    </w:p>
    <w:p w14:paraId="116687E8">
      <w:pPr>
        <w:rPr>
          <w:rFonts w:hint="default"/>
          <w:color w:val="auto"/>
          <w:lang w:val="en-US" w:eastAsia="zh-CN"/>
        </w:rPr>
      </w:pPr>
      <w:r>
        <w:rPr>
          <w:rFonts w:hint="default"/>
          <w:color w:val="auto"/>
          <w:lang w:val="en-US" w:eastAsia="zh-CN"/>
        </w:rPr>
        <w:t>4</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装岩机和装岩作业场所</w:t>
      </w:r>
      <w:r>
        <w:rPr>
          <w:rFonts w:hint="eastAsia"/>
          <w:color w:val="auto"/>
          <w:lang w:val="en-US" w:eastAsia="zh-CN"/>
        </w:rPr>
        <w:t>；</w:t>
      </w:r>
    </w:p>
    <w:p w14:paraId="275892D8">
      <w:pPr>
        <w:pStyle w:val="4"/>
        <w:bidi w:val="0"/>
        <w:rPr>
          <w:rFonts w:hint="default"/>
          <w:color w:val="auto"/>
          <w:lang w:val="en-US" w:eastAsia="zh-CN"/>
        </w:rPr>
      </w:pPr>
      <w:bookmarkStart w:id="255" w:name="_Toc1821"/>
      <w:bookmarkStart w:id="256" w:name="_Toc6536"/>
      <w:bookmarkStart w:id="257" w:name="_Toc29833"/>
      <w:bookmarkStart w:id="258" w:name="_Toc28086"/>
      <w:r>
        <w:rPr>
          <w:rFonts w:hint="default"/>
          <w:color w:val="auto"/>
          <w:lang w:val="en-US" w:eastAsia="zh-CN"/>
        </w:rPr>
        <w:t>3.</w:t>
      </w:r>
      <w:r>
        <w:rPr>
          <w:rFonts w:hint="eastAsia"/>
          <w:color w:val="auto"/>
          <w:lang w:val="en-US" w:eastAsia="zh-CN"/>
        </w:rPr>
        <w:t>2</w:t>
      </w:r>
      <w:r>
        <w:rPr>
          <w:rFonts w:hint="default"/>
          <w:color w:val="auto"/>
          <w:lang w:val="en-US" w:eastAsia="zh-CN"/>
        </w:rPr>
        <w:t>.</w:t>
      </w:r>
      <w:r>
        <w:rPr>
          <w:rFonts w:hint="eastAsia"/>
          <w:color w:val="auto"/>
          <w:lang w:val="en-US" w:eastAsia="zh-CN"/>
        </w:rPr>
        <w:t xml:space="preserve">3 </w:t>
      </w:r>
      <w:r>
        <w:rPr>
          <w:rFonts w:hint="default"/>
          <w:color w:val="auto"/>
          <w:lang w:val="en-US" w:eastAsia="zh-CN"/>
        </w:rPr>
        <w:t>高低温</w:t>
      </w:r>
      <w:bookmarkEnd w:id="255"/>
      <w:bookmarkEnd w:id="256"/>
      <w:bookmarkEnd w:id="257"/>
      <w:bookmarkEnd w:id="258"/>
    </w:p>
    <w:p w14:paraId="71EF99E3">
      <w:pPr>
        <w:bidi w:val="0"/>
        <w:rPr>
          <w:rFonts w:hint="default"/>
          <w:color w:val="auto"/>
          <w:lang w:val="en-US" w:eastAsia="zh-CN"/>
        </w:rPr>
      </w:pPr>
      <w:r>
        <w:rPr>
          <w:rFonts w:hint="default"/>
          <w:color w:val="auto"/>
          <w:lang w:val="en-US" w:eastAsia="zh-CN"/>
        </w:rPr>
        <w:t>日最高气温达到或超过35℃时称为高温，连续数天（3天以上）的高温天气过程称为高温热浪（也称为高温酷暑）。</w:t>
      </w:r>
    </w:p>
    <w:p w14:paraId="40E9FE17">
      <w:pPr>
        <w:bidi w:val="0"/>
        <w:rPr>
          <w:rFonts w:hint="default"/>
          <w:color w:val="auto"/>
          <w:lang w:val="en-US" w:eastAsia="zh-CN"/>
        </w:rPr>
      </w:pPr>
      <w:r>
        <w:rPr>
          <w:rFonts w:hint="default"/>
          <w:color w:val="auto"/>
          <w:lang w:val="en-US" w:eastAsia="zh-CN"/>
        </w:rPr>
        <w:t>低温作业是指在生产劳动过程中，工作地点平均气温等于或低于5℃的作业。</w:t>
      </w:r>
    </w:p>
    <w:p w14:paraId="022DC61C">
      <w:pPr>
        <w:rPr>
          <w:rFonts w:hint="default"/>
          <w:color w:val="auto"/>
          <w:lang w:val="en-US" w:eastAsia="zh-CN"/>
        </w:rPr>
      </w:pPr>
      <w:r>
        <w:rPr>
          <w:rFonts w:hint="default"/>
          <w:color w:val="auto"/>
          <w:lang w:val="en-US" w:eastAsia="zh-CN"/>
        </w:rPr>
        <w:t>据</w:t>
      </w:r>
      <w:r>
        <w:rPr>
          <w:rFonts w:hint="eastAsia"/>
          <w:color w:val="auto"/>
          <w:lang w:val="en-US" w:eastAsia="zh-CN"/>
        </w:rPr>
        <w:t>弋阳县</w:t>
      </w:r>
      <w:r>
        <w:rPr>
          <w:rFonts w:hint="default"/>
          <w:color w:val="auto"/>
          <w:lang w:val="en-US" w:eastAsia="zh-CN"/>
        </w:rPr>
        <w:t>气象局提供的气象统计资料，最高气温40.7℃，最低气温</w:t>
      </w:r>
      <w:r>
        <w:rPr>
          <w:rFonts w:hint="eastAsia" w:asciiTheme="minorEastAsia" w:hAnsiTheme="minorEastAsia" w:eastAsiaTheme="minorEastAsia" w:cstheme="minorEastAsia"/>
          <w:color w:val="auto"/>
          <w:lang w:val="en-US" w:eastAsia="zh-CN"/>
        </w:rPr>
        <w:t>-</w:t>
      </w:r>
      <w:r>
        <w:rPr>
          <w:rFonts w:hint="default"/>
          <w:color w:val="auto"/>
          <w:lang w:val="en-US" w:eastAsia="zh-CN"/>
        </w:rPr>
        <w:t>8.0℃。</w:t>
      </w:r>
    </w:p>
    <w:p w14:paraId="54DD4B92">
      <w:pPr>
        <w:bidi w:val="0"/>
        <w:rPr>
          <w:rFonts w:hint="default"/>
          <w:color w:val="auto"/>
          <w:lang w:val="en-US" w:eastAsia="zh-CN"/>
        </w:rPr>
      </w:pPr>
      <w:r>
        <w:rPr>
          <w:rFonts w:hint="default"/>
          <w:color w:val="auto"/>
          <w:lang w:val="en-US" w:eastAsia="zh-CN"/>
        </w:rPr>
        <w:t>因此，</w:t>
      </w:r>
      <w:r>
        <w:rPr>
          <w:rFonts w:hint="eastAsia"/>
          <w:color w:val="auto"/>
          <w:lang w:val="en-US" w:eastAsia="zh-CN"/>
        </w:rPr>
        <w:t>矿山</w:t>
      </w:r>
      <w:r>
        <w:rPr>
          <w:rFonts w:hint="default"/>
          <w:color w:val="auto"/>
          <w:lang w:val="en-US" w:eastAsia="zh-CN"/>
        </w:rPr>
        <w:t>存在</w:t>
      </w:r>
      <w:r>
        <w:rPr>
          <w:rFonts w:hint="eastAsia"/>
          <w:color w:val="auto"/>
          <w:lang w:val="en-US" w:eastAsia="zh-CN"/>
        </w:rPr>
        <w:t>高低温</w:t>
      </w:r>
      <w:r>
        <w:rPr>
          <w:rFonts w:hint="eastAsia" w:ascii="宋体" w:hAnsi="宋体" w:cs="宋体"/>
          <w:color w:val="auto"/>
          <w:spacing w:val="-2"/>
          <w:sz w:val="28"/>
          <w:szCs w:val="28"/>
          <w:lang w:val="en-US" w:eastAsia="zh-CN"/>
        </w:rPr>
        <w:t>有害</w:t>
      </w:r>
      <w:r>
        <w:rPr>
          <w:rFonts w:hint="default"/>
          <w:color w:val="auto"/>
          <w:lang w:val="en-US" w:eastAsia="zh-CN"/>
        </w:rPr>
        <w:t>因素。</w:t>
      </w:r>
    </w:p>
    <w:p w14:paraId="249CD5A3">
      <w:pPr>
        <w:pStyle w:val="3"/>
        <w:bidi w:val="0"/>
        <w:rPr>
          <w:rFonts w:hint="default"/>
          <w:color w:val="auto"/>
          <w:lang w:val="en-US" w:eastAsia="zh-CN"/>
        </w:rPr>
      </w:pPr>
      <w:bookmarkStart w:id="259" w:name="_Toc12390"/>
      <w:bookmarkStart w:id="260" w:name="_Toc15008"/>
      <w:bookmarkStart w:id="261" w:name="_Toc14910"/>
      <w:bookmarkStart w:id="262" w:name="_Toc24091"/>
      <w:r>
        <w:rPr>
          <w:rFonts w:hint="eastAsia"/>
          <w:color w:val="auto"/>
          <w:lang w:val="en-US" w:eastAsia="zh-CN"/>
        </w:rPr>
        <w:t>3.3 重大危险源辨识</w:t>
      </w:r>
      <w:bookmarkEnd w:id="259"/>
      <w:bookmarkEnd w:id="260"/>
      <w:bookmarkEnd w:id="261"/>
      <w:bookmarkEnd w:id="262"/>
    </w:p>
    <w:p w14:paraId="2B4952E0">
      <w:pPr>
        <w:rPr>
          <w:rFonts w:hint="default"/>
          <w:color w:val="auto"/>
          <w:lang w:val="en-US" w:eastAsia="zh-CN"/>
        </w:rPr>
      </w:pPr>
      <w:r>
        <w:rPr>
          <w:rFonts w:hint="eastAsia"/>
          <w:color w:val="auto"/>
          <w:lang w:val="en-US" w:eastAsia="zh-CN"/>
        </w:rPr>
        <w:t>矿山</w:t>
      </w:r>
      <w:r>
        <w:rPr>
          <w:rFonts w:hint="default"/>
          <w:color w:val="auto"/>
          <w:lang w:val="en-US" w:eastAsia="zh-CN"/>
        </w:rPr>
        <w:t>民用爆破材料库位于距矿山约6km处的弋阳县三县岭乡油溪村，</w:t>
      </w:r>
      <w:r>
        <w:rPr>
          <w:rFonts w:hint="default"/>
          <w:lang w:val="en-US" w:eastAsia="zh-CN"/>
        </w:rPr>
        <w:t>由弋阳县安泽民爆器材专营有限责任公司管理</w:t>
      </w:r>
      <w:r>
        <w:rPr>
          <w:rFonts w:hint="default"/>
          <w:color w:val="auto"/>
          <w:lang w:val="en-US" w:eastAsia="zh-CN"/>
        </w:rPr>
        <w:t>，该民用爆炸物品储存库不在此次评价范围之内。矿山当日放炮，</w:t>
      </w:r>
      <w:r>
        <w:rPr>
          <w:rFonts w:hint="eastAsia"/>
          <w:color w:val="FF0000"/>
          <w:lang w:val="en-US" w:eastAsia="zh-CN"/>
        </w:rPr>
        <w:t>剩</w:t>
      </w:r>
      <w:r>
        <w:rPr>
          <w:rFonts w:hint="default"/>
          <w:color w:val="FF0000"/>
          <w:lang w:val="en-US" w:eastAsia="zh-CN"/>
        </w:rPr>
        <w:t>余</w:t>
      </w:r>
      <w:r>
        <w:rPr>
          <w:rFonts w:hint="default"/>
          <w:color w:val="auto"/>
          <w:lang w:val="en-US" w:eastAsia="zh-CN"/>
        </w:rPr>
        <w:t>的</w:t>
      </w:r>
      <w:r>
        <w:rPr>
          <w:rFonts w:hint="default"/>
          <w:color w:val="FF0000"/>
          <w:lang w:val="en-US" w:eastAsia="zh-CN"/>
        </w:rPr>
        <w:t>民爆器材</w:t>
      </w:r>
      <w:r>
        <w:rPr>
          <w:rFonts w:hint="default"/>
          <w:color w:val="auto"/>
          <w:lang w:val="en-US" w:eastAsia="zh-CN"/>
        </w:rPr>
        <w:t>当日运回，不在矿山滞留。</w:t>
      </w:r>
    </w:p>
    <w:p w14:paraId="04713786">
      <w:pPr>
        <w:rPr>
          <w:rFonts w:hint="default"/>
          <w:color w:val="auto"/>
          <w:lang w:val="en-US" w:eastAsia="zh-CN"/>
        </w:rPr>
      </w:pPr>
      <w:r>
        <w:rPr>
          <w:rFonts w:hint="eastAsia"/>
          <w:color w:val="auto"/>
          <w:lang w:val="en-US" w:eastAsia="zh-CN"/>
        </w:rPr>
        <w:t>曹溪二矿内</w:t>
      </w:r>
      <w:r>
        <w:rPr>
          <w:rFonts w:hint="default"/>
          <w:color w:val="auto"/>
          <w:lang w:val="en-US" w:eastAsia="zh-CN"/>
        </w:rPr>
        <w:t>未设置储油罐库，也未使用到其他危险化学品。</w:t>
      </w:r>
    </w:p>
    <w:p w14:paraId="2CF620F7">
      <w:pPr>
        <w:rPr>
          <w:rFonts w:hint="default"/>
          <w:color w:val="auto"/>
          <w:lang w:val="en-US" w:eastAsia="zh-CN"/>
        </w:rPr>
      </w:pPr>
      <w:r>
        <w:rPr>
          <w:rFonts w:hint="default"/>
          <w:color w:val="auto"/>
          <w:lang w:val="en-US" w:eastAsia="zh-CN"/>
        </w:rPr>
        <w:t>综上所述，</w:t>
      </w:r>
      <w:r>
        <w:rPr>
          <w:rFonts w:hint="eastAsia"/>
          <w:color w:val="auto"/>
          <w:lang w:val="en-US" w:eastAsia="zh-CN"/>
        </w:rPr>
        <w:t>曹溪二矿</w:t>
      </w:r>
      <w:r>
        <w:rPr>
          <w:rFonts w:hint="default"/>
          <w:color w:val="auto"/>
          <w:lang w:val="en-US" w:eastAsia="zh-CN"/>
        </w:rPr>
        <w:t>不涉及危险化学品重大危险源。</w:t>
      </w:r>
    </w:p>
    <w:p w14:paraId="589391E5">
      <w:pPr>
        <w:pStyle w:val="3"/>
        <w:bidi w:val="0"/>
        <w:rPr>
          <w:rFonts w:hint="default"/>
          <w:color w:val="auto"/>
          <w:lang w:val="en-US" w:eastAsia="zh-CN"/>
        </w:rPr>
      </w:pPr>
      <w:bookmarkStart w:id="263" w:name="_Toc7764"/>
      <w:bookmarkStart w:id="264" w:name="_Toc5106"/>
      <w:bookmarkStart w:id="265" w:name="_Toc1774"/>
      <w:bookmarkStart w:id="266" w:name="_Toc4767"/>
      <w:r>
        <w:rPr>
          <w:rFonts w:hint="default"/>
          <w:color w:val="auto"/>
          <w:lang w:val="en-US" w:eastAsia="zh-CN"/>
        </w:rPr>
        <w:t>3.</w:t>
      </w:r>
      <w:r>
        <w:rPr>
          <w:rFonts w:hint="eastAsia"/>
          <w:color w:val="auto"/>
          <w:lang w:val="en-US" w:eastAsia="zh-CN"/>
        </w:rPr>
        <w:t>4</w:t>
      </w:r>
      <w:r>
        <w:rPr>
          <w:rFonts w:hint="default"/>
          <w:color w:val="auto"/>
          <w:lang w:val="en-US" w:eastAsia="zh-CN"/>
        </w:rPr>
        <w:t xml:space="preserve"> 危险、有害因素分析辨识结果</w:t>
      </w:r>
      <w:bookmarkEnd w:id="263"/>
      <w:bookmarkEnd w:id="264"/>
      <w:bookmarkEnd w:id="265"/>
      <w:bookmarkEnd w:id="266"/>
    </w:p>
    <w:p w14:paraId="267E4195">
      <w:pPr>
        <w:rPr>
          <w:rFonts w:hint="default"/>
          <w:color w:val="auto"/>
          <w:lang w:val="en-US" w:eastAsia="zh-CN"/>
        </w:rPr>
      </w:pPr>
      <w:r>
        <w:rPr>
          <w:rFonts w:hint="default"/>
          <w:color w:val="auto"/>
          <w:lang w:val="en-US" w:eastAsia="zh-CN"/>
        </w:rPr>
        <w:t>1</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项目不构成重大危险源</w:t>
      </w:r>
      <w:r>
        <w:rPr>
          <w:rFonts w:hint="eastAsia"/>
          <w:color w:val="auto"/>
          <w:lang w:val="en-US" w:eastAsia="zh-CN"/>
        </w:rPr>
        <w:t>；</w:t>
      </w:r>
    </w:p>
    <w:p w14:paraId="191C9BFE">
      <w:pPr>
        <w:rPr>
          <w:rFonts w:hint="default"/>
          <w:color w:val="auto"/>
          <w:lang w:val="en-US" w:eastAsia="zh-CN"/>
        </w:rPr>
      </w:pPr>
      <w:r>
        <w:rPr>
          <w:rFonts w:hint="default"/>
          <w:color w:val="auto"/>
          <w:lang w:val="en-US" w:eastAsia="zh-CN"/>
        </w:rPr>
        <w:t>2</w:t>
      </w:r>
      <w:r>
        <w:rPr>
          <w:rFonts w:hint="default" w:ascii="Times New Roman" w:hAnsi="Times New Roman" w:eastAsia="宋体" w:cs="Times New Roman"/>
          <w:color w:val="auto"/>
          <w:kern w:val="2"/>
          <w:sz w:val="28"/>
          <w:szCs w:val="24"/>
          <w:lang w:val="en-US" w:eastAsia="zh-CN" w:bidi="ar-SA"/>
        </w:rPr>
        <w:t>.</w:t>
      </w:r>
      <w:r>
        <w:rPr>
          <w:rFonts w:hint="eastAsia" w:cs="Times New Roman"/>
          <w:color w:val="auto"/>
          <w:kern w:val="2"/>
          <w:sz w:val="28"/>
          <w:szCs w:val="24"/>
          <w:lang w:val="en-US" w:eastAsia="zh-CN" w:bidi="ar-SA"/>
        </w:rPr>
        <w:t xml:space="preserve"> </w:t>
      </w:r>
      <w:r>
        <w:rPr>
          <w:rFonts w:hint="default"/>
          <w:color w:val="auto"/>
          <w:lang w:val="en-US" w:eastAsia="zh-CN"/>
        </w:rPr>
        <w:t>项目生产过程中潜在的危险、有害因素分析表明</w:t>
      </w:r>
      <w:r>
        <w:rPr>
          <w:rFonts w:hint="eastAsia"/>
          <w:color w:val="auto"/>
          <w:lang w:val="en-US" w:eastAsia="zh-CN"/>
        </w:rPr>
        <w:t>：</w:t>
      </w:r>
      <w:r>
        <w:rPr>
          <w:rFonts w:hint="default"/>
          <w:color w:val="auto"/>
          <w:lang w:val="en-US" w:eastAsia="zh-CN"/>
        </w:rPr>
        <w:t>该矿在生产过程中存在</w:t>
      </w:r>
      <w:r>
        <w:rPr>
          <w:rFonts w:hint="eastAsia"/>
          <w:color w:val="auto"/>
          <w:lang w:val="en-US" w:eastAsia="zh-CN"/>
        </w:rPr>
        <w:t>民用爆炸物品</w:t>
      </w:r>
      <w:r>
        <w:rPr>
          <w:rFonts w:hint="default"/>
          <w:color w:val="auto"/>
          <w:lang w:val="en-US" w:eastAsia="zh-CN"/>
        </w:rPr>
        <w:t>爆炸</w:t>
      </w:r>
      <w:r>
        <w:rPr>
          <w:rFonts w:hint="eastAsia"/>
          <w:color w:val="auto"/>
          <w:lang w:val="en-US" w:eastAsia="zh-CN"/>
        </w:rPr>
        <w:t>；坍塌；厂（场）内车辆致害；机械致害；</w:t>
      </w:r>
      <w:r>
        <w:rPr>
          <w:rFonts w:hint="default"/>
          <w:color w:val="auto"/>
          <w:lang w:val="en-US" w:eastAsia="zh-CN"/>
        </w:rPr>
        <w:t>火灾</w:t>
      </w:r>
      <w:r>
        <w:rPr>
          <w:rFonts w:hint="eastAsia"/>
          <w:color w:val="auto"/>
          <w:lang w:val="en-US" w:eastAsia="zh-CN"/>
        </w:rPr>
        <w:t>；物体打击；起重致害；高处坠落、跌落；淹溺；容器爆炸；其他；</w:t>
      </w:r>
      <w:r>
        <w:rPr>
          <w:rFonts w:hint="default"/>
          <w:color w:val="auto"/>
          <w:lang w:val="en-US" w:eastAsia="zh-CN"/>
        </w:rPr>
        <w:t>粉尘</w:t>
      </w:r>
      <w:r>
        <w:rPr>
          <w:rFonts w:hint="eastAsia"/>
          <w:color w:val="auto"/>
          <w:lang w:val="en-US" w:eastAsia="zh-CN"/>
        </w:rPr>
        <w:t>；</w:t>
      </w:r>
      <w:r>
        <w:rPr>
          <w:rFonts w:hint="default"/>
          <w:color w:val="auto"/>
          <w:lang w:val="en-US" w:eastAsia="zh-CN"/>
        </w:rPr>
        <w:t>噪声与振动</w:t>
      </w:r>
      <w:r>
        <w:rPr>
          <w:rFonts w:hint="eastAsia"/>
          <w:color w:val="auto"/>
          <w:lang w:val="en-US" w:eastAsia="zh-CN"/>
        </w:rPr>
        <w:t>；高低温</w:t>
      </w:r>
      <w:r>
        <w:rPr>
          <w:rFonts w:hint="default"/>
          <w:color w:val="auto"/>
          <w:lang w:val="en-US" w:eastAsia="zh-CN"/>
        </w:rPr>
        <w:t>等危险、有害因素，属存在危险、有害因素较多的矿山，因此，矿山在开采过程中要高度重视，严格管理，全面落实安全生产责任制，有效降低安全风险，保障生产安全。</w:t>
      </w:r>
    </w:p>
    <w:p w14:paraId="38E52696">
      <w:pPr>
        <w:rPr>
          <w:rFonts w:hint="default"/>
          <w:color w:val="auto"/>
          <w:lang w:val="en-US" w:eastAsia="zh-CN"/>
        </w:rPr>
      </w:pPr>
    </w:p>
    <w:p w14:paraId="65F7906B">
      <w:pPr>
        <w:rPr>
          <w:rFonts w:hint="default"/>
          <w:color w:val="auto"/>
          <w:lang w:val="en-US" w:eastAsia="zh-CN"/>
        </w:rPr>
      </w:pPr>
    </w:p>
    <w:p w14:paraId="415B0CAD">
      <w:pPr>
        <w:rPr>
          <w:rFonts w:hint="default"/>
          <w:color w:val="auto"/>
          <w:lang w:val="en-US" w:eastAsia="zh-CN"/>
        </w:rPr>
        <w:sectPr>
          <w:pgSz w:w="11906" w:h="16839"/>
          <w:pgMar w:top="1417" w:right="1417" w:bottom="1417" w:left="1417" w:header="850" w:footer="992" w:gutter="0"/>
          <w:pgNumType w:fmt="decimal"/>
          <w:cols w:space="425" w:num="1"/>
          <w:rtlGutter w:val="0"/>
          <w:docGrid w:linePitch="312" w:charSpace="0"/>
        </w:sectPr>
      </w:pPr>
    </w:p>
    <w:p w14:paraId="1E8F7704">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267" w:name="_Toc17899"/>
      <w:bookmarkStart w:id="268" w:name="_Toc21010"/>
      <w:bookmarkStart w:id="269" w:name="_Toc6520"/>
      <w:bookmarkStart w:id="270" w:name="_Toc23887"/>
      <w:r>
        <w:rPr>
          <w:rFonts w:hint="default" w:ascii="Times New Roman" w:hAnsi="Times New Roman" w:cs="Times New Roman"/>
          <w:color w:val="auto"/>
          <w:lang w:val="en-US" w:eastAsia="zh-CN"/>
        </w:rPr>
        <w:t>评价方法选择和评价单元划分</w:t>
      </w:r>
      <w:bookmarkEnd w:id="267"/>
      <w:bookmarkEnd w:id="268"/>
      <w:bookmarkEnd w:id="269"/>
      <w:bookmarkEnd w:id="270"/>
    </w:p>
    <w:p w14:paraId="4BAB8D18">
      <w:pPr>
        <w:rPr>
          <w:rFonts w:hint="default"/>
          <w:color w:val="auto"/>
          <w:lang w:val="en-US" w:eastAsia="zh-CN"/>
        </w:rPr>
      </w:pPr>
      <w:r>
        <w:rPr>
          <w:rFonts w:hint="default"/>
          <w:color w:val="auto"/>
          <w:lang w:val="en-US" w:eastAsia="zh-CN"/>
        </w:rPr>
        <w:t>划分评价单元的目的是为便于评价工作的有序进行，并有利于提高评价工作的准确性。安全评价方法是对系统的危险因素、有害因素及其危险、危害程度进行分析、评价的工具。</w:t>
      </w:r>
    </w:p>
    <w:p w14:paraId="5CF62765">
      <w:pPr>
        <w:pStyle w:val="3"/>
        <w:bidi w:val="0"/>
        <w:rPr>
          <w:rFonts w:hint="default"/>
          <w:color w:val="auto"/>
          <w:lang w:val="en-US" w:eastAsia="zh-CN"/>
        </w:rPr>
      </w:pPr>
      <w:bookmarkStart w:id="271" w:name="_Toc27058"/>
      <w:bookmarkStart w:id="272" w:name="_Toc28563"/>
      <w:bookmarkStart w:id="273" w:name="_Toc30987"/>
      <w:bookmarkStart w:id="274" w:name="_Toc25592"/>
      <w:r>
        <w:rPr>
          <w:rFonts w:hint="eastAsia"/>
          <w:color w:val="auto"/>
          <w:lang w:val="en-US" w:eastAsia="zh-CN"/>
        </w:rPr>
        <w:t>4.1 评价单元划分</w:t>
      </w:r>
      <w:bookmarkEnd w:id="271"/>
      <w:bookmarkEnd w:id="272"/>
      <w:bookmarkEnd w:id="273"/>
      <w:bookmarkEnd w:id="274"/>
    </w:p>
    <w:p w14:paraId="471ABC61">
      <w:pPr>
        <w:rPr>
          <w:rFonts w:hint="default"/>
          <w:color w:val="auto"/>
          <w:lang w:val="en-US" w:eastAsia="zh-CN"/>
        </w:rPr>
      </w:pPr>
      <w:r>
        <w:rPr>
          <w:rFonts w:hint="default"/>
          <w:color w:val="auto"/>
          <w:lang w:val="en-US" w:eastAsia="zh-CN"/>
        </w:rPr>
        <w:t>按照评价单元的划分原则和方法，考虑该工程项目中危险、有害因素的危害程度以及露天开采的特殊工艺，划分如下评价单元：安全管理、</w:t>
      </w:r>
      <w:r>
        <w:rPr>
          <w:rFonts w:hint="eastAsia"/>
          <w:color w:val="auto"/>
          <w:lang w:val="en-US" w:eastAsia="zh-CN"/>
        </w:rPr>
        <w:t>露天</w:t>
      </w:r>
      <w:r>
        <w:rPr>
          <w:rFonts w:hint="default"/>
          <w:color w:val="auto"/>
          <w:lang w:val="en-US" w:eastAsia="zh-CN"/>
        </w:rPr>
        <w:t>采</w:t>
      </w:r>
      <w:r>
        <w:rPr>
          <w:rFonts w:hint="default" w:ascii="Times New Roman" w:hAnsi="Times New Roman" w:eastAsia="宋体" w:cs="Times New Roman"/>
          <w:color w:val="auto"/>
          <w:lang w:val="en-US" w:eastAsia="zh-CN"/>
        </w:rPr>
        <w:t>场、边坡管理、供配电设施、防排水、</w:t>
      </w:r>
      <w:r>
        <w:rPr>
          <w:rFonts w:hint="eastAsia" w:ascii="Times New Roman" w:hAnsi="Times New Roman" w:eastAsia="宋体" w:cs="Times New Roman"/>
          <w:color w:val="auto"/>
          <w:lang w:val="en-US" w:eastAsia="zh-CN"/>
        </w:rPr>
        <w:t>防灭火、</w:t>
      </w:r>
      <w:r>
        <w:rPr>
          <w:rFonts w:hint="default" w:ascii="Times New Roman" w:hAnsi="Times New Roman" w:eastAsia="宋体" w:cs="Times New Roman"/>
          <w:color w:val="auto"/>
          <w:lang w:val="en-US" w:eastAsia="zh-CN"/>
        </w:rPr>
        <w:t>重大事故隐患判定</w:t>
      </w:r>
      <w:r>
        <w:rPr>
          <w:rFonts w:hint="eastAsia" w:ascii="Times New Roman" w:hAnsi="Times New Roman" w:eastAsia="宋体" w:cs="Times New Roman"/>
          <w:color w:val="auto"/>
          <w:lang w:val="en-US" w:eastAsia="zh-CN"/>
        </w:rPr>
        <w:t>和综合安全评价</w:t>
      </w:r>
      <w:r>
        <w:rPr>
          <w:rFonts w:hint="default" w:ascii="Times New Roman" w:hAnsi="Times New Roman" w:eastAsia="宋体" w:cs="Times New Roman"/>
          <w:color w:val="auto"/>
          <w:lang w:val="en-US" w:eastAsia="zh-CN"/>
        </w:rPr>
        <w:t>单元</w:t>
      </w:r>
      <w:r>
        <w:rPr>
          <w:rFonts w:hint="default"/>
          <w:color w:val="auto"/>
          <w:lang w:val="en-US" w:eastAsia="zh-CN"/>
        </w:rPr>
        <w:t>等划分</w:t>
      </w:r>
      <w:r>
        <w:rPr>
          <w:rFonts w:hint="eastAsia"/>
          <w:color w:val="auto"/>
          <w:lang w:val="en-US" w:eastAsia="zh-CN"/>
        </w:rPr>
        <w:t>8</w:t>
      </w:r>
      <w:r>
        <w:rPr>
          <w:rFonts w:hint="default"/>
          <w:color w:val="auto"/>
          <w:lang w:val="en-US" w:eastAsia="zh-CN"/>
        </w:rPr>
        <w:t>个评价单元。</w:t>
      </w:r>
    </w:p>
    <w:p w14:paraId="78BDF51E">
      <w:pPr>
        <w:pStyle w:val="3"/>
        <w:bidi w:val="0"/>
        <w:rPr>
          <w:rFonts w:hint="default"/>
          <w:color w:val="auto"/>
          <w:lang w:val="en-US" w:eastAsia="zh-CN"/>
        </w:rPr>
      </w:pPr>
      <w:bookmarkStart w:id="275" w:name="_Toc5054"/>
      <w:bookmarkStart w:id="276" w:name="_Toc32643"/>
      <w:bookmarkStart w:id="277" w:name="_Toc25705"/>
      <w:bookmarkStart w:id="278" w:name="_Toc17993"/>
      <w:r>
        <w:rPr>
          <w:rFonts w:hint="default"/>
          <w:color w:val="auto"/>
          <w:lang w:val="en-US" w:eastAsia="zh-CN"/>
        </w:rPr>
        <w:t>4.</w:t>
      </w:r>
      <w:r>
        <w:rPr>
          <w:rFonts w:hint="eastAsia"/>
          <w:color w:val="auto"/>
          <w:lang w:val="en-US" w:eastAsia="zh-CN"/>
        </w:rPr>
        <w:t>2</w:t>
      </w:r>
      <w:r>
        <w:rPr>
          <w:rFonts w:hint="default"/>
          <w:color w:val="auto"/>
          <w:lang w:val="en-US" w:eastAsia="zh-CN"/>
        </w:rPr>
        <w:t xml:space="preserve"> 评价方法选择</w:t>
      </w:r>
      <w:bookmarkEnd w:id="275"/>
      <w:bookmarkEnd w:id="276"/>
      <w:bookmarkEnd w:id="277"/>
      <w:bookmarkEnd w:id="278"/>
    </w:p>
    <w:p w14:paraId="0C1907C8">
      <w:pPr>
        <w:rPr>
          <w:rFonts w:hint="default"/>
          <w:color w:val="auto"/>
          <w:lang w:val="en-US" w:eastAsia="zh-CN"/>
        </w:rPr>
      </w:pPr>
      <w:r>
        <w:rPr>
          <w:rFonts w:hint="default"/>
          <w:color w:val="auto"/>
          <w:lang w:val="en-US" w:eastAsia="zh-CN"/>
        </w:rPr>
        <w:t>安全评价方法是对系统的危险、有害因素及其危险、危害程度进行定性、定量的分析、评价。评价方法的选择是根据评价的动机、结果的需要，考虑评价对象的特征以及评价方法的特点而确定的。</w:t>
      </w:r>
    </w:p>
    <w:p w14:paraId="43A9CB61">
      <w:pPr>
        <w:rPr>
          <w:rFonts w:hint="default"/>
          <w:color w:val="auto"/>
          <w:lang w:val="en-US" w:eastAsia="zh-CN"/>
        </w:rPr>
      </w:pPr>
      <w:r>
        <w:rPr>
          <w:rFonts w:hint="default"/>
          <w:color w:val="auto"/>
          <w:lang w:val="en-US" w:eastAsia="zh-CN"/>
        </w:rPr>
        <w:t>根据对</w:t>
      </w:r>
      <w:r>
        <w:rPr>
          <w:rFonts w:hint="eastAsia"/>
          <w:color w:val="auto"/>
          <w:lang w:val="en-US" w:eastAsia="zh-CN"/>
        </w:rPr>
        <w:t>本矿山</w:t>
      </w:r>
      <w:r>
        <w:rPr>
          <w:rFonts w:hint="default"/>
          <w:color w:val="auto"/>
          <w:lang w:val="en-US" w:eastAsia="zh-CN"/>
        </w:rPr>
        <w:t>生产过程中危险、有害因素的分析，以及上述评价单元的划分，决定本次评价时采取的评价方法如表4</w:t>
      </w:r>
      <w:r>
        <w:rPr>
          <w:rFonts w:hint="eastAsia"/>
          <w:color w:val="auto"/>
          <w:lang w:val="en-US" w:eastAsia="zh-CN"/>
        </w:rPr>
        <w:t>.3</w:t>
      </w:r>
      <w:r>
        <w:rPr>
          <w:rFonts w:hint="default"/>
          <w:color w:val="auto"/>
          <w:lang w:val="en-US" w:eastAsia="zh-CN"/>
        </w:rPr>
        <w:t>-1所示。</w:t>
      </w:r>
    </w:p>
    <w:p w14:paraId="029EA1AF">
      <w:pPr>
        <w:ind w:left="0" w:leftChars="0" w:firstLine="0" w:firstLineChars="0"/>
        <w:jc w:val="center"/>
        <w:rPr>
          <w:rFonts w:hint="default"/>
          <w:color w:val="auto"/>
          <w:lang w:val="en-US" w:eastAsia="zh-CN"/>
        </w:rPr>
      </w:pPr>
      <w:r>
        <w:rPr>
          <w:rFonts w:hint="default"/>
          <w:color w:val="auto"/>
          <w:lang w:val="en-US" w:eastAsia="zh-CN"/>
        </w:rPr>
        <w:t>表4</w:t>
      </w:r>
      <w:r>
        <w:rPr>
          <w:rFonts w:hint="eastAsia"/>
          <w:color w:val="auto"/>
          <w:lang w:val="en-US" w:eastAsia="zh-CN"/>
        </w:rPr>
        <w:t>.3</w:t>
      </w:r>
      <w:r>
        <w:rPr>
          <w:rFonts w:hint="default"/>
          <w:color w:val="auto"/>
          <w:lang w:val="en-US" w:eastAsia="zh-CN"/>
        </w:rPr>
        <w:t>-1</w:t>
      </w:r>
      <w:r>
        <w:rPr>
          <w:rFonts w:hint="eastAsia"/>
          <w:color w:val="auto"/>
          <w:lang w:val="en-US" w:eastAsia="zh-CN"/>
        </w:rPr>
        <w:t xml:space="preserve"> </w:t>
      </w:r>
      <w:r>
        <w:rPr>
          <w:rFonts w:hint="default"/>
          <w:color w:val="auto"/>
          <w:lang w:val="en-US" w:eastAsia="zh-CN"/>
        </w:rPr>
        <w:t>评价方法一览表</w:t>
      </w:r>
    </w:p>
    <w:tbl>
      <w:tblPr>
        <w:tblStyle w:val="18"/>
        <w:tblW w:w="0" w:type="auto"/>
        <w:jc w:val="center"/>
        <w:tblLayout w:type="fixed"/>
        <w:tblCellMar>
          <w:top w:w="0" w:type="dxa"/>
          <w:left w:w="0" w:type="dxa"/>
          <w:bottom w:w="0" w:type="dxa"/>
          <w:right w:w="0" w:type="dxa"/>
        </w:tblCellMar>
      </w:tblPr>
      <w:tblGrid>
        <w:gridCol w:w="3624"/>
        <w:gridCol w:w="4914"/>
      </w:tblGrid>
      <w:tr w14:paraId="19848844">
        <w:tblPrEx>
          <w:tblCellMar>
            <w:top w:w="0" w:type="dxa"/>
            <w:left w:w="0" w:type="dxa"/>
            <w:bottom w:w="0" w:type="dxa"/>
            <w:right w:w="0" w:type="dxa"/>
          </w:tblCellMar>
        </w:tblPrEx>
        <w:trPr>
          <w:trHeight w:val="419"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7823A7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评价单元</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4C6200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评价方法</w:t>
            </w:r>
          </w:p>
        </w:tc>
      </w:tr>
      <w:tr w14:paraId="1015E0D5">
        <w:tblPrEx>
          <w:tblCellMar>
            <w:top w:w="0" w:type="dxa"/>
            <w:left w:w="0" w:type="dxa"/>
            <w:bottom w:w="0" w:type="dxa"/>
            <w:right w:w="0" w:type="dxa"/>
          </w:tblCellMar>
        </w:tblPrEx>
        <w:trPr>
          <w:trHeight w:val="411"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460D2F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安全管理</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0F95F3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656213D2">
        <w:tblPrEx>
          <w:tblCellMar>
            <w:top w:w="0" w:type="dxa"/>
            <w:left w:w="0" w:type="dxa"/>
            <w:bottom w:w="0" w:type="dxa"/>
            <w:right w:w="0" w:type="dxa"/>
          </w:tblCellMar>
        </w:tblPrEx>
        <w:trPr>
          <w:trHeight w:val="412"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C4180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露天采场</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28E6B3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安全检查表法、作业条件危险性评价法</w:t>
            </w:r>
          </w:p>
        </w:tc>
      </w:tr>
      <w:tr w14:paraId="13FF02F1">
        <w:tblPrEx>
          <w:tblCellMar>
            <w:top w:w="0" w:type="dxa"/>
            <w:left w:w="0" w:type="dxa"/>
            <w:bottom w:w="0" w:type="dxa"/>
            <w:right w:w="0" w:type="dxa"/>
          </w:tblCellMar>
        </w:tblPrEx>
        <w:trPr>
          <w:trHeight w:val="402"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30048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边坡管理</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50C0E8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3D58CB26">
        <w:tblPrEx>
          <w:tblCellMar>
            <w:top w:w="0" w:type="dxa"/>
            <w:left w:w="0" w:type="dxa"/>
            <w:bottom w:w="0" w:type="dxa"/>
            <w:right w:w="0" w:type="dxa"/>
          </w:tblCellMar>
        </w:tblPrEx>
        <w:trPr>
          <w:trHeight w:val="408"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1C99E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供配电设施</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33EE7A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37D5AC27">
        <w:tblPrEx>
          <w:tblCellMar>
            <w:top w:w="0" w:type="dxa"/>
            <w:left w:w="0" w:type="dxa"/>
            <w:bottom w:w="0" w:type="dxa"/>
            <w:right w:w="0" w:type="dxa"/>
          </w:tblCellMar>
        </w:tblPrEx>
        <w:trPr>
          <w:trHeight w:val="446" w:hRule="exact"/>
          <w:jc w:val="center"/>
        </w:trPr>
        <w:tc>
          <w:tcPr>
            <w:tcW w:w="3624" w:type="dxa"/>
            <w:tcBorders>
              <w:top w:val="single" w:color="000000" w:sz="4" w:space="0"/>
              <w:left w:val="single" w:color="000000" w:sz="4" w:space="0"/>
              <w:bottom w:val="single" w:color="000000" w:sz="4" w:space="0"/>
              <w:right w:val="single" w:color="000000" w:sz="4" w:space="0"/>
            </w:tcBorders>
            <w:noWrap w:val="0"/>
            <w:vAlign w:val="center"/>
          </w:tcPr>
          <w:p w14:paraId="2F30B4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防排水</w:t>
            </w:r>
          </w:p>
        </w:tc>
        <w:tc>
          <w:tcPr>
            <w:tcW w:w="4914" w:type="dxa"/>
            <w:tcBorders>
              <w:top w:val="single" w:color="000000" w:sz="4" w:space="0"/>
              <w:left w:val="single" w:color="000000" w:sz="4" w:space="0"/>
              <w:bottom w:val="single" w:color="000000" w:sz="4" w:space="0"/>
              <w:right w:val="single" w:color="000000" w:sz="4" w:space="0"/>
            </w:tcBorders>
            <w:noWrap w:val="0"/>
            <w:vAlign w:val="center"/>
          </w:tcPr>
          <w:p w14:paraId="0D8B8A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5EACAF34">
        <w:tblPrEx>
          <w:tblCellMar>
            <w:top w:w="0" w:type="dxa"/>
            <w:left w:w="0" w:type="dxa"/>
            <w:bottom w:w="0" w:type="dxa"/>
            <w:right w:w="0" w:type="dxa"/>
          </w:tblCellMar>
        </w:tblPrEx>
        <w:trPr>
          <w:trHeight w:val="453" w:hRule="exact"/>
          <w:jc w:val="center"/>
        </w:trPr>
        <w:tc>
          <w:tcPr>
            <w:tcW w:w="3624" w:type="dxa"/>
            <w:tcBorders>
              <w:top w:val="single" w:color="000000" w:sz="4" w:space="0"/>
              <w:left w:val="single" w:color="000000" w:sz="4" w:space="0"/>
              <w:bottom w:val="single" w:color="auto" w:sz="4" w:space="0"/>
              <w:right w:val="single" w:color="000000" w:sz="4" w:space="0"/>
            </w:tcBorders>
            <w:noWrap w:val="0"/>
            <w:vAlign w:val="center"/>
          </w:tcPr>
          <w:p w14:paraId="395913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防灭火</w:t>
            </w:r>
          </w:p>
        </w:tc>
        <w:tc>
          <w:tcPr>
            <w:tcW w:w="4914" w:type="dxa"/>
            <w:tcBorders>
              <w:top w:val="single" w:color="000000" w:sz="4" w:space="0"/>
              <w:left w:val="single" w:color="000000" w:sz="4" w:space="0"/>
              <w:bottom w:val="single" w:color="auto" w:sz="4" w:space="0"/>
              <w:right w:val="single" w:color="000000" w:sz="4" w:space="0"/>
            </w:tcBorders>
            <w:noWrap w:val="0"/>
            <w:vAlign w:val="center"/>
          </w:tcPr>
          <w:p w14:paraId="450AE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13A6FE24">
        <w:tblPrEx>
          <w:tblCellMar>
            <w:top w:w="0" w:type="dxa"/>
            <w:left w:w="0" w:type="dxa"/>
            <w:bottom w:w="0" w:type="dxa"/>
            <w:right w:w="0" w:type="dxa"/>
          </w:tblCellMar>
        </w:tblPrEx>
        <w:trPr>
          <w:trHeight w:val="491" w:hRule="exact"/>
          <w:jc w:val="center"/>
        </w:trPr>
        <w:tc>
          <w:tcPr>
            <w:tcW w:w="3624" w:type="dxa"/>
            <w:tcBorders>
              <w:top w:val="single" w:color="000000" w:sz="4" w:space="0"/>
              <w:left w:val="single" w:color="000000" w:sz="4" w:space="0"/>
              <w:bottom w:val="single" w:color="auto" w:sz="4" w:space="0"/>
              <w:right w:val="single" w:color="000000" w:sz="4" w:space="0"/>
            </w:tcBorders>
            <w:noWrap w:val="0"/>
            <w:vAlign w:val="center"/>
          </w:tcPr>
          <w:p w14:paraId="22B789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重大事故隐患判定</w:t>
            </w:r>
          </w:p>
        </w:tc>
        <w:tc>
          <w:tcPr>
            <w:tcW w:w="4914" w:type="dxa"/>
            <w:tcBorders>
              <w:top w:val="single" w:color="000000" w:sz="4" w:space="0"/>
              <w:left w:val="single" w:color="000000" w:sz="4" w:space="0"/>
              <w:bottom w:val="single" w:color="auto" w:sz="4" w:space="0"/>
              <w:right w:val="single" w:color="000000" w:sz="4" w:space="0"/>
            </w:tcBorders>
            <w:noWrap w:val="0"/>
            <w:vAlign w:val="center"/>
          </w:tcPr>
          <w:p w14:paraId="16D4FD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安全检查表法</w:t>
            </w:r>
          </w:p>
        </w:tc>
      </w:tr>
      <w:tr w14:paraId="755AEAC4">
        <w:tblPrEx>
          <w:tblCellMar>
            <w:top w:w="0" w:type="dxa"/>
            <w:left w:w="0" w:type="dxa"/>
            <w:bottom w:w="0" w:type="dxa"/>
            <w:right w:w="0" w:type="dxa"/>
          </w:tblCellMar>
        </w:tblPrEx>
        <w:trPr>
          <w:trHeight w:val="566" w:hRule="exact"/>
          <w:jc w:val="center"/>
        </w:trPr>
        <w:tc>
          <w:tcPr>
            <w:tcW w:w="3624" w:type="dxa"/>
            <w:tcBorders>
              <w:top w:val="single" w:color="auto" w:sz="4" w:space="0"/>
              <w:left w:val="single" w:color="000000" w:sz="4" w:space="0"/>
              <w:bottom w:val="single" w:color="000000" w:sz="4" w:space="0"/>
              <w:right w:val="single" w:color="000000" w:sz="4" w:space="0"/>
            </w:tcBorders>
            <w:noWrap w:val="0"/>
            <w:vAlign w:val="center"/>
          </w:tcPr>
          <w:p w14:paraId="341919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综合安全评价</w:t>
            </w:r>
          </w:p>
        </w:tc>
        <w:tc>
          <w:tcPr>
            <w:tcW w:w="4914" w:type="dxa"/>
            <w:tcBorders>
              <w:top w:val="single" w:color="auto" w:sz="4" w:space="0"/>
              <w:left w:val="single" w:color="000000" w:sz="4" w:space="0"/>
              <w:bottom w:val="single" w:color="000000" w:sz="4" w:space="0"/>
              <w:right w:val="single" w:color="000000" w:sz="4" w:space="0"/>
            </w:tcBorders>
            <w:noWrap w:val="0"/>
            <w:vAlign w:val="center"/>
          </w:tcPr>
          <w:p w14:paraId="2621C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安全检查表法</w:t>
            </w:r>
          </w:p>
        </w:tc>
      </w:tr>
    </w:tbl>
    <w:p w14:paraId="12D5F731">
      <w:pPr>
        <w:pStyle w:val="3"/>
        <w:bidi w:val="0"/>
        <w:rPr>
          <w:rFonts w:hint="default"/>
          <w:color w:val="auto"/>
          <w:lang w:val="en-US" w:eastAsia="zh-CN"/>
        </w:rPr>
      </w:pPr>
      <w:bookmarkStart w:id="279" w:name="_Toc14493"/>
      <w:bookmarkStart w:id="280" w:name="_Toc16506"/>
      <w:bookmarkStart w:id="281" w:name="_Toc29006"/>
      <w:bookmarkStart w:id="282" w:name="_Toc30620"/>
      <w:r>
        <w:rPr>
          <w:rFonts w:hint="default"/>
          <w:color w:val="auto"/>
          <w:lang w:val="en-US" w:eastAsia="zh-CN"/>
        </w:rPr>
        <w:t>4.</w:t>
      </w:r>
      <w:r>
        <w:rPr>
          <w:rFonts w:hint="eastAsia"/>
          <w:color w:val="auto"/>
          <w:lang w:val="en-US" w:eastAsia="zh-CN"/>
        </w:rPr>
        <w:t>3</w:t>
      </w:r>
      <w:r>
        <w:rPr>
          <w:rFonts w:hint="default"/>
          <w:color w:val="auto"/>
          <w:lang w:val="en-US" w:eastAsia="zh-CN"/>
        </w:rPr>
        <w:t xml:space="preserve"> 评价方法简介</w:t>
      </w:r>
      <w:bookmarkEnd w:id="279"/>
      <w:bookmarkEnd w:id="280"/>
      <w:bookmarkEnd w:id="281"/>
      <w:bookmarkEnd w:id="282"/>
    </w:p>
    <w:p w14:paraId="6F9B4D7B">
      <w:pPr>
        <w:pStyle w:val="4"/>
        <w:bidi w:val="0"/>
        <w:rPr>
          <w:rFonts w:hint="default"/>
          <w:color w:val="auto"/>
          <w:lang w:val="en-US" w:eastAsia="zh-CN"/>
        </w:rPr>
      </w:pPr>
      <w:bookmarkStart w:id="283" w:name="_Toc2174"/>
      <w:bookmarkStart w:id="284" w:name="_Toc3917"/>
      <w:bookmarkStart w:id="285" w:name="_Toc12220"/>
      <w:bookmarkStart w:id="286" w:name="_Toc13268"/>
      <w:r>
        <w:rPr>
          <w:rFonts w:hint="eastAsia"/>
          <w:color w:val="auto"/>
          <w:lang w:val="en-US" w:eastAsia="zh-CN"/>
        </w:rPr>
        <w:t xml:space="preserve">4.3.1 </w:t>
      </w:r>
      <w:r>
        <w:rPr>
          <w:color w:val="auto"/>
        </w:rPr>
        <w:t>安全检查表法</w:t>
      </w:r>
      <w:bookmarkEnd w:id="283"/>
      <w:bookmarkEnd w:id="284"/>
      <w:bookmarkEnd w:id="285"/>
      <w:bookmarkEnd w:id="286"/>
    </w:p>
    <w:p w14:paraId="0323D31C">
      <w:pPr>
        <w:rPr>
          <w:rFonts w:hint="default"/>
          <w:color w:val="auto"/>
          <w:lang w:val="en-US" w:eastAsia="zh-CN"/>
        </w:rPr>
      </w:pPr>
      <w:r>
        <w:rPr>
          <w:rFonts w:hint="default"/>
          <w:color w:val="auto"/>
          <w:lang w:val="en-US" w:eastAsia="zh-CN"/>
        </w:rPr>
        <w:t>安全检查表分析是将一等系列分析项目列出检查表进行分析以确定系统的状态，这些项目包括设备、贮运、操作、管理等各个方面。评价人员通过确定标准的设计或操作以建立传统的</w:t>
      </w:r>
      <w:r>
        <w:rPr>
          <w:rFonts w:hint="eastAsia"/>
          <w:color w:val="auto"/>
          <w:lang w:val="en-US" w:eastAsia="zh-CN"/>
        </w:rPr>
        <w:t>安全</w:t>
      </w:r>
      <w:r>
        <w:rPr>
          <w:rFonts w:hint="default"/>
          <w:color w:val="auto"/>
          <w:lang w:val="en-US" w:eastAsia="zh-CN"/>
        </w:rPr>
        <w:t>检查表，然后用它产生一系列基于缺陷或差异的问题。所完成的安全检查表包括对提出的问题回答</w:t>
      </w:r>
      <w:r>
        <w:rPr>
          <w:rFonts w:hint="eastAsia" w:ascii="宋体" w:hAnsi="宋体" w:eastAsia="宋体" w:cs="宋体"/>
          <w:color w:val="auto"/>
          <w:lang w:val="en-US" w:eastAsia="zh-CN"/>
        </w:rPr>
        <w:t>“</w:t>
      </w:r>
      <w:r>
        <w:rPr>
          <w:rFonts w:hint="default"/>
          <w:color w:val="auto"/>
          <w:lang w:val="en-US" w:eastAsia="zh-CN"/>
        </w:rPr>
        <w:t>是</w:t>
      </w:r>
      <w:r>
        <w:rPr>
          <w:rFonts w:hint="eastAsia" w:ascii="宋体" w:hAnsi="宋体" w:eastAsia="宋体" w:cs="宋体"/>
          <w:color w:val="auto"/>
          <w:lang w:val="en-US" w:eastAsia="zh-CN"/>
        </w:rPr>
        <w:t>”</w:t>
      </w:r>
      <w:r>
        <w:rPr>
          <w:rFonts w:hint="default"/>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否</w:t>
      </w:r>
      <w:r>
        <w:rPr>
          <w:rFonts w:hint="eastAsia" w:ascii="宋体" w:hAnsi="宋体" w:eastAsia="宋体" w:cs="宋体"/>
          <w:color w:val="auto"/>
          <w:lang w:val="en-US" w:eastAsia="zh-CN"/>
        </w:rPr>
        <w:t>”</w:t>
      </w:r>
      <w:r>
        <w:rPr>
          <w:rFonts w:hint="default"/>
          <w:color w:val="auto"/>
          <w:lang w:val="en-US" w:eastAsia="zh-CN"/>
        </w:rPr>
        <w:t>、</w:t>
      </w:r>
      <w:r>
        <w:rPr>
          <w:rFonts w:hint="eastAsia" w:ascii="宋体" w:hAnsi="宋体" w:eastAsia="宋体" w:cs="宋体"/>
          <w:color w:val="auto"/>
          <w:lang w:val="en-US" w:eastAsia="zh-CN"/>
        </w:rPr>
        <w:t>“</w:t>
      </w:r>
      <w:r>
        <w:rPr>
          <w:rFonts w:hint="default"/>
          <w:color w:val="auto"/>
          <w:lang w:val="en-US" w:eastAsia="zh-CN"/>
        </w:rPr>
        <w:t>不符合</w:t>
      </w:r>
      <w:r>
        <w:rPr>
          <w:rFonts w:hint="eastAsia" w:ascii="宋体" w:hAnsi="宋体" w:eastAsia="宋体" w:cs="宋体"/>
          <w:color w:val="auto"/>
          <w:lang w:val="en-US" w:eastAsia="zh-CN"/>
        </w:rPr>
        <w:t>”</w:t>
      </w:r>
      <w:r>
        <w:rPr>
          <w:rFonts w:hint="default"/>
          <w:color w:val="auto"/>
          <w:lang w:val="en-US" w:eastAsia="zh-CN"/>
        </w:rPr>
        <w:t>或</w:t>
      </w:r>
      <w:r>
        <w:rPr>
          <w:rFonts w:hint="eastAsia" w:ascii="宋体" w:hAnsi="宋体" w:eastAsia="宋体" w:cs="宋体"/>
          <w:color w:val="auto"/>
          <w:lang w:val="en-US" w:eastAsia="zh-CN"/>
        </w:rPr>
        <w:t>“</w:t>
      </w:r>
      <w:r>
        <w:rPr>
          <w:rFonts w:hint="default"/>
          <w:color w:val="auto"/>
          <w:lang w:val="en-US" w:eastAsia="zh-CN"/>
        </w:rPr>
        <w:t>需要更多的信息</w:t>
      </w:r>
      <w:r>
        <w:rPr>
          <w:rFonts w:hint="eastAsia" w:ascii="宋体" w:hAnsi="宋体" w:eastAsia="宋体" w:cs="宋体"/>
          <w:color w:val="auto"/>
          <w:lang w:val="en-US" w:eastAsia="zh-CN"/>
        </w:rPr>
        <w:t>”</w:t>
      </w:r>
      <w:r>
        <w:rPr>
          <w:rFonts w:hint="default"/>
          <w:color w:val="auto"/>
          <w:lang w:val="en-US" w:eastAsia="zh-CN"/>
        </w:rPr>
        <w:t>。</w:t>
      </w:r>
    </w:p>
    <w:p w14:paraId="3C7B3413">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安全检查表编制的主要依据</w:t>
      </w:r>
      <w:r>
        <w:rPr>
          <w:rFonts w:hint="eastAsia"/>
          <w:color w:val="auto"/>
          <w:lang w:val="en-US" w:eastAsia="zh-CN"/>
        </w:rPr>
        <w:t>：</w:t>
      </w:r>
    </w:p>
    <w:p w14:paraId="3FCF1E78">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有关法律、法规、标准</w:t>
      </w:r>
      <w:r>
        <w:rPr>
          <w:rFonts w:hint="eastAsia"/>
          <w:color w:val="auto"/>
          <w:lang w:val="en-US" w:eastAsia="zh-CN"/>
        </w:rPr>
        <w:t>；</w:t>
      </w:r>
    </w:p>
    <w:p w14:paraId="28AA6C23">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事故案例、经验、教训。</w:t>
      </w:r>
    </w:p>
    <w:p w14:paraId="1F3804F6">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安全检查表分析三个步骤</w:t>
      </w:r>
      <w:r>
        <w:rPr>
          <w:rFonts w:hint="eastAsia"/>
          <w:color w:val="auto"/>
          <w:lang w:val="en-US" w:eastAsia="zh-CN"/>
        </w:rPr>
        <w:t>：</w:t>
      </w:r>
    </w:p>
    <w:p w14:paraId="18F78FE8">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选择或确定合适的安全检查表</w:t>
      </w:r>
      <w:r>
        <w:rPr>
          <w:rFonts w:hint="eastAsia"/>
          <w:color w:val="auto"/>
          <w:lang w:val="en-US" w:eastAsia="zh-CN"/>
        </w:rPr>
        <w:t>；</w:t>
      </w:r>
    </w:p>
    <w:p w14:paraId="7E82086B">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完成分析</w:t>
      </w:r>
      <w:r>
        <w:rPr>
          <w:rFonts w:hint="eastAsia"/>
          <w:color w:val="auto"/>
          <w:lang w:val="en-US" w:eastAsia="zh-CN"/>
        </w:rPr>
        <w:t>；</w:t>
      </w:r>
    </w:p>
    <w:p w14:paraId="23233D8E">
      <w:pPr>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编制分析结果文件。</w:t>
      </w:r>
    </w:p>
    <w:p w14:paraId="23D78137">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评价程序</w:t>
      </w:r>
      <w:r>
        <w:rPr>
          <w:rFonts w:hint="eastAsia"/>
          <w:color w:val="auto"/>
          <w:lang w:val="en-US" w:eastAsia="zh-CN"/>
        </w:rPr>
        <w:t>：</w:t>
      </w:r>
    </w:p>
    <w:p w14:paraId="68F26834">
      <w:pPr>
        <w:rPr>
          <w:rFonts w:hint="default"/>
          <w:color w:val="auto"/>
          <w:lang w:val="en-US" w:eastAsia="zh-CN"/>
        </w:rPr>
      </w:pPr>
      <w:r>
        <w:rPr>
          <w:rFonts w:hint="eastAsia"/>
          <w:color w:val="auto"/>
          <w:lang w:val="en-US" w:eastAsia="zh-CN"/>
        </w:rPr>
        <w:t>（</w:t>
      </w:r>
      <w:r>
        <w:rPr>
          <w:rFonts w:hint="default"/>
          <w:color w:val="auto"/>
          <w:lang w:val="en-US" w:eastAsia="zh-CN"/>
        </w:rPr>
        <w:t>1</w:t>
      </w:r>
      <w:r>
        <w:rPr>
          <w:rFonts w:hint="eastAsia"/>
          <w:color w:val="auto"/>
          <w:lang w:val="en-US" w:eastAsia="zh-CN"/>
        </w:rPr>
        <w:t>）</w:t>
      </w:r>
      <w:r>
        <w:rPr>
          <w:rFonts w:hint="default"/>
          <w:color w:val="auto"/>
          <w:lang w:val="en-US" w:eastAsia="zh-CN"/>
        </w:rPr>
        <w:t>熟悉评价对象</w:t>
      </w:r>
      <w:r>
        <w:rPr>
          <w:rFonts w:hint="eastAsia"/>
          <w:color w:val="auto"/>
          <w:lang w:val="en-US" w:eastAsia="zh-CN"/>
        </w:rPr>
        <w:t>；</w:t>
      </w:r>
    </w:p>
    <w:p w14:paraId="045790DE">
      <w:pPr>
        <w:rPr>
          <w:rFonts w:hint="default"/>
          <w:color w:val="auto"/>
          <w:lang w:val="en-US" w:eastAsia="zh-CN"/>
        </w:rPr>
      </w:pPr>
      <w:r>
        <w:rPr>
          <w:rFonts w:hint="eastAsia"/>
          <w:color w:val="auto"/>
          <w:lang w:val="en-US" w:eastAsia="zh-CN"/>
        </w:rPr>
        <w:t>（</w:t>
      </w:r>
      <w:r>
        <w:rPr>
          <w:rFonts w:hint="default"/>
          <w:color w:val="auto"/>
          <w:lang w:val="en-US" w:eastAsia="zh-CN"/>
        </w:rPr>
        <w:t>2</w:t>
      </w:r>
      <w:r>
        <w:rPr>
          <w:rFonts w:hint="eastAsia"/>
          <w:color w:val="auto"/>
          <w:lang w:val="en-US" w:eastAsia="zh-CN"/>
        </w:rPr>
        <w:t>）</w:t>
      </w:r>
      <w:r>
        <w:rPr>
          <w:rFonts w:hint="default"/>
          <w:color w:val="auto"/>
          <w:lang w:val="en-US" w:eastAsia="zh-CN"/>
        </w:rPr>
        <w:t>搜集资料，包括法律、法规、标准、事故案例、经验教训等资料</w:t>
      </w:r>
      <w:r>
        <w:rPr>
          <w:rFonts w:hint="eastAsia"/>
          <w:color w:val="auto"/>
          <w:lang w:val="en-US" w:eastAsia="zh-CN"/>
        </w:rPr>
        <w:t>；</w:t>
      </w:r>
    </w:p>
    <w:p w14:paraId="27E3DAE5">
      <w:pPr>
        <w:rPr>
          <w:rFonts w:hint="default"/>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w:t>
      </w:r>
      <w:r>
        <w:rPr>
          <w:rFonts w:hint="default"/>
          <w:color w:val="auto"/>
          <w:lang w:val="en-US" w:eastAsia="zh-CN"/>
        </w:rPr>
        <w:t>编制案例检查表</w:t>
      </w:r>
      <w:r>
        <w:rPr>
          <w:rFonts w:hint="eastAsia"/>
          <w:color w:val="auto"/>
          <w:lang w:val="en-US" w:eastAsia="zh-CN"/>
        </w:rPr>
        <w:t>；</w:t>
      </w:r>
    </w:p>
    <w:p w14:paraId="2F90634F">
      <w:pPr>
        <w:rPr>
          <w:rFonts w:hint="default"/>
          <w:color w:val="auto"/>
          <w:lang w:val="en-US" w:eastAsia="zh-CN"/>
        </w:rPr>
      </w:pPr>
      <w:r>
        <w:rPr>
          <w:rFonts w:hint="eastAsia"/>
          <w:color w:val="auto"/>
          <w:lang w:val="en-US" w:eastAsia="zh-CN"/>
        </w:rPr>
        <w:t>（</w:t>
      </w:r>
      <w:r>
        <w:rPr>
          <w:rFonts w:hint="default"/>
          <w:color w:val="auto"/>
          <w:lang w:val="en-US" w:eastAsia="zh-CN"/>
        </w:rPr>
        <w:t>4</w:t>
      </w:r>
      <w:r>
        <w:rPr>
          <w:rFonts w:hint="eastAsia"/>
          <w:color w:val="auto"/>
          <w:lang w:val="en-US" w:eastAsia="zh-CN"/>
        </w:rPr>
        <w:t>）</w:t>
      </w:r>
      <w:r>
        <w:rPr>
          <w:rFonts w:hint="default"/>
          <w:color w:val="auto"/>
          <w:lang w:val="en-US" w:eastAsia="zh-CN"/>
        </w:rPr>
        <w:t>按检查表逐项检查</w:t>
      </w:r>
      <w:r>
        <w:rPr>
          <w:rFonts w:hint="eastAsia"/>
          <w:color w:val="auto"/>
          <w:lang w:val="en-US" w:eastAsia="zh-CN"/>
        </w:rPr>
        <w:t>；</w:t>
      </w:r>
    </w:p>
    <w:p w14:paraId="0D82602F">
      <w:pPr>
        <w:rPr>
          <w:rFonts w:hint="default"/>
          <w:color w:val="auto"/>
          <w:lang w:val="en-US" w:eastAsia="zh-CN"/>
        </w:rPr>
      </w:pP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分析、评价检查结果</w:t>
      </w:r>
      <w:r>
        <w:rPr>
          <w:rFonts w:hint="eastAsia"/>
          <w:color w:val="auto"/>
          <w:lang w:val="en-US" w:eastAsia="zh-CN"/>
        </w:rPr>
        <w:t>。</w:t>
      </w:r>
    </w:p>
    <w:p w14:paraId="7108A232">
      <w:pPr>
        <w:pStyle w:val="4"/>
        <w:bidi w:val="0"/>
        <w:rPr>
          <w:rFonts w:hint="default"/>
          <w:color w:val="auto"/>
          <w:lang w:val="en-US" w:eastAsia="zh-CN"/>
        </w:rPr>
      </w:pPr>
      <w:bookmarkStart w:id="287" w:name="_Toc4662"/>
      <w:bookmarkStart w:id="288" w:name="_Toc14334"/>
      <w:bookmarkStart w:id="289" w:name="_Toc17298"/>
      <w:bookmarkStart w:id="290" w:name="_Toc5756"/>
      <w:r>
        <w:rPr>
          <w:rFonts w:hint="default"/>
          <w:color w:val="auto"/>
          <w:lang w:val="en-US" w:eastAsia="zh-CN"/>
        </w:rPr>
        <w:t>4.</w:t>
      </w:r>
      <w:r>
        <w:rPr>
          <w:rFonts w:hint="eastAsia"/>
          <w:color w:val="auto"/>
          <w:lang w:val="en-US" w:eastAsia="zh-CN"/>
        </w:rPr>
        <w:t>3</w:t>
      </w:r>
      <w:r>
        <w:rPr>
          <w:rFonts w:hint="default"/>
          <w:color w:val="auto"/>
          <w:lang w:val="en-US" w:eastAsia="zh-CN"/>
        </w:rPr>
        <w:t>.2 作业条件危险性分析</w:t>
      </w:r>
      <w:bookmarkEnd w:id="287"/>
      <w:bookmarkEnd w:id="288"/>
      <w:bookmarkEnd w:id="289"/>
      <w:bookmarkEnd w:id="290"/>
    </w:p>
    <w:p w14:paraId="72E222BB">
      <w:pPr>
        <w:bidi w:val="0"/>
        <w:rPr>
          <w:rFonts w:hint="default" w:ascii="Times New Roman" w:hAnsi="Times New Roman" w:cs="Times New Roman"/>
          <w:color w:val="auto"/>
        </w:rPr>
      </w:pPr>
      <w:r>
        <w:rPr>
          <w:rFonts w:hint="default" w:ascii="Times New Roman" w:hAnsi="Times New Roman" w:cs="Times New Roman"/>
          <w:color w:val="auto"/>
          <w:lang w:val="en-US" w:eastAsia="zh-CN"/>
        </w:rPr>
        <w:t>一、</w:t>
      </w:r>
      <w:r>
        <w:rPr>
          <w:rFonts w:hint="default" w:ascii="Times New Roman" w:hAnsi="Times New Roman" w:cs="Times New Roman"/>
          <w:color w:val="auto"/>
        </w:rPr>
        <w:t>评价方法简介</w:t>
      </w:r>
    </w:p>
    <w:p w14:paraId="0C55E627">
      <w:pPr>
        <w:bidi w:val="0"/>
        <w:rPr>
          <w:rFonts w:hint="default" w:ascii="Times New Roman" w:hAnsi="Times New Roman" w:cs="Times New Roman"/>
          <w:color w:val="auto"/>
        </w:rPr>
      </w:pPr>
      <w:r>
        <w:rPr>
          <w:rFonts w:hint="default" w:ascii="Times New Roman" w:hAnsi="Times New Roman" w:cs="Times New Roman"/>
          <w:color w:val="auto"/>
        </w:rPr>
        <w:t>作业条件危险性评价法是一种简单易行的评价操作人员在具有潜在危险性环境中作业时的危险性的半定量评价方法。</w:t>
      </w:r>
    </w:p>
    <w:p w14:paraId="0589E2E1">
      <w:pPr>
        <w:bidi w:val="0"/>
        <w:rPr>
          <w:rFonts w:hint="default" w:ascii="Times New Roman" w:hAnsi="Times New Roman" w:cs="Times New Roman"/>
          <w:color w:val="auto"/>
        </w:rPr>
      </w:pPr>
      <w:r>
        <w:rPr>
          <w:rFonts w:hint="default" w:ascii="Times New Roman" w:hAnsi="Times New Roman" w:cs="Times New Roman"/>
          <w:color w:val="auto"/>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14:paraId="2C579603">
      <w:pPr>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二、评价步骤</w:t>
      </w:r>
    </w:p>
    <w:p w14:paraId="799D7A6B">
      <w:pPr>
        <w:bidi w:val="0"/>
        <w:rPr>
          <w:rFonts w:hint="default" w:ascii="Times New Roman" w:hAnsi="Times New Roman" w:cs="Times New Roman"/>
          <w:color w:val="auto"/>
        </w:rPr>
      </w:pPr>
      <w:r>
        <w:rPr>
          <w:rFonts w:hint="default" w:ascii="Times New Roman" w:hAnsi="Times New Roman" w:cs="Times New Roman"/>
          <w:color w:val="auto"/>
        </w:rPr>
        <w:t>评价步骤为：</w:t>
      </w:r>
    </w:p>
    <w:p w14:paraId="799F74C7">
      <w:pPr>
        <w:bidi w:val="0"/>
        <w:rPr>
          <w:rFonts w:hint="default" w:ascii="Times New Roman" w:hAnsi="Times New Roman" w:cs="Times New Roman"/>
          <w:color w:val="auto"/>
        </w:rPr>
      </w:pPr>
      <w:r>
        <w:rPr>
          <w:rFonts w:hint="default" w:ascii="Times New Roman" w:hAnsi="Times New Roman" w:cs="Times New Roman"/>
          <w:color w:val="auto"/>
        </w:rPr>
        <w:t>1</w:t>
      </w:r>
      <w:r>
        <w:rPr>
          <w:rFonts w:hint="eastAsia"/>
          <w:color w:val="auto"/>
          <w:lang w:val="en-US" w:eastAsia="zh-CN"/>
        </w:rPr>
        <w:t xml:space="preserve">. </w:t>
      </w:r>
      <w:r>
        <w:rPr>
          <w:rFonts w:hint="default" w:ascii="Times New Roman" w:hAnsi="Times New Roman" w:cs="Times New Roman"/>
          <w:color w:val="auto"/>
        </w:rPr>
        <w:t>以类比作业条件比较为基础，由熟悉作业条件的人员组成评价小组；</w:t>
      </w:r>
    </w:p>
    <w:p w14:paraId="3DBA38E8">
      <w:pPr>
        <w:bidi w:val="0"/>
        <w:rPr>
          <w:rFonts w:hint="default" w:ascii="Times New Roman" w:hAnsi="Times New Roman" w:cs="Times New Roman"/>
          <w:color w:val="auto"/>
        </w:rPr>
      </w:pPr>
      <w:r>
        <w:rPr>
          <w:rFonts w:hint="default" w:ascii="Times New Roman" w:hAnsi="Times New Roman" w:cs="Times New Roman"/>
          <w:color w:val="auto"/>
        </w:rPr>
        <w:t>2</w:t>
      </w:r>
      <w:r>
        <w:rPr>
          <w:rFonts w:hint="eastAsia"/>
          <w:color w:val="auto"/>
          <w:lang w:val="en-US" w:eastAsia="zh-CN"/>
        </w:rPr>
        <w:t xml:space="preserve">. </w:t>
      </w:r>
      <w:r>
        <w:rPr>
          <w:rFonts w:hint="default" w:ascii="Times New Roman" w:hAnsi="Times New Roman" w:cs="Times New Roman"/>
          <w:color w:val="auto"/>
        </w:rPr>
        <w:t>由评价小组成员按照标准给L、E、C分别打分，取各组的平均值作为L、E、C的计算分值，用计算的危险性分值D来评价作业条件的危险性等级。</w:t>
      </w:r>
    </w:p>
    <w:p w14:paraId="5F339A47">
      <w:pPr>
        <w:bidi w:val="0"/>
        <w:rPr>
          <w:rFonts w:hint="default" w:ascii="Times New Roman" w:hAnsi="Times New Roman" w:cs="Times New Roman"/>
          <w:color w:val="auto"/>
        </w:rPr>
      </w:pPr>
      <w:r>
        <w:rPr>
          <w:rFonts w:hint="default" w:ascii="Times New Roman" w:hAnsi="Times New Roman" w:cs="Times New Roman"/>
          <w:color w:val="auto"/>
          <w:lang w:val="en-US" w:eastAsia="zh-CN"/>
        </w:rPr>
        <w:t>三、</w:t>
      </w:r>
      <w:r>
        <w:rPr>
          <w:rFonts w:hint="default" w:ascii="Times New Roman" w:hAnsi="Times New Roman" w:cs="Times New Roman"/>
          <w:color w:val="auto"/>
        </w:rPr>
        <w:t>赋分标准</w:t>
      </w:r>
    </w:p>
    <w:p w14:paraId="5DD9B127">
      <w:pPr>
        <w:bidi w:val="0"/>
        <w:rPr>
          <w:rFonts w:hint="default" w:ascii="Times New Roman" w:hAnsi="Times New Roman" w:cs="Times New Roman"/>
          <w:color w:val="auto"/>
        </w:rPr>
      </w:pPr>
      <w:r>
        <w:rPr>
          <w:rFonts w:hint="default" w:ascii="Times New Roman" w:hAnsi="Times New Roman" w:cs="Times New Roman"/>
          <w:color w:val="auto"/>
        </w:rPr>
        <w:t>1</w:t>
      </w:r>
      <w:r>
        <w:rPr>
          <w:rFonts w:hint="eastAsia"/>
          <w:color w:val="auto"/>
          <w:lang w:val="en-US" w:eastAsia="zh-CN"/>
        </w:rPr>
        <w:t xml:space="preserve">. </w:t>
      </w:r>
      <w:r>
        <w:rPr>
          <w:rFonts w:hint="default" w:ascii="Times New Roman" w:hAnsi="Times New Roman" w:cs="Times New Roman"/>
          <w:color w:val="auto"/>
        </w:rPr>
        <w:t>事故发生的可能性（L）</w:t>
      </w:r>
    </w:p>
    <w:p w14:paraId="5FB5F0C2">
      <w:pPr>
        <w:bidi w:val="0"/>
        <w:rPr>
          <w:rFonts w:hint="default" w:ascii="Times New Roman" w:hAnsi="Times New Roman" w:cs="Times New Roman"/>
          <w:color w:val="auto"/>
        </w:rPr>
      </w:pPr>
      <w:r>
        <w:rPr>
          <w:rFonts w:hint="default" w:ascii="Times New Roman" w:hAnsi="Times New Roman" w:cs="Times New Roman"/>
          <w:color w:val="auto"/>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w:t>
      </w:r>
      <w:r>
        <w:rPr>
          <w:rFonts w:hint="default" w:ascii="Times New Roman" w:hAnsi="Times New Roman" w:eastAsia="宋体" w:cs="Times New Roman"/>
          <w:color w:val="auto"/>
          <w:lang w:val="en-US" w:eastAsia="zh-CN"/>
        </w:rPr>
        <w:t>表</w:t>
      </w:r>
      <w:r>
        <w:rPr>
          <w:rFonts w:hint="default"/>
          <w:color w:val="auto"/>
          <w:lang w:val="en-US" w:eastAsia="zh-CN"/>
        </w:rPr>
        <w:t>4</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ascii="Times New Roman" w:hAnsi="Times New Roman" w:cs="Times New Roman"/>
          <w:color w:val="auto"/>
        </w:rPr>
        <w:t>。</w:t>
      </w:r>
    </w:p>
    <w:p w14:paraId="37F123F0">
      <w:pPr>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w:t>
      </w:r>
      <w:r>
        <w:rPr>
          <w:rFonts w:hint="default"/>
          <w:color w:val="auto"/>
          <w:lang w:val="en-US" w:eastAsia="zh-CN"/>
        </w:rPr>
        <w:t>4</w:t>
      </w:r>
      <w:r>
        <w:rPr>
          <w:rFonts w:hint="eastAsia"/>
          <w:color w:val="auto"/>
          <w:lang w:val="en-US" w:eastAsia="zh-CN"/>
        </w:rPr>
        <w:t>.3</w:t>
      </w:r>
      <w:r>
        <w:rPr>
          <w:rFonts w:hint="default"/>
          <w:color w:val="auto"/>
          <w:lang w:val="en-US" w:eastAsia="zh-CN"/>
        </w:rPr>
        <w:t>-</w:t>
      </w:r>
      <w:r>
        <w:rPr>
          <w:rFonts w:hint="eastAsia"/>
          <w:color w:val="auto"/>
          <w:lang w:val="en-US" w:eastAsia="zh-CN"/>
        </w:rPr>
        <w:t>2</w:t>
      </w:r>
      <w:r>
        <w:rPr>
          <w:rFonts w:hint="default" w:ascii="Times New Roman" w:hAnsi="Times New Roman" w:eastAsia="宋体" w:cs="Times New Roman"/>
          <w:color w:val="auto"/>
          <w:lang w:val="en-US" w:eastAsia="zh-CN"/>
        </w:rPr>
        <w:t xml:space="preserve"> 事故发生的可能性（L）</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230"/>
        <w:gridCol w:w="1076"/>
        <w:gridCol w:w="3328"/>
      </w:tblGrid>
      <w:tr w14:paraId="0527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14:paraId="5CC87D31">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230" w:type="dxa"/>
            <w:noWrap w:val="0"/>
            <w:vAlign w:val="center"/>
          </w:tcPr>
          <w:p w14:paraId="6482FCF3">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事故发生的可能性</w:t>
            </w:r>
          </w:p>
        </w:tc>
        <w:tc>
          <w:tcPr>
            <w:tcW w:w="1076" w:type="dxa"/>
            <w:noWrap w:val="0"/>
            <w:vAlign w:val="center"/>
          </w:tcPr>
          <w:p w14:paraId="7AEC46ED">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328" w:type="dxa"/>
            <w:noWrap w:val="0"/>
            <w:vAlign w:val="center"/>
          </w:tcPr>
          <w:p w14:paraId="1EAEB4AB">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事故发生的可能性</w:t>
            </w:r>
          </w:p>
        </w:tc>
      </w:tr>
      <w:tr w14:paraId="631B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14:paraId="74685C0D">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30" w:type="dxa"/>
            <w:noWrap w:val="0"/>
            <w:vAlign w:val="center"/>
          </w:tcPr>
          <w:p w14:paraId="2136550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完全可以预料到</w:t>
            </w:r>
          </w:p>
        </w:tc>
        <w:tc>
          <w:tcPr>
            <w:tcW w:w="1076" w:type="dxa"/>
            <w:noWrap w:val="0"/>
            <w:vAlign w:val="center"/>
          </w:tcPr>
          <w:p w14:paraId="7F0D63D6">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328" w:type="dxa"/>
            <w:noWrap w:val="0"/>
            <w:vAlign w:val="center"/>
          </w:tcPr>
          <w:p w14:paraId="75E27A0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极不可能，可以设想</w:t>
            </w:r>
          </w:p>
        </w:tc>
      </w:tr>
      <w:tr w14:paraId="4C55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14:paraId="1A281A2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30" w:type="dxa"/>
            <w:noWrap w:val="0"/>
            <w:vAlign w:val="center"/>
          </w:tcPr>
          <w:p w14:paraId="2C16E05B">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相当可能</w:t>
            </w:r>
          </w:p>
        </w:tc>
        <w:tc>
          <w:tcPr>
            <w:tcW w:w="1076" w:type="dxa"/>
            <w:noWrap w:val="0"/>
            <w:vAlign w:val="center"/>
          </w:tcPr>
          <w:p w14:paraId="0E247F87">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3328" w:type="dxa"/>
            <w:noWrap w:val="0"/>
            <w:vAlign w:val="center"/>
          </w:tcPr>
          <w:p w14:paraId="6A5A5171">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极不可能</w:t>
            </w:r>
          </w:p>
        </w:tc>
      </w:tr>
      <w:tr w14:paraId="19DE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14:paraId="7713521A">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30" w:type="dxa"/>
            <w:noWrap w:val="0"/>
            <w:vAlign w:val="center"/>
          </w:tcPr>
          <w:p w14:paraId="3FEA91A2">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可能，但不经常</w:t>
            </w:r>
          </w:p>
        </w:tc>
        <w:tc>
          <w:tcPr>
            <w:tcW w:w="1076" w:type="dxa"/>
            <w:noWrap w:val="0"/>
            <w:vAlign w:val="center"/>
          </w:tcPr>
          <w:p w14:paraId="03DAA79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3328" w:type="dxa"/>
            <w:noWrap w:val="0"/>
            <w:vAlign w:val="center"/>
          </w:tcPr>
          <w:p w14:paraId="7F482A73">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实际不可能</w:t>
            </w:r>
          </w:p>
        </w:tc>
      </w:tr>
      <w:tr w14:paraId="4B4E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1174" w:type="dxa"/>
            <w:noWrap w:val="0"/>
            <w:vAlign w:val="center"/>
          </w:tcPr>
          <w:p w14:paraId="053D8FA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30" w:type="dxa"/>
            <w:noWrap w:val="0"/>
            <w:vAlign w:val="center"/>
          </w:tcPr>
          <w:p w14:paraId="5775A202">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可能性小，完全意外</w:t>
            </w:r>
          </w:p>
        </w:tc>
        <w:tc>
          <w:tcPr>
            <w:tcW w:w="1076" w:type="dxa"/>
            <w:noWrap w:val="0"/>
            <w:vAlign w:val="center"/>
          </w:tcPr>
          <w:p w14:paraId="1E3273E2">
            <w:pPr>
              <w:spacing w:line="240" w:lineRule="auto"/>
              <w:ind w:firstLine="0" w:firstLineChars="0"/>
              <w:jc w:val="center"/>
              <w:rPr>
                <w:rFonts w:hint="default" w:ascii="Times New Roman" w:hAnsi="Times New Roman" w:cs="Times New Roman"/>
                <w:color w:val="auto"/>
                <w:sz w:val="21"/>
                <w:szCs w:val="21"/>
              </w:rPr>
            </w:pPr>
          </w:p>
        </w:tc>
        <w:tc>
          <w:tcPr>
            <w:tcW w:w="3328" w:type="dxa"/>
            <w:noWrap w:val="0"/>
            <w:vAlign w:val="center"/>
          </w:tcPr>
          <w:p w14:paraId="1449DD8B">
            <w:pPr>
              <w:spacing w:line="240" w:lineRule="auto"/>
              <w:ind w:firstLine="0" w:firstLineChars="0"/>
              <w:jc w:val="center"/>
              <w:rPr>
                <w:rFonts w:hint="default" w:ascii="Times New Roman" w:hAnsi="Times New Roman" w:cs="Times New Roman"/>
                <w:color w:val="auto"/>
                <w:sz w:val="21"/>
                <w:szCs w:val="21"/>
              </w:rPr>
            </w:pPr>
          </w:p>
        </w:tc>
      </w:tr>
    </w:tbl>
    <w:p w14:paraId="6CAE81A6">
      <w:pPr>
        <w:bidi w:val="0"/>
        <w:rPr>
          <w:rFonts w:hint="default" w:ascii="Times New Roman" w:hAnsi="Times New Roman" w:cs="Times New Roman"/>
          <w:color w:val="auto"/>
        </w:rPr>
      </w:pPr>
      <w:r>
        <w:rPr>
          <w:rFonts w:hint="default" w:ascii="Times New Roman" w:hAnsi="Times New Roman" w:cs="Times New Roman"/>
          <w:color w:val="auto"/>
        </w:rPr>
        <w:t>2</w:t>
      </w:r>
      <w:r>
        <w:rPr>
          <w:rFonts w:hint="eastAsia"/>
          <w:color w:val="auto"/>
          <w:lang w:val="en-US" w:eastAsia="zh-CN"/>
        </w:rPr>
        <w:t xml:space="preserve">. </w:t>
      </w:r>
      <w:r>
        <w:rPr>
          <w:rFonts w:hint="default" w:ascii="Times New Roman" w:hAnsi="Times New Roman" w:cs="Times New Roman"/>
          <w:color w:val="auto"/>
        </w:rPr>
        <w:t>人员暴露于危险环境的频繁程度（E）</w:t>
      </w:r>
    </w:p>
    <w:p w14:paraId="791DA438">
      <w:pPr>
        <w:bidi w:val="0"/>
        <w:rPr>
          <w:rFonts w:hint="default" w:ascii="Times New Roman" w:hAnsi="Times New Roman" w:cs="Times New Roman"/>
          <w:color w:val="auto"/>
        </w:rPr>
      </w:pPr>
      <w:r>
        <w:rPr>
          <w:rFonts w:hint="default" w:ascii="Times New Roman" w:hAnsi="Times New Roman" w:cs="Times New Roman"/>
          <w:color w:val="auto"/>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w:t>
      </w:r>
      <w:r>
        <w:rPr>
          <w:rFonts w:hint="default"/>
          <w:color w:val="auto"/>
          <w:lang w:val="en-US" w:eastAsia="zh-CN"/>
        </w:rPr>
        <w:t>4</w:t>
      </w:r>
      <w:r>
        <w:rPr>
          <w:rFonts w:hint="eastAsia"/>
          <w:color w:val="auto"/>
          <w:lang w:val="en-US" w:eastAsia="zh-CN"/>
        </w:rPr>
        <w:t>.3</w:t>
      </w:r>
      <w:r>
        <w:rPr>
          <w:rFonts w:hint="default"/>
          <w:color w:val="auto"/>
          <w:lang w:val="en-US" w:eastAsia="zh-CN"/>
        </w:rPr>
        <w:t>-</w:t>
      </w:r>
      <w:r>
        <w:rPr>
          <w:rFonts w:hint="eastAsia"/>
          <w:color w:val="auto"/>
          <w:lang w:val="en-US" w:eastAsia="zh-CN"/>
        </w:rPr>
        <w:t>3</w:t>
      </w:r>
      <w:r>
        <w:rPr>
          <w:rFonts w:hint="default" w:ascii="Times New Roman" w:hAnsi="Times New Roman" w:cs="Times New Roman"/>
          <w:color w:val="auto"/>
        </w:rPr>
        <w:t>。</w:t>
      </w:r>
    </w:p>
    <w:p w14:paraId="015EF2A4">
      <w:pPr>
        <w:pStyle w:val="23"/>
        <w:jc w:val="center"/>
        <w:rPr>
          <w:rFonts w:hint="default" w:ascii="Times New Roman" w:hAnsi="Times New Roman" w:eastAsia="宋体" w:cs="Times New Roman"/>
          <w:color w:val="auto"/>
          <w:kern w:val="2"/>
          <w:sz w:val="28"/>
          <w:szCs w:val="24"/>
          <w:lang w:val="en-US" w:eastAsia="zh-CN" w:bidi="ar-SA"/>
        </w:rPr>
      </w:pPr>
      <w:r>
        <w:rPr>
          <w:rFonts w:hint="default" w:ascii="Times New Roman" w:hAnsi="Times New Roman" w:eastAsia="宋体" w:cs="Times New Roman"/>
          <w:color w:val="auto"/>
          <w:kern w:val="2"/>
          <w:sz w:val="28"/>
          <w:szCs w:val="24"/>
          <w:lang w:val="en-US" w:eastAsia="zh-CN" w:bidi="ar-SA"/>
        </w:rPr>
        <w:t>表4.3-3 人员暴露于危险环境的频繁程度（E）</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2895"/>
        <w:gridCol w:w="1154"/>
        <w:gridCol w:w="3355"/>
      </w:tblGrid>
      <w:tr w14:paraId="3470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1304" w:type="dxa"/>
            <w:noWrap w:val="0"/>
            <w:vAlign w:val="center"/>
          </w:tcPr>
          <w:p w14:paraId="5807EE5D">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2895" w:type="dxa"/>
            <w:noWrap w:val="0"/>
            <w:vAlign w:val="center"/>
          </w:tcPr>
          <w:p w14:paraId="43DBE7EE">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人员暴露于危险</w:t>
            </w:r>
          </w:p>
          <w:p w14:paraId="3CAE1C28">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环境的频繁程度</w:t>
            </w:r>
          </w:p>
        </w:tc>
        <w:tc>
          <w:tcPr>
            <w:tcW w:w="1154" w:type="dxa"/>
            <w:noWrap w:val="0"/>
            <w:vAlign w:val="center"/>
          </w:tcPr>
          <w:p w14:paraId="52B2EB39">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355" w:type="dxa"/>
            <w:noWrap w:val="0"/>
            <w:vAlign w:val="center"/>
          </w:tcPr>
          <w:p w14:paraId="6C544279">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人员暴露于危险</w:t>
            </w:r>
          </w:p>
          <w:p w14:paraId="34B2A914">
            <w:pPr>
              <w:spacing w:line="28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环境的频繁程度</w:t>
            </w:r>
          </w:p>
        </w:tc>
      </w:tr>
      <w:tr w14:paraId="5A52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304" w:type="dxa"/>
            <w:noWrap w:val="0"/>
            <w:vAlign w:val="center"/>
          </w:tcPr>
          <w:p w14:paraId="5A6D05C2">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895" w:type="dxa"/>
            <w:noWrap w:val="0"/>
            <w:vAlign w:val="center"/>
          </w:tcPr>
          <w:p w14:paraId="1C104CF4">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连续暴露</w:t>
            </w:r>
          </w:p>
        </w:tc>
        <w:tc>
          <w:tcPr>
            <w:tcW w:w="1154" w:type="dxa"/>
            <w:noWrap w:val="0"/>
            <w:vAlign w:val="center"/>
          </w:tcPr>
          <w:p w14:paraId="28E4F2C7">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355" w:type="dxa"/>
            <w:noWrap w:val="0"/>
            <w:vAlign w:val="center"/>
          </w:tcPr>
          <w:p w14:paraId="4CDFEE01">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每月一次暴露</w:t>
            </w:r>
          </w:p>
        </w:tc>
      </w:tr>
      <w:tr w14:paraId="141D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304" w:type="dxa"/>
            <w:noWrap w:val="0"/>
            <w:vAlign w:val="center"/>
          </w:tcPr>
          <w:p w14:paraId="632F24C0">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895" w:type="dxa"/>
            <w:noWrap w:val="0"/>
            <w:vAlign w:val="center"/>
          </w:tcPr>
          <w:p w14:paraId="20D83D23">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每天工作时间暴露</w:t>
            </w:r>
          </w:p>
        </w:tc>
        <w:tc>
          <w:tcPr>
            <w:tcW w:w="1154" w:type="dxa"/>
            <w:noWrap w:val="0"/>
            <w:vAlign w:val="center"/>
          </w:tcPr>
          <w:p w14:paraId="15839DDC">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355" w:type="dxa"/>
            <w:noWrap w:val="0"/>
            <w:vAlign w:val="center"/>
          </w:tcPr>
          <w:p w14:paraId="171A2E25">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每年几次暴露</w:t>
            </w:r>
          </w:p>
        </w:tc>
      </w:tr>
      <w:tr w14:paraId="02D0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304" w:type="dxa"/>
            <w:noWrap w:val="0"/>
            <w:vAlign w:val="center"/>
          </w:tcPr>
          <w:p w14:paraId="5242E6B2">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895" w:type="dxa"/>
            <w:noWrap w:val="0"/>
            <w:vAlign w:val="center"/>
          </w:tcPr>
          <w:p w14:paraId="5E2FFF32">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每周一次，或偶然暴露</w:t>
            </w:r>
          </w:p>
        </w:tc>
        <w:tc>
          <w:tcPr>
            <w:tcW w:w="1154" w:type="dxa"/>
            <w:noWrap w:val="0"/>
            <w:vAlign w:val="center"/>
          </w:tcPr>
          <w:p w14:paraId="6FEF13C8">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355" w:type="dxa"/>
            <w:noWrap w:val="0"/>
            <w:vAlign w:val="center"/>
          </w:tcPr>
          <w:p w14:paraId="54DBE899">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非常罕见的暴露</w:t>
            </w:r>
          </w:p>
        </w:tc>
      </w:tr>
    </w:tbl>
    <w:p w14:paraId="41D825CF">
      <w:pPr>
        <w:bidi w:val="0"/>
        <w:rPr>
          <w:rFonts w:hint="default" w:ascii="Times New Roman" w:hAnsi="Times New Roman" w:cs="Times New Roman"/>
          <w:color w:val="auto"/>
        </w:rPr>
      </w:pPr>
      <w:r>
        <w:rPr>
          <w:rFonts w:hint="default" w:ascii="Times New Roman" w:hAnsi="Times New Roman" w:cs="Times New Roman"/>
          <w:color w:val="auto"/>
        </w:rPr>
        <w:t>3</w:t>
      </w:r>
      <w:r>
        <w:rPr>
          <w:rFonts w:hint="eastAsia"/>
          <w:color w:val="auto"/>
          <w:lang w:val="en-US" w:eastAsia="zh-CN"/>
        </w:rPr>
        <w:t xml:space="preserve">. </w:t>
      </w:r>
      <w:r>
        <w:rPr>
          <w:rFonts w:hint="default" w:ascii="Times New Roman" w:hAnsi="Times New Roman" w:cs="Times New Roman"/>
          <w:color w:val="auto"/>
        </w:rPr>
        <w:t>发生事故可能造成的后果（C）</w:t>
      </w:r>
    </w:p>
    <w:p w14:paraId="160683E6">
      <w:pPr>
        <w:bidi w:val="0"/>
        <w:rPr>
          <w:rFonts w:hint="default" w:ascii="Times New Roman" w:hAnsi="Times New Roman" w:cs="Times New Roman"/>
          <w:color w:val="auto"/>
        </w:rPr>
      </w:pPr>
      <w:r>
        <w:rPr>
          <w:rFonts w:hint="default" w:ascii="Times New Roman" w:hAnsi="Times New Roman" w:cs="Times New Roman"/>
          <w:color w:val="auto"/>
        </w:rPr>
        <w:t>事故造成的人员伤亡和财产损失的范围变化很大，所以规定分数值为1-100。把需要治疗的轻微伤害或较小财产损失的分数值规定为1，造成多人死亡或重大财产损失的分数值规定为100，介于两者之间的情况规定若干个中间值。见</w:t>
      </w:r>
      <w:r>
        <w:rPr>
          <w:rFonts w:hint="default" w:ascii="Times New Roman" w:hAnsi="Times New Roman" w:eastAsia="宋体" w:cs="Times New Roman"/>
          <w:color w:val="auto"/>
          <w:kern w:val="2"/>
          <w:sz w:val="28"/>
          <w:szCs w:val="24"/>
          <w:lang w:val="en-US" w:eastAsia="zh-CN" w:bidi="ar-SA"/>
        </w:rPr>
        <w:t>表4.3-</w:t>
      </w:r>
      <w:r>
        <w:rPr>
          <w:rFonts w:hint="eastAsia" w:ascii="Times New Roman" w:hAnsi="Times New Roman" w:eastAsia="宋体" w:cs="Times New Roman"/>
          <w:color w:val="auto"/>
          <w:kern w:val="2"/>
          <w:sz w:val="28"/>
          <w:szCs w:val="24"/>
          <w:lang w:val="en-US" w:eastAsia="zh-CN" w:bidi="ar-SA"/>
        </w:rPr>
        <w:t>4</w:t>
      </w:r>
      <w:r>
        <w:rPr>
          <w:rFonts w:hint="default" w:ascii="Times New Roman" w:hAnsi="Times New Roman" w:cs="Times New Roman"/>
          <w:color w:val="auto"/>
        </w:rPr>
        <w:t>。</w:t>
      </w:r>
    </w:p>
    <w:p w14:paraId="154C0007">
      <w:pPr>
        <w:pStyle w:val="23"/>
        <w:jc w:val="center"/>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表4.3-</w:t>
      </w:r>
      <w:r>
        <w:rPr>
          <w:rFonts w:hint="eastAsia" w:ascii="Times New Roman" w:hAnsi="Times New Roman" w:eastAsia="宋体" w:cs="Times New Roman"/>
          <w:color w:val="auto"/>
          <w:kern w:val="2"/>
          <w:sz w:val="28"/>
          <w:szCs w:val="28"/>
          <w:lang w:val="en-US" w:eastAsia="zh-CN" w:bidi="ar-SA"/>
        </w:rPr>
        <w:t>4</w:t>
      </w:r>
      <w:r>
        <w:rPr>
          <w:rFonts w:hint="default" w:ascii="Times New Roman" w:hAnsi="Times New Roman" w:eastAsia="宋体" w:cs="Times New Roman"/>
          <w:color w:val="auto"/>
          <w:kern w:val="2"/>
          <w:sz w:val="28"/>
          <w:szCs w:val="28"/>
          <w:lang w:val="en-US" w:eastAsia="zh-CN" w:bidi="ar-SA"/>
        </w:rPr>
        <w:t xml:space="preserve"> 发生事故可能造成的后果（C）</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708"/>
        <w:gridCol w:w="1060"/>
        <w:gridCol w:w="3178"/>
      </w:tblGrid>
      <w:tr w14:paraId="0662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59" w:type="dxa"/>
            <w:noWrap w:val="0"/>
            <w:vAlign w:val="center"/>
          </w:tcPr>
          <w:p w14:paraId="0B8403DA">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708" w:type="dxa"/>
            <w:noWrap w:val="0"/>
            <w:vAlign w:val="center"/>
          </w:tcPr>
          <w:p w14:paraId="1518A571">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发生事故可能造成的后果</w:t>
            </w:r>
          </w:p>
        </w:tc>
        <w:tc>
          <w:tcPr>
            <w:tcW w:w="1060" w:type="dxa"/>
            <w:noWrap w:val="0"/>
            <w:vAlign w:val="center"/>
          </w:tcPr>
          <w:p w14:paraId="63DF614B">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分数值</w:t>
            </w:r>
          </w:p>
        </w:tc>
        <w:tc>
          <w:tcPr>
            <w:tcW w:w="3178" w:type="dxa"/>
            <w:noWrap w:val="0"/>
            <w:vAlign w:val="center"/>
          </w:tcPr>
          <w:p w14:paraId="611FE906">
            <w:pPr>
              <w:spacing w:line="400" w:lineRule="exact"/>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发生事故可能造成的后果</w:t>
            </w:r>
          </w:p>
        </w:tc>
      </w:tr>
      <w:tr w14:paraId="46840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59" w:type="dxa"/>
            <w:noWrap w:val="0"/>
            <w:vAlign w:val="center"/>
          </w:tcPr>
          <w:p w14:paraId="01FDC9DD">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3708" w:type="dxa"/>
            <w:noWrap w:val="0"/>
            <w:vAlign w:val="center"/>
          </w:tcPr>
          <w:p w14:paraId="1FEB44DF">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大灾难，多人死亡或重大财产损失</w:t>
            </w:r>
          </w:p>
        </w:tc>
        <w:tc>
          <w:tcPr>
            <w:tcW w:w="1060" w:type="dxa"/>
            <w:noWrap w:val="0"/>
            <w:vAlign w:val="center"/>
          </w:tcPr>
          <w:p w14:paraId="2CC0D218">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178" w:type="dxa"/>
            <w:noWrap w:val="0"/>
            <w:vAlign w:val="center"/>
          </w:tcPr>
          <w:p w14:paraId="09E60F28">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严重，重伤或较小的财产损失</w:t>
            </w:r>
          </w:p>
        </w:tc>
      </w:tr>
      <w:tr w14:paraId="2B68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59" w:type="dxa"/>
            <w:noWrap w:val="0"/>
            <w:vAlign w:val="center"/>
          </w:tcPr>
          <w:p w14:paraId="7760346D">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708" w:type="dxa"/>
            <w:noWrap w:val="0"/>
            <w:vAlign w:val="center"/>
          </w:tcPr>
          <w:p w14:paraId="2C3FA97E">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灾难，数人死亡或很大财产损失</w:t>
            </w:r>
          </w:p>
        </w:tc>
        <w:tc>
          <w:tcPr>
            <w:tcW w:w="1060" w:type="dxa"/>
            <w:noWrap w:val="0"/>
            <w:vAlign w:val="center"/>
          </w:tcPr>
          <w:p w14:paraId="1B509D9D">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178" w:type="dxa"/>
            <w:noWrap w:val="0"/>
            <w:vAlign w:val="center"/>
          </w:tcPr>
          <w:p w14:paraId="28761A39">
            <w:pPr>
              <w:spacing w:line="40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重大，致残或很小的财产损失</w:t>
            </w:r>
          </w:p>
        </w:tc>
      </w:tr>
      <w:tr w14:paraId="11AE2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59" w:type="dxa"/>
            <w:noWrap w:val="0"/>
            <w:vAlign w:val="center"/>
          </w:tcPr>
          <w:p w14:paraId="46BAB53E">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708" w:type="dxa"/>
            <w:noWrap w:val="0"/>
            <w:vAlign w:val="center"/>
          </w:tcPr>
          <w:p w14:paraId="74E58BC6">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非常严重，一人死亡</w:t>
            </w:r>
          </w:p>
          <w:p w14:paraId="27B5136C">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或一定的财产损失</w:t>
            </w:r>
          </w:p>
        </w:tc>
        <w:tc>
          <w:tcPr>
            <w:tcW w:w="1060" w:type="dxa"/>
            <w:noWrap w:val="0"/>
            <w:vAlign w:val="center"/>
          </w:tcPr>
          <w:p w14:paraId="5FA7A78B">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178" w:type="dxa"/>
            <w:noWrap w:val="0"/>
            <w:vAlign w:val="center"/>
          </w:tcPr>
          <w:p w14:paraId="68873953">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引人注目，</w:t>
            </w:r>
          </w:p>
          <w:p w14:paraId="72C6AF4E">
            <w:pPr>
              <w:spacing w:line="280" w:lineRule="exact"/>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不利于基本的安全卫生要求</w:t>
            </w:r>
          </w:p>
        </w:tc>
      </w:tr>
    </w:tbl>
    <w:p w14:paraId="279148EA">
      <w:pPr>
        <w:numPr>
          <w:ilvl w:val="0"/>
          <w:numId w:val="2"/>
        </w:numPr>
        <w:bidi w:val="0"/>
        <w:rPr>
          <w:rFonts w:hint="default" w:ascii="Times New Roman" w:hAnsi="Times New Roman" w:cs="Times New Roman"/>
          <w:color w:val="auto"/>
          <w:lang w:val="en-US" w:eastAsia="zh-CN"/>
        </w:rPr>
      </w:pPr>
      <w:r>
        <w:rPr>
          <w:rFonts w:hint="default" w:ascii="Times New Roman" w:hAnsi="Times New Roman" w:cs="Times New Roman"/>
          <w:color w:val="auto"/>
        </w:rPr>
        <w:t>危险等级划分标准</w:t>
      </w:r>
    </w:p>
    <w:p w14:paraId="6726ED2C">
      <w:pPr>
        <w:bidi w:val="0"/>
        <w:rPr>
          <w:rFonts w:hint="default" w:ascii="Times New Roman" w:hAnsi="Times New Roman" w:cs="Times New Roman"/>
          <w:color w:val="auto"/>
        </w:rPr>
      </w:pPr>
      <w:r>
        <w:rPr>
          <w:rFonts w:hint="default" w:ascii="Times New Roman" w:hAnsi="Times New Roman" w:cs="Times New Roman"/>
          <w:color w:val="auto"/>
        </w:rPr>
        <w:t>根据经验，危险性分值在20分以下为低危险性，这样的危险比日常生活中骑自行车去上班还要安全些，如果危险性分值在20-70之间，为一般危险，需要注意；如果危险性分值在70-160之间，有显著的危险性，需要采取措施整改；如果危险性分值在160-320之间，有高度危险性，必须立即整改；如果危险性分值大于320，极度危险，应立即停止作业，彻底整改。按危险性分值划分危险性等级的标准见</w:t>
      </w:r>
      <w:r>
        <w:rPr>
          <w:rFonts w:hint="default" w:ascii="Times New Roman" w:hAnsi="Times New Roman" w:eastAsia="宋体" w:cs="Times New Roman"/>
          <w:color w:val="auto"/>
          <w:kern w:val="2"/>
          <w:sz w:val="28"/>
          <w:szCs w:val="24"/>
          <w:lang w:val="en-US" w:eastAsia="zh-CN" w:bidi="ar-SA"/>
        </w:rPr>
        <w:t>表4.3-</w:t>
      </w:r>
      <w:r>
        <w:rPr>
          <w:rFonts w:hint="eastAsia" w:ascii="Times New Roman" w:hAnsi="Times New Roman" w:eastAsia="宋体" w:cs="Times New Roman"/>
          <w:color w:val="auto"/>
          <w:kern w:val="2"/>
          <w:sz w:val="28"/>
          <w:szCs w:val="24"/>
          <w:lang w:val="en-US" w:eastAsia="zh-CN" w:bidi="ar-SA"/>
        </w:rPr>
        <w:t>5</w:t>
      </w:r>
      <w:r>
        <w:rPr>
          <w:rFonts w:hint="default" w:ascii="Times New Roman" w:hAnsi="Times New Roman" w:cs="Times New Roman"/>
          <w:color w:val="auto"/>
        </w:rPr>
        <w:t>。</w:t>
      </w:r>
    </w:p>
    <w:p w14:paraId="08E2E9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4"/>
          <w:lang w:val="en-US" w:eastAsia="zh-CN" w:bidi="ar-SA"/>
        </w:rPr>
        <w:t>表4.3-</w:t>
      </w:r>
      <w:r>
        <w:rPr>
          <w:rFonts w:hint="eastAsia" w:ascii="Times New Roman" w:hAnsi="Times New Roman" w:eastAsia="宋体" w:cs="Times New Roman"/>
          <w:color w:val="auto"/>
          <w:kern w:val="2"/>
          <w:sz w:val="28"/>
          <w:szCs w:val="24"/>
          <w:lang w:val="en-US" w:eastAsia="zh-CN" w:bidi="ar-SA"/>
        </w:rPr>
        <w:t>5</w:t>
      </w:r>
      <w:r>
        <w:rPr>
          <w:rFonts w:hint="default" w:ascii="Times New Roman" w:hAnsi="Times New Roman" w:eastAsia="宋体" w:cs="Times New Roman"/>
          <w:color w:val="auto"/>
          <w:kern w:val="2"/>
          <w:sz w:val="28"/>
          <w:szCs w:val="28"/>
          <w:lang w:val="en-US" w:eastAsia="zh-CN" w:bidi="ar-SA"/>
        </w:rPr>
        <w:t xml:space="preserve"> 危险性等级划分标准</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901"/>
        <w:gridCol w:w="1537"/>
        <w:gridCol w:w="3009"/>
      </w:tblGrid>
      <w:tr w14:paraId="1D1BB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jc w:val="center"/>
        </w:trPr>
        <w:tc>
          <w:tcPr>
            <w:tcW w:w="1193" w:type="dxa"/>
            <w:noWrap w:val="0"/>
            <w:vAlign w:val="center"/>
          </w:tcPr>
          <w:p w14:paraId="5BB4FC36">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D值</w:t>
            </w:r>
          </w:p>
        </w:tc>
        <w:tc>
          <w:tcPr>
            <w:tcW w:w="2901" w:type="dxa"/>
            <w:noWrap w:val="0"/>
            <w:vAlign w:val="center"/>
          </w:tcPr>
          <w:p w14:paraId="27B9D742">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危险程度</w:t>
            </w:r>
          </w:p>
        </w:tc>
        <w:tc>
          <w:tcPr>
            <w:tcW w:w="1537" w:type="dxa"/>
            <w:noWrap w:val="0"/>
            <w:vAlign w:val="center"/>
          </w:tcPr>
          <w:p w14:paraId="2D399543">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D值</w:t>
            </w:r>
          </w:p>
        </w:tc>
        <w:tc>
          <w:tcPr>
            <w:tcW w:w="3009" w:type="dxa"/>
            <w:noWrap w:val="0"/>
            <w:vAlign w:val="center"/>
          </w:tcPr>
          <w:p w14:paraId="36485030">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危险程度</w:t>
            </w:r>
          </w:p>
        </w:tc>
      </w:tr>
      <w:tr w14:paraId="0474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1193" w:type="dxa"/>
            <w:noWrap w:val="0"/>
            <w:vAlign w:val="center"/>
          </w:tcPr>
          <w:p w14:paraId="6BFC4C56">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＞320</w:t>
            </w:r>
          </w:p>
        </w:tc>
        <w:tc>
          <w:tcPr>
            <w:tcW w:w="2901" w:type="dxa"/>
            <w:noWrap w:val="0"/>
            <w:vAlign w:val="center"/>
          </w:tcPr>
          <w:p w14:paraId="6100821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极其危险，不能继续作业</w:t>
            </w:r>
          </w:p>
        </w:tc>
        <w:tc>
          <w:tcPr>
            <w:tcW w:w="1537" w:type="dxa"/>
            <w:noWrap w:val="0"/>
            <w:vAlign w:val="center"/>
          </w:tcPr>
          <w:p w14:paraId="2CD28A7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20－70</w:t>
            </w:r>
          </w:p>
        </w:tc>
        <w:tc>
          <w:tcPr>
            <w:tcW w:w="3009" w:type="dxa"/>
            <w:noWrap w:val="0"/>
            <w:vAlign w:val="center"/>
          </w:tcPr>
          <w:p w14:paraId="34EC48B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一般危险，需要注意</w:t>
            </w:r>
          </w:p>
        </w:tc>
      </w:tr>
      <w:tr w14:paraId="71B2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jc w:val="center"/>
        </w:trPr>
        <w:tc>
          <w:tcPr>
            <w:tcW w:w="1193" w:type="dxa"/>
            <w:noWrap w:val="0"/>
            <w:vAlign w:val="center"/>
          </w:tcPr>
          <w:p w14:paraId="66FE7F3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160－320</w:t>
            </w:r>
          </w:p>
        </w:tc>
        <w:tc>
          <w:tcPr>
            <w:tcW w:w="2901" w:type="dxa"/>
            <w:noWrap w:val="0"/>
            <w:vAlign w:val="center"/>
          </w:tcPr>
          <w:p w14:paraId="5D341728">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高度危险，需立即整改</w:t>
            </w:r>
          </w:p>
        </w:tc>
        <w:tc>
          <w:tcPr>
            <w:tcW w:w="1537" w:type="dxa"/>
            <w:noWrap w:val="0"/>
            <w:vAlign w:val="center"/>
          </w:tcPr>
          <w:p w14:paraId="27476619">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3009" w:type="dxa"/>
            <w:noWrap w:val="0"/>
            <w:vAlign w:val="center"/>
          </w:tcPr>
          <w:p w14:paraId="4DD9C175">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稍有危险，可以接受</w:t>
            </w:r>
          </w:p>
        </w:tc>
      </w:tr>
      <w:tr w14:paraId="6BB0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193" w:type="dxa"/>
            <w:noWrap w:val="0"/>
            <w:vAlign w:val="center"/>
          </w:tcPr>
          <w:p w14:paraId="299A32BF">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70－160</w:t>
            </w:r>
          </w:p>
        </w:tc>
        <w:tc>
          <w:tcPr>
            <w:tcW w:w="2901" w:type="dxa"/>
            <w:noWrap w:val="0"/>
            <w:vAlign w:val="center"/>
          </w:tcPr>
          <w:p w14:paraId="2A8C92AC">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显著危险，需要整改</w:t>
            </w:r>
          </w:p>
        </w:tc>
        <w:tc>
          <w:tcPr>
            <w:tcW w:w="1537" w:type="dxa"/>
            <w:noWrap w:val="0"/>
            <w:vAlign w:val="center"/>
          </w:tcPr>
          <w:p w14:paraId="494A2E0E">
            <w:pPr>
              <w:spacing w:line="240" w:lineRule="auto"/>
              <w:ind w:firstLine="0" w:firstLineChars="0"/>
              <w:jc w:val="center"/>
              <w:rPr>
                <w:rFonts w:hint="default" w:ascii="Times New Roman" w:hAnsi="Times New Roman" w:cs="Times New Roman"/>
                <w:color w:val="auto"/>
                <w:sz w:val="21"/>
                <w:szCs w:val="21"/>
              </w:rPr>
            </w:pPr>
          </w:p>
        </w:tc>
        <w:tc>
          <w:tcPr>
            <w:tcW w:w="3009" w:type="dxa"/>
            <w:noWrap w:val="0"/>
            <w:vAlign w:val="center"/>
          </w:tcPr>
          <w:p w14:paraId="50F6E438">
            <w:pPr>
              <w:spacing w:line="240" w:lineRule="auto"/>
              <w:ind w:firstLine="0" w:firstLineChars="0"/>
              <w:jc w:val="center"/>
              <w:rPr>
                <w:rFonts w:hint="default" w:ascii="Times New Roman" w:hAnsi="Times New Roman" w:cs="Times New Roman"/>
                <w:color w:val="auto"/>
                <w:sz w:val="21"/>
                <w:szCs w:val="21"/>
              </w:rPr>
            </w:pPr>
          </w:p>
        </w:tc>
      </w:tr>
    </w:tbl>
    <w:p w14:paraId="161BFF63">
      <w:pPr>
        <w:rPr>
          <w:rFonts w:hint="default"/>
          <w:color w:val="auto"/>
          <w:lang w:val="en-US" w:eastAsia="zh-CN"/>
        </w:rPr>
      </w:pPr>
    </w:p>
    <w:p w14:paraId="3A674648">
      <w:pPr>
        <w:rPr>
          <w:rFonts w:hint="default"/>
          <w:color w:val="auto"/>
          <w:lang w:val="en-US" w:eastAsia="zh-CN"/>
        </w:rPr>
      </w:pPr>
      <w:r>
        <w:rPr>
          <w:rFonts w:hint="default"/>
          <w:color w:val="auto"/>
          <w:lang w:val="en-US" w:eastAsia="zh-CN"/>
        </w:rPr>
        <w:br w:type="page"/>
      </w:r>
    </w:p>
    <w:p w14:paraId="49B8F4B3">
      <w:pPr>
        <w:pStyle w:val="23"/>
        <w:rPr>
          <w:rFonts w:hint="default"/>
          <w:color w:val="auto"/>
          <w:lang w:val="en-US" w:eastAsia="zh-CN"/>
        </w:rPr>
      </w:pPr>
    </w:p>
    <w:p w14:paraId="3EBCD2C1">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291" w:name="_Toc29016"/>
      <w:bookmarkStart w:id="292" w:name="_Toc31819"/>
      <w:bookmarkStart w:id="293" w:name="_Toc12793"/>
      <w:bookmarkStart w:id="294" w:name="_Toc6798"/>
      <w:r>
        <w:rPr>
          <w:rFonts w:hint="default" w:ascii="Times New Roman" w:hAnsi="Times New Roman" w:cs="Times New Roman"/>
          <w:color w:val="auto"/>
          <w:lang w:val="en-US" w:eastAsia="zh-CN"/>
        </w:rPr>
        <w:t>定性定量评价</w:t>
      </w:r>
      <w:bookmarkEnd w:id="291"/>
      <w:bookmarkEnd w:id="292"/>
      <w:bookmarkEnd w:id="293"/>
      <w:bookmarkEnd w:id="294"/>
    </w:p>
    <w:p w14:paraId="6CDC7262">
      <w:pPr>
        <w:keepNext w:val="0"/>
        <w:keepLines w:val="0"/>
        <w:widowControl/>
        <w:suppressLineNumbers w:val="0"/>
        <w:jc w:val="left"/>
        <w:rPr>
          <w:rFonts w:hint="default"/>
          <w:color w:val="auto"/>
          <w:lang w:val="en-US" w:eastAsia="zh-CN"/>
        </w:rPr>
      </w:pPr>
      <w:r>
        <w:rPr>
          <w:rFonts w:hint="default"/>
          <w:color w:val="auto"/>
          <w:lang w:val="en-US" w:eastAsia="zh-CN"/>
        </w:rPr>
        <w:t>采用原江西省安全生产监督管理局制订的《江西省非煤露天矿山安全检査表》，</w:t>
      </w:r>
      <w:r>
        <w:rPr>
          <w:rFonts w:hint="eastAsia" w:ascii="宋体" w:hAnsi="宋体" w:eastAsia="宋体" w:cs="宋体"/>
          <w:color w:val="auto"/>
          <w:kern w:val="0"/>
          <w:sz w:val="28"/>
          <w:szCs w:val="28"/>
          <w:lang w:val="en-US" w:eastAsia="zh-CN" w:bidi="ar"/>
        </w:rPr>
        <w:t>并</w:t>
      </w:r>
      <w:r>
        <w:rPr>
          <w:rFonts w:hint="default"/>
          <w:color w:val="auto"/>
          <w:lang w:val="en-US" w:eastAsia="zh-CN"/>
        </w:rPr>
        <w:t>依照最新的法律法规、标准规范等对相关条款进行调整</w:t>
      </w:r>
      <w:r>
        <w:rPr>
          <w:rFonts w:hint="eastAsia"/>
          <w:color w:val="auto"/>
          <w:lang w:val="en-US" w:eastAsia="zh-CN"/>
        </w:rPr>
        <w:t>，</w:t>
      </w:r>
      <w:r>
        <w:rPr>
          <w:rFonts w:hint="eastAsia" w:ascii="宋体" w:cs="宋体"/>
          <w:color w:val="auto"/>
          <w:sz w:val="28"/>
          <w:szCs w:val="28"/>
          <w:lang w:bidi="ar-SA"/>
        </w:rPr>
        <w:t>对</w:t>
      </w:r>
      <w:r>
        <w:rPr>
          <w:rFonts w:hint="eastAsia" w:ascii="宋体" w:cs="宋体"/>
          <w:color w:val="auto"/>
          <w:sz w:val="28"/>
          <w:szCs w:val="28"/>
          <w:lang w:val="en-US" w:eastAsia="zh-CN" w:bidi="ar-SA"/>
        </w:rPr>
        <w:t>曹溪二矿</w:t>
      </w:r>
      <w:r>
        <w:rPr>
          <w:rFonts w:hint="eastAsia" w:ascii="宋体" w:cs="宋体"/>
          <w:color w:val="auto"/>
          <w:sz w:val="28"/>
          <w:szCs w:val="28"/>
          <w:lang w:val="zh-CN" w:eastAsia="zh-CN" w:bidi="ar-SA"/>
        </w:rPr>
        <w:t>露天开采工程各评价单元及整个系统</w:t>
      </w:r>
      <w:r>
        <w:rPr>
          <w:rFonts w:hint="eastAsia" w:ascii="宋体" w:cs="宋体"/>
          <w:color w:val="auto"/>
          <w:sz w:val="28"/>
          <w:szCs w:val="28"/>
          <w:lang w:bidi="ar-SA"/>
        </w:rPr>
        <w:t>进行评价。</w:t>
      </w:r>
    </w:p>
    <w:p w14:paraId="2126FE6F">
      <w:pPr>
        <w:pStyle w:val="3"/>
        <w:bidi w:val="0"/>
        <w:rPr>
          <w:rFonts w:hint="default"/>
          <w:color w:val="auto"/>
          <w:lang w:val="en-US" w:eastAsia="zh-CN"/>
        </w:rPr>
      </w:pPr>
      <w:bookmarkStart w:id="295" w:name="_Toc23463"/>
      <w:bookmarkStart w:id="296" w:name="_Toc15020"/>
      <w:bookmarkStart w:id="297" w:name="_Toc20308"/>
      <w:bookmarkStart w:id="298" w:name="_Toc4723"/>
      <w:r>
        <w:rPr>
          <w:rFonts w:hint="default"/>
          <w:color w:val="auto"/>
          <w:lang w:val="en-US" w:eastAsia="zh-CN"/>
        </w:rPr>
        <w:t>5.1 安全管理单元</w:t>
      </w:r>
      <w:bookmarkEnd w:id="295"/>
      <w:bookmarkEnd w:id="296"/>
      <w:bookmarkEnd w:id="297"/>
      <w:bookmarkEnd w:id="298"/>
    </w:p>
    <w:p w14:paraId="4EAD1E4A">
      <w:pPr>
        <w:pStyle w:val="4"/>
        <w:bidi w:val="0"/>
        <w:rPr>
          <w:rFonts w:hint="default"/>
          <w:color w:val="auto"/>
          <w:lang w:val="en-US" w:eastAsia="zh-CN"/>
        </w:rPr>
      </w:pPr>
      <w:bookmarkStart w:id="299" w:name="_Toc28737"/>
      <w:bookmarkStart w:id="300" w:name="_Toc11152"/>
      <w:bookmarkStart w:id="301" w:name="_Toc31852"/>
      <w:bookmarkStart w:id="302" w:name="_Toc4765"/>
      <w:r>
        <w:rPr>
          <w:rFonts w:hint="eastAsia"/>
          <w:color w:val="auto"/>
          <w:lang w:val="en-US" w:eastAsia="zh-CN"/>
        </w:rPr>
        <w:t>5.1.1 安全管理安全检查表</w:t>
      </w:r>
      <w:bookmarkEnd w:id="299"/>
      <w:bookmarkEnd w:id="300"/>
      <w:bookmarkEnd w:id="301"/>
      <w:bookmarkEnd w:id="302"/>
    </w:p>
    <w:p w14:paraId="712454B7">
      <w:pPr>
        <w:rPr>
          <w:rFonts w:hint="default"/>
          <w:color w:val="auto"/>
          <w:lang w:val="en-US" w:eastAsia="zh-CN"/>
        </w:rPr>
      </w:pPr>
      <w:r>
        <w:rPr>
          <w:rFonts w:hint="default"/>
          <w:color w:val="auto"/>
          <w:lang w:val="en-US" w:eastAsia="zh-CN"/>
        </w:rPr>
        <w:t>安全管理安全检查表如</w:t>
      </w:r>
      <w:r>
        <w:rPr>
          <w:rFonts w:hint="eastAsia"/>
          <w:color w:val="auto"/>
          <w:lang w:val="en-US" w:eastAsia="zh-CN"/>
        </w:rPr>
        <w:t>见</w:t>
      </w:r>
      <w:r>
        <w:rPr>
          <w:rFonts w:hint="default"/>
          <w:color w:val="auto"/>
          <w:lang w:val="en-US" w:eastAsia="zh-CN"/>
        </w:rPr>
        <w:t>5</w:t>
      </w:r>
      <w:r>
        <w:rPr>
          <w:rFonts w:hint="eastAsia"/>
          <w:color w:val="auto"/>
          <w:lang w:val="en-US" w:eastAsia="zh-CN"/>
        </w:rPr>
        <w:t>.1</w:t>
      </w:r>
      <w:r>
        <w:rPr>
          <w:rFonts w:hint="default"/>
          <w:color w:val="auto"/>
          <w:lang w:val="en-US" w:eastAsia="zh-CN"/>
        </w:rPr>
        <w:t>-1所示。</w:t>
      </w:r>
    </w:p>
    <w:p w14:paraId="2E98B70F">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.1</w:t>
      </w:r>
      <w:r>
        <w:rPr>
          <w:rFonts w:hint="default"/>
          <w:color w:val="auto"/>
          <w:lang w:val="en-US" w:eastAsia="zh-CN"/>
        </w:rPr>
        <w:t>-1</w:t>
      </w:r>
      <w:r>
        <w:rPr>
          <w:rFonts w:hint="eastAsia"/>
          <w:color w:val="auto"/>
          <w:lang w:val="en-US" w:eastAsia="zh-CN"/>
        </w:rPr>
        <w:t xml:space="preserve"> 安全管理检查表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2444"/>
        <w:gridCol w:w="1863"/>
        <w:gridCol w:w="1038"/>
        <w:gridCol w:w="704"/>
        <w:gridCol w:w="681"/>
        <w:gridCol w:w="944"/>
        <w:gridCol w:w="642"/>
      </w:tblGrid>
      <w:tr w14:paraId="2F6F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Align w:val="center"/>
          </w:tcPr>
          <w:p w14:paraId="6EA6D5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b/>
                <w:bCs/>
                <w:color w:val="auto"/>
                <w:sz w:val="21"/>
                <w:szCs w:val="21"/>
                <w:vertAlign w:val="baseline"/>
                <w:lang w:val="en-US" w:eastAsia="zh-CN"/>
              </w:rPr>
            </w:pPr>
            <w:r>
              <w:rPr>
                <w:rFonts w:hint="eastAsia"/>
                <w:b/>
                <w:bCs/>
                <w:color w:val="auto"/>
                <w:sz w:val="21"/>
                <w:szCs w:val="21"/>
                <w:vertAlign w:val="baseline"/>
                <w:lang w:val="en-US" w:eastAsia="zh-CN"/>
              </w:rPr>
              <w:t>检查</w:t>
            </w:r>
          </w:p>
          <w:p w14:paraId="0C7B79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项目</w:t>
            </w:r>
          </w:p>
        </w:tc>
        <w:tc>
          <w:tcPr>
            <w:tcW w:w="2444" w:type="dxa"/>
            <w:vAlign w:val="center"/>
          </w:tcPr>
          <w:p w14:paraId="23F209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863" w:type="dxa"/>
            <w:vAlign w:val="center"/>
          </w:tcPr>
          <w:p w14:paraId="60D96C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038" w:type="dxa"/>
            <w:vAlign w:val="center"/>
          </w:tcPr>
          <w:p w14:paraId="77FD10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704" w:type="dxa"/>
            <w:vAlign w:val="center"/>
          </w:tcPr>
          <w:p w14:paraId="2AD4A8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03E1C0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81" w:type="dxa"/>
            <w:vAlign w:val="center"/>
          </w:tcPr>
          <w:p w14:paraId="7C0B8F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B730E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944" w:type="dxa"/>
            <w:vAlign w:val="center"/>
          </w:tcPr>
          <w:p w14:paraId="682C79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44576A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642" w:type="dxa"/>
            <w:vAlign w:val="center"/>
          </w:tcPr>
          <w:p w14:paraId="65EE14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4023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restart"/>
            <w:vAlign w:val="center"/>
          </w:tcPr>
          <w:p w14:paraId="4F4F63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 相关证照（协议）</w:t>
            </w:r>
          </w:p>
        </w:tc>
        <w:tc>
          <w:tcPr>
            <w:tcW w:w="2444" w:type="dxa"/>
            <w:vAlign w:val="center"/>
          </w:tcPr>
          <w:p w14:paraId="21737B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1</w:t>
            </w:r>
            <w:r>
              <w:rPr>
                <w:rFonts w:hint="default"/>
                <w:color w:val="auto"/>
                <w:sz w:val="21"/>
                <w:szCs w:val="21"/>
                <w:vertAlign w:val="baseline"/>
                <w:lang w:val="en-US" w:eastAsia="zh-CN"/>
              </w:rPr>
              <w:t xml:space="preserve"> 安全生产许可证</w:t>
            </w:r>
          </w:p>
        </w:tc>
        <w:tc>
          <w:tcPr>
            <w:tcW w:w="1863" w:type="dxa"/>
            <w:vAlign w:val="center"/>
          </w:tcPr>
          <w:p w14:paraId="4A97EB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《安全生产许可证条例》第二条</w:t>
            </w:r>
          </w:p>
        </w:tc>
        <w:tc>
          <w:tcPr>
            <w:tcW w:w="1038" w:type="dxa"/>
            <w:vAlign w:val="center"/>
          </w:tcPr>
          <w:p w14:paraId="549DC77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17221A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vAlign w:val="center"/>
          </w:tcPr>
          <w:p w14:paraId="72B1B2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81" w:type="dxa"/>
            <w:vAlign w:val="center"/>
          </w:tcPr>
          <w:p w14:paraId="33594C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44" w:type="dxa"/>
            <w:vAlign w:val="center"/>
          </w:tcPr>
          <w:p w14:paraId="6FC9A0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43EC23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4791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72" w:type="dxa"/>
            <w:vMerge w:val="continue"/>
            <w:vAlign w:val="center"/>
          </w:tcPr>
          <w:p w14:paraId="726937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254A13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 工商营业执照</w:t>
            </w:r>
          </w:p>
        </w:tc>
        <w:tc>
          <w:tcPr>
            <w:tcW w:w="1863" w:type="dxa"/>
            <w:vAlign w:val="center"/>
          </w:tcPr>
          <w:p w14:paraId="10DD7A9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安监总局令第20号第八条第（二）款</w:t>
            </w:r>
          </w:p>
        </w:tc>
        <w:tc>
          <w:tcPr>
            <w:tcW w:w="1038" w:type="dxa"/>
            <w:vAlign w:val="center"/>
          </w:tcPr>
          <w:p w14:paraId="2C2A35A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F26B2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vAlign w:val="center"/>
          </w:tcPr>
          <w:p w14:paraId="3C371A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81" w:type="dxa"/>
            <w:vAlign w:val="center"/>
          </w:tcPr>
          <w:p w14:paraId="6DF04D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44" w:type="dxa"/>
            <w:vAlign w:val="center"/>
          </w:tcPr>
          <w:p w14:paraId="4675E2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3F7D3F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3522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972" w:type="dxa"/>
            <w:vMerge w:val="continue"/>
            <w:vAlign w:val="center"/>
          </w:tcPr>
          <w:p w14:paraId="27C821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635244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 采矿许可证</w:t>
            </w:r>
          </w:p>
        </w:tc>
        <w:tc>
          <w:tcPr>
            <w:tcW w:w="1863" w:type="dxa"/>
            <w:vAlign w:val="center"/>
          </w:tcPr>
          <w:p w14:paraId="135CCBD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安监总局令第20号第八条第（三）款</w:t>
            </w:r>
          </w:p>
        </w:tc>
        <w:tc>
          <w:tcPr>
            <w:tcW w:w="1038" w:type="dxa"/>
            <w:vAlign w:val="center"/>
          </w:tcPr>
          <w:p w14:paraId="200A7CA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642CC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vAlign w:val="center"/>
          </w:tcPr>
          <w:p w14:paraId="447F05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81" w:type="dxa"/>
            <w:vAlign w:val="center"/>
          </w:tcPr>
          <w:p w14:paraId="63137E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44" w:type="dxa"/>
            <w:vAlign w:val="center"/>
          </w:tcPr>
          <w:p w14:paraId="43AE9C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5F4C49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5466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72" w:type="dxa"/>
            <w:vMerge w:val="continue"/>
            <w:vAlign w:val="center"/>
          </w:tcPr>
          <w:p w14:paraId="33B750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5A7287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 民用爆破作业单位许可证</w:t>
            </w:r>
          </w:p>
        </w:tc>
        <w:tc>
          <w:tcPr>
            <w:tcW w:w="1863" w:type="dxa"/>
            <w:vAlign w:val="center"/>
          </w:tcPr>
          <w:p w14:paraId="553B95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《民用爆炸物品管理条例》第三条</w:t>
            </w:r>
          </w:p>
        </w:tc>
        <w:tc>
          <w:tcPr>
            <w:tcW w:w="1038" w:type="dxa"/>
            <w:vAlign w:val="center"/>
          </w:tcPr>
          <w:p w14:paraId="0334A50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2431FE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vAlign w:val="center"/>
          </w:tcPr>
          <w:p w14:paraId="53EC39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81" w:type="dxa"/>
            <w:vAlign w:val="center"/>
          </w:tcPr>
          <w:p w14:paraId="121C46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44" w:type="dxa"/>
            <w:vAlign w:val="center"/>
          </w:tcPr>
          <w:p w14:paraId="15BD00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54DF0C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47A5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972" w:type="dxa"/>
            <w:vMerge w:val="continue"/>
            <w:vAlign w:val="center"/>
          </w:tcPr>
          <w:p w14:paraId="71FB06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444" w:type="dxa"/>
            <w:vAlign w:val="center"/>
          </w:tcPr>
          <w:p w14:paraId="285E6A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 矿山主要负责人安全资格证</w:t>
            </w:r>
          </w:p>
        </w:tc>
        <w:tc>
          <w:tcPr>
            <w:tcW w:w="1863" w:type="dxa"/>
            <w:vAlign w:val="center"/>
          </w:tcPr>
          <w:p w14:paraId="10E02B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《安全生产法》</w:t>
            </w:r>
          </w:p>
          <w:p w14:paraId="26B57F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第二十七条</w:t>
            </w:r>
          </w:p>
        </w:tc>
        <w:tc>
          <w:tcPr>
            <w:tcW w:w="1038" w:type="dxa"/>
            <w:vAlign w:val="center"/>
          </w:tcPr>
          <w:p w14:paraId="177F217C">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781FC9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vAlign w:val="center"/>
          </w:tcPr>
          <w:p w14:paraId="3FD425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合格</w:t>
            </w:r>
          </w:p>
        </w:tc>
        <w:tc>
          <w:tcPr>
            <w:tcW w:w="681" w:type="dxa"/>
            <w:vAlign w:val="center"/>
          </w:tcPr>
          <w:p w14:paraId="388166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44" w:type="dxa"/>
            <w:vAlign w:val="center"/>
          </w:tcPr>
          <w:p w14:paraId="6966DE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vAlign w:val="center"/>
          </w:tcPr>
          <w:p w14:paraId="3D4270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3825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72" w:type="dxa"/>
            <w:vMerge w:val="continue"/>
            <w:shd w:val="clear" w:color="auto" w:fill="auto"/>
            <w:vAlign w:val="center"/>
          </w:tcPr>
          <w:p w14:paraId="5F70B4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0B1A42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1.6 安全管理人员资格证</w:t>
            </w:r>
          </w:p>
        </w:tc>
        <w:tc>
          <w:tcPr>
            <w:tcW w:w="1863" w:type="dxa"/>
            <w:shd w:val="clear" w:color="auto" w:fill="auto"/>
            <w:vAlign w:val="center"/>
          </w:tcPr>
          <w:p w14:paraId="326EB2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《安全生产法》</w:t>
            </w:r>
          </w:p>
          <w:p w14:paraId="292C6B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color w:val="auto"/>
                <w:sz w:val="21"/>
                <w:szCs w:val="21"/>
                <w:vertAlign w:val="baseline"/>
                <w:lang w:val="en-US" w:eastAsia="zh-CN"/>
              </w:rPr>
              <w:t>第二十七条</w:t>
            </w:r>
          </w:p>
        </w:tc>
        <w:tc>
          <w:tcPr>
            <w:tcW w:w="1038" w:type="dxa"/>
            <w:shd w:val="clear" w:color="auto" w:fill="auto"/>
            <w:vAlign w:val="center"/>
          </w:tcPr>
          <w:p w14:paraId="620FDD21">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F149B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4B2E46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合格</w:t>
            </w:r>
          </w:p>
        </w:tc>
        <w:tc>
          <w:tcPr>
            <w:tcW w:w="681" w:type="dxa"/>
            <w:shd w:val="clear" w:color="auto" w:fill="auto"/>
            <w:vAlign w:val="center"/>
          </w:tcPr>
          <w:p w14:paraId="243E28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944" w:type="dxa"/>
            <w:shd w:val="clear" w:color="auto" w:fill="auto"/>
            <w:vAlign w:val="center"/>
          </w:tcPr>
          <w:p w14:paraId="242C0F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13DD96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376A7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972" w:type="dxa"/>
            <w:vMerge w:val="continue"/>
            <w:shd w:val="clear" w:color="auto" w:fill="auto"/>
            <w:vAlign w:val="center"/>
          </w:tcPr>
          <w:p w14:paraId="69CB40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A7D91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1.7 特种作业人员上岗资格证</w:t>
            </w:r>
          </w:p>
        </w:tc>
        <w:tc>
          <w:tcPr>
            <w:tcW w:w="1863" w:type="dxa"/>
            <w:shd w:val="clear" w:color="auto" w:fill="auto"/>
            <w:vAlign w:val="center"/>
          </w:tcPr>
          <w:p w14:paraId="1F3ACD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AAC87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第三十条</w:t>
            </w:r>
          </w:p>
        </w:tc>
        <w:tc>
          <w:tcPr>
            <w:tcW w:w="1038" w:type="dxa"/>
            <w:shd w:val="clear" w:color="auto" w:fill="auto"/>
            <w:vAlign w:val="center"/>
          </w:tcPr>
          <w:p w14:paraId="1E78BBFF">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2914D3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163DD8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合格</w:t>
            </w:r>
          </w:p>
        </w:tc>
        <w:tc>
          <w:tcPr>
            <w:tcW w:w="681" w:type="dxa"/>
            <w:shd w:val="clear" w:color="auto" w:fill="auto"/>
            <w:vAlign w:val="center"/>
          </w:tcPr>
          <w:p w14:paraId="24B136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944" w:type="dxa"/>
            <w:shd w:val="clear" w:color="auto" w:fill="auto"/>
            <w:vAlign w:val="center"/>
          </w:tcPr>
          <w:p w14:paraId="119C3E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4DC1A1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7503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72" w:type="dxa"/>
            <w:vMerge w:val="continue"/>
            <w:shd w:val="clear" w:color="auto" w:fill="auto"/>
            <w:vAlign w:val="center"/>
          </w:tcPr>
          <w:p w14:paraId="59590B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383D5E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1.8 从业人员应当进行安全生产教育和培训，未经安全生产教育和培训合格的从业人员，不得上岗作业</w:t>
            </w:r>
          </w:p>
        </w:tc>
        <w:tc>
          <w:tcPr>
            <w:tcW w:w="1863" w:type="dxa"/>
            <w:shd w:val="clear" w:color="auto" w:fill="auto"/>
            <w:vAlign w:val="center"/>
          </w:tcPr>
          <w:p w14:paraId="5C60C6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25CA61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第二十八条</w:t>
            </w:r>
          </w:p>
        </w:tc>
        <w:tc>
          <w:tcPr>
            <w:tcW w:w="1038" w:type="dxa"/>
            <w:shd w:val="clear" w:color="auto" w:fill="auto"/>
            <w:vAlign w:val="center"/>
          </w:tcPr>
          <w:p w14:paraId="552146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w:t>
            </w:r>
            <w:r>
              <w:rPr>
                <w:rFonts w:hint="eastAsia" w:ascii="Times New Roman" w:hAnsi="Times New Roman" w:eastAsia="宋体" w:cs="Times New Roman"/>
                <w:color w:val="auto"/>
                <w:kern w:val="2"/>
                <w:sz w:val="21"/>
                <w:szCs w:val="21"/>
                <w:vertAlign w:val="baseline"/>
                <w:lang w:val="en-US" w:eastAsia="zh-CN" w:bidi="ar-SA"/>
              </w:rPr>
              <w:t>培训记录</w:t>
            </w:r>
          </w:p>
        </w:tc>
        <w:tc>
          <w:tcPr>
            <w:tcW w:w="704" w:type="dxa"/>
            <w:shd w:val="clear" w:color="auto" w:fill="auto"/>
            <w:vAlign w:val="center"/>
          </w:tcPr>
          <w:p w14:paraId="430900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合格</w:t>
            </w:r>
          </w:p>
        </w:tc>
        <w:tc>
          <w:tcPr>
            <w:tcW w:w="681" w:type="dxa"/>
            <w:shd w:val="clear" w:color="auto" w:fill="auto"/>
            <w:vAlign w:val="center"/>
          </w:tcPr>
          <w:p w14:paraId="1D8245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944" w:type="dxa"/>
            <w:shd w:val="clear" w:color="auto" w:fill="auto"/>
            <w:vAlign w:val="center"/>
          </w:tcPr>
          <w:p w14:paraId="5D8C19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68A7A0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5102F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972" w:type="dxa"/>
            <w:vMerge w:val="continue"/>
            <w:shd w:val="clear" w:color="auto" w:fill="auto"/>
            <w:vAlign w:val="center"/>
          </w:tcPr>
          <w:p w14:paraId="7A5CB6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5EBE64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1.9 危险化学品安全使用许可证</w:t>
            </w:r>
          </w:p>
        </w:tc>
        <w:tc>
          <w:tcPr>
            <w:tcW w:w="1863" w:type="dxa"/>
            <w:shd w:val="clear" w:color="auto" w:fill="auto"/>
            <w:vAlign w:val="center"/>
          </w:tcPr>
          <w:p w14:paraId="02C35AF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《危险化学品安全管理条例》第六条</w:t>
            </w:r>
          </w:p>
        </w:tc>
        <w:tc>
          <w:tcPr>
            <w:tcW w:w="1038" w:type="dxa"/>
            <w:shd w:val="clear" w:color="auto" w:fill="auto"/>
            <w:vAlign w:val="center"/>
          </w:tcPr>
          <w:p w14:paraId="635223D0">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5A51F0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44BB13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681" w:type="dxa"/>
            <w:shd w:val="clear" w:color="auto" w:fill="auto"/>
            <w:vAlign w:val="center"/>
          </w:tcPr>
          <w:p w14:paraId="37E578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944" w:type="dxa"/>
            <w:shd w:val="clear" w:color="auto" w:fill="auto"/>
            <w:vAlign w:val="center"/>
          </w:tcPr>
          <w:p w14:paraId="308940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1B411C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20A6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972" w:type="dxa"/>
            <w:vMerge w:val="continue"/>
            <w:shd w:val="clear" w:color="auto" w:fill="auto"/>
            <w:vAlign w:val="center"/>
          </w:tcPr>
          <w:p w14:paraId="760518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3CE594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1.10 与承包的采掘施工单位签订采掘施工</w:t>
            </w:r>
            <w:r>
              <w:rPr>
                <w:rFonts w:hint="eastAsia" w:cs="Times New Roman"/>
                <w:color w:val="auto"/>
                <w:kern w:val="2"/>
                <w:sz w:val="21"/>
                <w:szCs w:val="21"/>
                <w:vertAlign w:val="baseline"/>
                <w:lang w:val="en-US" w:eastAsia="zh-CN" w:bidi="ar-SA"/>
              </w:rPr>
              <w:t>合同</w:t>
            </w:r>
          </w:p>
        </w:tc>
        <w:tc>
          <w:tcPr>
            <w:tcW w:w="1863" w:type="dxa"/>
            <w:shd w:val="clear" w:color="auto" w:fill="auto"/>
            <w:vAlign w:val="center"/>
          </w:tcPr>
          <w:p w14:paraId="386983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FE70DF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w:t>
            </w:r>
            <w:r>
              <w:rPr>
                <w:rFonts w:hint="eastAsia" w:cs="Times New Roman"/>
                <w:color w:val="auto"/>
                <w:kern w:val="2"/>
                <w:sz w:val="21"/>
                <w:szCs w:val="21"/>
                <w:vertAlign w:val="baseline"/>
                <w:lang w:val="en-US" w:eastAsia="zh-CN" w:bidi="ar-SA"/>
              </w:rPr>
              <w:t>九</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1D368624">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769DE90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02FF8E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不涉及</w:t>
            </w:r>
          </w:p>
        </w:tc>
        <w:tc>
          <w:tcPr>
            <w:tcW w:w="681" w:type="dxa"/>
            <w:shd w:val="clear" w:color="auto" w:fill="auto"/>
            <w:vAlign w:val="center"/>
          </w:tcPr>
          <w:p w14:paraId="0DEAB4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w:t>
            </w:r>
          </w:p>
        </w:tc>
        <w:tc>
          <w:tcPr>
            <w:tcW w:w="944" w:type="dxa"/>
            <w:shd w:val="clear" w:color="auto" w:fill="auto"/>
            <w:vAlign w:val="center"/>
          </w:tcPr>
          <w:p w14:paraId="56F38D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72AEE6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62F6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72" w:type="dxa"/>
            <w:vMerge w:val="continue"/>
            <w:shd w:val="clear" w:color="auto" w:fill="auto"/>
            <w:vAlign w:val="center"/>
          </w:tcPr>
          <w:p w14:paraId="38359D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75F798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1.11</w:t>
            </w:r>
            <w:r>
              <w:rPr>
                <w:rFonts w:hint="default" w:ascii="Times New Roman" w:hAnsi="Times New Roman" w:eastAsia="宋体" w:cs="Times New Roman"/>
                <w:color w:val="auto"/>
                <w:kern w:val="2"/>
                <w:sz w:val="21"/>
                <w:szCs w:val="21"/>
                <w:vertAlign w:val="baseline"/>
                <w:lang w:val="en-US" w:eastAsia="zh-CN" w:bidi="ar-SA"/>
              </w:rPr>
              <w:t xml:space="preserve"> 与外包单位签订安全生产管理协议</w:t>
            </w:r>
          </w:p>
        </w:tc>
        <w:tc>
          <w:tcPr>
            <w:tcW w:w="1863" w:type="dxa"/>
            <w:shd w:val="clear" w:color="auto" w:fill="auto"/>
            <w:vAlign w:val="center"/>
          </w:tcPr>
          <w:p w14:paraId="7A77A8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65C653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w:t>
            </w:r>
            <w:r>
              <w:rPr>
                <w:rFonts w:hint="eastAsia" w:ascii="Times New Roman" w:hAnsi="Times New Roman" w:eastAsia="宋体" w:cs="Times New Roman"/>
                <w:color w:val="auto"/>
                <w:kern w:val="2"/>
                <w:sz w:val="21"/>
                <w:szCs w:val="21"/>
                <w:vertAlign w:val="baseline"/>
                <w:lang w:val="en-US" w:eastAsia="zh-CN" w:bidi="ar-SA"/>
              </w:rPr>
              <w:t>九</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0B04BBD8">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D582B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422D28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不涉及</w:t>
            </w:r>
          </w:p>
        </w:tc>
        <w:tc>
          <w:tcPr>
            <w:tcW w:w="681" w:type="dxa"/>
            <w:shd w:val="clear" w:color="auto" w:fill="auto"/>
            <w:vAlign w:val="center"/>
          </w:tcPr>
          <w:p w14:paraId="4A9A22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944" w:type="dxa"/>
            <w:shd w:val="clear" w:color="auto" w:fill="auto"/>
            <w:vAlign w:val="center"/>
          </w:tcPr>
          <w:p w14:paraId="71BB0C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2B78E0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6CDB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72" w:type="dxa"/>
            <w:vMerge w:val="continue"/>
            <w:shd w:val="clear" w:color="auto" w:fill="auto"/>
            <w:vAlign w:val="center"/>
          </w:tcPr>
          <w:p w14:paraId="23262C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40B9FDC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1.12</w:t>
            </w:r>
            <w:r>
              <w:rPr>
                <w:rFonts w:hint="default" w:ascii="Times New Roman" w:hAnsi="Times New Roman" w:eastAsia="宋体" w:cs="Times New Roman"/>
                <w:color w:val="auto"/>
                <w:kern w:val="2"/>
                <w:sz w:val="21"/>
                <w:szCs w:val="21"/>
                <w:vertAlign w:val="baseline"/>
                <w:lang w:val="en-US" w:eastAsia="zh-CN" w:bidi="ar-SA"/>
              </w:rPr>
              <w:t xml:space="preserve"> </w:t>
            </w:r>
            <w:r>
              <w:rPr>
                <w:rFonts w:hint="eastAsia" w:ascii="Times New Roman" w:hAnsi="Times New Roman" w:eastAsia="宋体" w:cs="Times New Roman"/>
                <w:color w:val="auto"/>
                <w:kern w:val="2"/>
                <w:sz w:val="21"/>
                <w:szCs w:val="21"/>
                <w:vertAlign w:val="baseline"/>
                <w:lang w:val="en-US" w:eastAsia="zh-CN" w:bidi="ar-SA"/>
              </w:rPr>
              <w:t>企业安全生产标准化建设</w:t>
            </w:r>
          </w:p>
        </w:tc>
        <w:tc>
          <w:tcPr>
            <w:tcW w:w="1863" w:type="dxa"/>
            <w:shd w:val="clear" w:color="auto" w:fill="auto"/>
            <w:vAlign w:val="center"/>
          </w:tcPr>
          <w:p w14:paraId="03886E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《安全生产法》第四条</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《关于进一步加强非煤矿山安全生产标准化建设工作的通知》赣安监管一字</w:t>
            </w:r>
          </w:p>
          <w:p w14:paraId="5229DB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微软雅黑" w:hAnsi="Times New Roman" w:eastAsia="微软雅黑" w:cs="微软雅黑"/>
                <w:spacing w:val="-11"/>
                <w:kern w:val="2"/>
                <w:sz w:val="21"/>
                <w:szCs w:val="21"/>
                <w:lang w:val="en-US" w:eastAsia="zh-CN" w:bidi="ar-SA"/>
              </w:rPr>
              <w:t>〔</w:t>
            </w:r>
            <w:r>
              <w:rPr>
                <w:rFonts w:hint="eastAsia" w:ascii="Times New Roman" w:hAnsi="Times New Roman" w:eastAsia="宋体" w:cs="Times New Roman"/>
                <w:spacing w:val="-11"/>
                <w:kern w:val="2"/>
                <w:sz w:val="21"/>
                <w:szCs w:val="21"/>
                <w:lang w:val="en-US" w:eastAsia="zh-CN" w:bidi="ar-SA"/>
              </w:rPr>
              <w:t>20</w:t>
            </w:r>
            <w:r>
              <w:rPr>
                <w:rFonts w:hint="eastAsia" w:cs="Times New Roman"/>
                <w:spacing w:val="-11"/>
                <w:kern w:val="2"/>
                <w:sz w:val="21"/>
                <w:szCs w:val="21"/>
                <w:lang w:val="en-US" w:eastAsia="zh-CN" w:bidi="ar-SA"/>
              </w:rPr>
              <w:t>11</w:t>
            </w:r>
            <w:r>
              <w:rPr>
                <w:rFonts w:hint="eastAsia" w:ascii="微软雅黑" w:hAnsi="Times New Roman" w:eastAsia="微软雅黑" w:cs="微软雅黑"/>
                <w:spacing w:val="-11"/>
                <w:kern w:val="2"/>
                <w:sz w:val="21"/>
                <w:szCs w:val="21"/>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261号</w:t>
            </w:r>
          </w:p>
        </w:tc>
        <w:tc>
          <w:tcPr>
            <w:tcW w:w="1038" w:type="dxa"/>
            <w:shd w:val="clear" w:color="auto" w:fill="auto"/>
            <w:vAlign w:val="center"/>
          </w:tcPr>
          <w:p w14:paraId="6371BE7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50C1BF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25C318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合格</w:t>
            </w:r>
          </w:p>
        </w:tc>
        <w:tc>
          <w:tcPr>
            <w:tcW w:w="681" w:type="dxa"/>
            <w:shd w:val="clear" w:color="auto" w:fill="auto"/>
            <w:vAlign w:val="center"/>
          </w:tcPr>
          <w:p w14:paraId="352BA6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c>
          <w:tcPr>
            <w:tcW w:w="944" w:type="dxa"/>
            <w:shd w:val="clear" w:color="auto" w:fill="auto"/>
            <w:vAlign w:val="center"/>
          </w:tcPr>
          <w:p w14:paraId="12901C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否决项</w:t>
            </w:r>
          </w:p>
        </w:tc>
        <w:tc>
          <w:tcPr>
            <w:tcW w:w="642" w:type="dxa"/>
            <w:shd w:val="clear" w:color="auto" w:fill="auto"/>
            <w:vAlign w:val="center"/>
          </w:tcPr>
          <w:p w14:paraId="2FF821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4B0D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72" w:type="dxa"/>
            <w:vMerge w:val="restart"/>
            <w:shd w:val="clear" w:color="auto" w:fill="auto"/>
            <w:vAlign w:val="center"/>
          </w:tcPr>
          <w:p w14:paraId="7FDDB5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w:t>
            </w:r>
            <w:r>
              <w:rPr>
                <w:rFonts w:hint="eastAsia"/>
                <w:color w:val="auto"/>
                <w:sz w:val="21"/>
                <w:szCs w:val="21"/>
                <w:vertAlign w:val="baseline"/>
                <w:lang w:val="en-US" w:eastAsia="zh-CN"/>
              </w:rPr>
              <w:t xml:space="preserve">. </w:t>
            </w:r>
            <w:r>
              <w:rPr>
                <w:rFonts w:hint="default" w:ascii="Times New Roman" w:hAnsi="Times New Roman" w:eastAsia="宋体" w:cs="Times New Roman"/>
                <w:color w:val="auto"/>
                <w:kern w:val="2"/>
                <w:sz w:val="21"/>
                <w:szCs w:val="21"/>
                <w:vertAlign w:val="baseline"/>
                <w:lang w:val="en-US" w:eastAsia="zh-CN" w:bidi="ar-SA"/>
              </w:rPr>
              <w:t>安全生产管理体系和制度建设</w:t>
            </w:r>
          </w:p>
        </w:tc>
        <w:tc>
          <w:tcPr>
            <w:tcW w:w="2444" w:type="dxa"/>
            <w:shd w:val="clear" w:color="auto" w:fill="auto"/>
            <w:vAlign w:val="center"/>
          </w:tcPr>
          <w:p w14:paraId="4EB71B6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2.1 应建立安全生产管理体系</w:t>
            </w:r>
          </w:p>
        </w:tc>
        <w:tc>
          <w:tcPr>
            <w:tcW w:w="1863" w:type="dxa"/>
            <w:shd w:val="clear" w:color="auto" w:fill="auto"/>
            <w:vAlign w:val="center"/>
          </w:tcPr>
          <w:p w14:paraId="736D19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261210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第二十四条</w:t>
            </w:r>
          </w:p>
        </w:tc>
        <w:tc>
          <w:tcPr>
            <w:tcW w:w="1038" w:type="dxa"/>
            <w:shd w:val="clear" w:color="auto" w:fill="auto"/>
            <w:vAlign w:val="center"/>
          </w:tcPr>
          <w:p w14:paraId="429649FA">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4689E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2F4C67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已建立</w:t>
            </w:r>
          </w:p>
        </w:tc>
        <w:tc>
          <w:tcPr>
            <w:tcW w:w="681" w:type="dxa"/>
            <w:shd w:val="clear" w:color="auto" w:fill="auto"/>
            <w:vAlign w:val="center"/>
          </w:tcPr>
          <w:p w14:paraId="5DD75E6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944" w:type="dxa"/>
            <w:shd w:val="clear" w:color="auto" w:fill="auto"/>
            <w:vAlign w:val="center"/>
          </w:tcPr>
          <w:p w14:paraId="1ED4B37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未建立不得分</w:t>
            </w:r>
          </w:p>
        </w:tc>
        <w:tc>
          <w:tcPr>
            <w:tcW w:w="642" w:type="dxa"/>
            <w:shd w:val="clear" w:color="auto" w:fill="auto"/>
            <w:vAlign w:val="center"/>
          </w:tcPr>
          <w:p w14:paraId="399FC4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327C7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588B11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AF189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2.2 设置安全管理机构或配备专职人员</w:t>
            </w:r>
          </w:p>
        </w:tc>
        <w:tc>
          <w:tcPr>
            <w:tcW w:w="1863" w:type="dxa"/>
            <w:shd w:val="clear" w:color="auto" w:fill="auto"/>
            <w:vAlign w:val="center"/>
          </w:tcPr>
          <w:p w14:paraId="053716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4C4D9F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第二十四条</w:t>
            </w:r>
          </w:p>
        </w:tc>
        <w:tc>
          <w:tcPr>
            <w:tcW w:w="1038" w:type="dxa"/>
            <w:shd w:val="clear" w:color="auto" w:fill="auto"/>
            <w:vAlign w:val="center"/>
          </w:tcPr>
          <w:p w14:paraId="1337840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5209C0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效证件</w:t>
            </w:r>
          </w:p>
        </w:tc>
        <w:tc>
          <w:tcPr>
            <w:tcW w:w="704" w:type="dxa"/>
            <w:shd w:val="clear" w:color="auto" w:fill="auto"/>
            <w:vAlign w:val="center"/>
          </w:tcPr>
          <w:p w14:paraId="704837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已设置和配备</w:t>
            </w:r>
          </w:p>
        </w:tc>
        <w:tc>
          <w:tcPr>
            <w:tcW w:w="681" w:type="dxa"/>
            <w:shd w:val="clear" w:color="auto" w:fill="auto"/>
            <w:vAlign w:val="center"/>
          </w:tcPr>
          <w:p w14:paraId="166547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944" w:type="dxa"/>
            <w:shd w:val="clear" w:color="auto" w:fill="auto"/>
            <w:vAlign w:val="center"/>
          </w:tcPr>
          <w:p w14:paraId="689764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未建立不得分</w:t>
            </w:r>
          </w:p>
        </w:tc>
        <w:tc>
          <w:tcPr>
            <w:tcW w:w="642" w:type="dxa"/>
            <w:shd w:val="clear" w:color="auto" w:fill="auto"/>
            <w:vAlign w:val="center"/>
          </w:tcPr>
          <w:p w14:paraId="5BF0BCE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4413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10B8C8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0CB8D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2.3 专职安全生产管理人员数量露天矿山应当不少于2人</w:t>
            </w:r>
          </w:p>
        </w:tc>
        <w:tc>
          <w:tcPr>
            <w:tcW w:w="1863" w:type="dxa"/>
            <w:shd w:val="clear" w:color="auto" w:fill="auto"/>
            <w:vAlign w:val="center"/>
          </w:tcPr>
          <w:p w14:paraId="454FCA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矿安[2022]4号</w:t>
            </w:r>
          </w:p>
          <w:p w14:paraId="21566E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第（十）条</w:t>
            </w:r>
          </w:p>
        </w:tc>
        <w:tc>
          <w:tcPr>
            <w:tcW w:w="1038" w:type="dxa"/>
            <w:shd w:val="clear" w:color="auto" w:fill="auto"/>
            <w:vAlign w:val="center"/>
          </w:tcPr>
          <w:p w14:paraId="6D9FE12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查有效证件、证书</w:t>
            </w:r>
          </w:p>
        </w:tc>
        <w:tc>
          <w:tcPr>
            <w:tcW w:w="704" w:type="dxa"/>
            <w:shd w:val="clear" w:color="auto" w:fill="auto"/>
            <w:vAlign w:val="center"/>
          </w:tcPr>
          <w:p w14:paraId="173529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满足</w:t>
            </w:r>
          </w:p>
        </w:tc>
        <w:tc>
          <w:tcPr>
            <w:tcW w:w="681" w:type="dxa"/>
            <w:shd w:val="clear" w:color="auto" w:fill="auto"/>
            <w:vAlign w:val="center"/>
          </w:tcPr>
          <w:p w14:paraId="4F3ED6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44" w:type="dxa"/>
            <w:shd w:val="clear" w:color="auto" w:fill="auto"/>
            <w:vAlign w:val="center"/>
          </w:tcPr>
          <w:p w14:paraId="3873B4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未建立不得分</w:t>
            </w:r>
          </w:p>
        </w:tc>
        <w:tc>
          <w:tcPr>
            <w:tcW w:w="642" w:type="dxa"/>
            <w:shd w:val="clear" w:color="auto" w:fill="auto"/>
            <w:vAlign w:val="center"/>
          </w:tcPr>
          <w:p w14:paraId="607DA2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5D18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668B12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EED6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2.4 应当有注册安全工程从事安全生产管理工作</w:t>
            </w:r>
          </w:p>
        </w:tc>
        <w:tc>
          <w:tcPr>
            <w:tcW w:w="1863" w:type="dxa"/>
            <w:shd w:val="clear" w:color="auto" w:fill="auto"/>
            <w:vAlign w:val="center"/>
          </w:tcPr>
          <w:p w14:paraId="097CDD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5ED315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w:t>
            </w:r>
            <w:r>
              <w:rPr>
                <w:rFonts w:hint="eastAsia" w:ascii="Times New Roman" w:hAnsi="Times New Roman" w:eastAsia="宋体" w:cs="Times New Roman"/>
                <w:color w:val="auto"/>
                <w:kern w:val="2"/>
                <w:sz w:val="21"/>
                <w:szCs w:val="21"/>
                <w:vertAlign w:val="baseline"/>
                <w:lang w:val="en-US" w:eastAsia="zh-CN" w:bidi="ar-SA"/>
              </w:rPr>
              <w:t>七</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718940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查有效证件、证书</w:t>
            </w:r>
          </w:p>
        </w:tc>
        <w:tc>
          <w:tcPr>
            <w:tcW w:w="704" w:type="dxa"/>
            <w:shd w:val="clear" w:color="auto" w:fill="auto"/>
            <w:vAlign w:val="center"/>
          </w:tcPr>
          <w:p w14:paraId="24085C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有</w:t>
            </w:r>
          </w:p>
        </w:tc>
        <w:tc>
          <w:tcPr>
            <w:tcW w:w="681" w:type="dxa"/>
            <w:shd w:val="clear" w:color="auto" w:fill="auto"/>
            <w:vAlign w:val="center"/>
          </w:tcPr>
          <w:p w14:paraId="7782D8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944" w:type="dxa"/>
            <w:shd w:val="clear" w:color="auto" w:fill="auto"/>
            <w:vAlign w:val="center"/>
          </w:tcPr>
          <w:p w14:paraId="6C7368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42" w:type="dxa"/>
            <w:shd w:val="clear" w:color="auto" w:fill="auto"/>
            <w:vAlign w:val="center"/>
          </w:tcPr>
          <w:p w14:paraId="6EAACA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50C5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392A16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01CCCA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2.5 露天矿山应当配备具有采矿、地质、机电等矿山相关专业中专及以上学历或者中级及以上技术职称的专职技术人员，每个专业至少配备1人</w:t>
            </w:r>
          </w:p>
        </w:tc>
        <w:tc>
          <w:tcPr>
            <w:tcW w:w="1863" w:type="dxa"/>
            <w:shd w:val="clear" w:color="auto" w:fill="auto"/>
            <w:vAlign w:val="center"/>
          </w:tcPr>
          <w:p w14:paraId="1607A9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矿安[2022]4号</w:t>
            </w:r>
          </w:p>
          <w:p w14:paraId="3D5A9C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第（十</w:t>
            </w:r>
            <w:r>
              <w:rPr>
                <w:rFonts w:hint="eastAsia" w:ascii="Times New Roman" w:hAnsi="Times New Roman" w:eastAsia="宋体" w:cs="Times New Roman"/>
                <w:color w:val="auto"/>
                <w:kern w:val="2"/>
                <w:sz w:val="21"/>
                <w:szCs w:val="21"/>
                <w:vertAlign w:val="baseline"/>
                <w:lang w:val="en-US" w:eastAsia="zh-CN" w:bidi="ar-SA"/>
              </w:rPr>
              <w:t>一</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5058F5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查有效证件、证书</w:t>
            </w:r>
          </w:p>
        </w:tc>
        <w:tc>
          <w:tcPr>
            <w:tcW w:w="704" w:type="dxa"/>
            <w:shd w:val="clear" w:color="auto" w:fill="auto"/>
            <w:vAlign w:val="center"/>
          </w:tcPr>
          <w:p w14:paraId="03E686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满足</w:t>
            </w:r>
          </w:p>
        </w:tc>
        <w:tc>
          <w:tcPr>
            <w:tcW w:w="681" w:type="dxa"/>
            <w:shd w:val="clear" w:color="auto" w:fill="auto"/>
            <w:vAlign w:val="center"/>
          </w:tcPr>
          <w:p w14:paraId="0A3703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944" w:type="dxa"/>
            <w:shd w:val="clear" w:color="auto" w:fill="auto"/>
            <w:vAlign w:val="center"/>
          </w:tcPr>
          <w:p w14:paraId="473868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缺1项扣2分</w:t>
            </w:r>
          </w:p>
        </w:tc>
        <w:tc>
          <w:tcPr>
            <w:tcW w:w="642" w:type="dxa"/>
            <w:shd w:val="clear" w:color="auto" w:fill="auto"/>
            <w:vAlign w:val="center"/>
          </w:tcPr>
          <w:p w14:paraId="6642A6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1B43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2B9F1D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1DFB6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2.6 建立和健全企业全员安全生产责任制，明确各岗位的责任人员、责任范围和考核标准等内容</w:t>
            </w:r>
          </w:p>
        </w:tc>
        <w:tc>
          <w:tcPr>
            <w:tcW w:w="1863" w:type="dxa"/>
            <w:shd w:val="clear" w:color="auto" w:fill="auto"/>
            <w:vAlign w:val="center"/>
          </w:tcPr>
          <w:p w14:paraId="20FC0E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4D4897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w:t>
            </w:r>
            <w:r>
              <w:rPr>
                <w:rFonts w:hint="eastAsia" w:ascii="Times New Roman" w:hAnsi="Times New Roman" w:eastAsia="宋体" w:cs="Times New Roman"/>
                <w:color w:val="auto"/>
                <w:kern w:val="2"/>
                <w:sz w:val="21"/>
                <w:szCs w:val="21"/>
                <w:vertAlign w:val="baseline"/>
                <w:lang w:val="en-US" w:eastAsia="zh-CN" w:bidi="ar-SA"/>
              </w:rPr>
              <w:t>二</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308CD18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0405C3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0F52B2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81" w:type="dxa"/>
            <w:shd w:val="clear" w:color="auto" w:fill="auto"/>
            <w:vAlign w:val="center"/>
          </w:tcPr>
          <w:p w14:paraId="1966D9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44" w:type="dxa"/>
            <w:shd w:val="clear" w:color="auto" w:fill="auto"/>
            <w:vAlign w:val="center"/>
          </w:tcPr>
          <w:p w14:paraId="2CA2F5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缺1项扣0.5分</w:t>
            </w:r>
          </w:p>
        </w:tc>
        <w:tc>
          <w:tcPr>
            <w:tcW w:w="642" w:type="dxa"/>
            <w:shd w:val="clear" w:color="auto" w:fill="auto"/>
            <w:vAlign w:val="center"/>
          </w:tcPr>
          <w:p w14:paraId="5B3112E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7A8C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37B2B9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1ECB618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2.7 生产经营单位与从业人员订立劳动合同</w:t>
            </w:r>
          </w:p>
        </w:tc>
        <w:tc>
          <w:tcPr>
            <w:tcW w:w="1863" w:type="dxa"/>
            <w:shd w:val="clear" w:color="auto" w:fill="auto"/>
            <w:vAlign w:val="center"/>
          </w:tcPr>
          <w:p w14:paraId="4972E2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786954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第五十二条</w:t>
            </w:r>
          </w:p>
        </w:tc>
        <w:tc>
          <w:tcPr>
            <w:tcW w:w="1038" w:type="dxa"/>
            <w:shd w:val="clear" w:color="auto" w:fill="auto"/>
            <w:vAlign w:val="center"/>
          </w:tcPr>
          <w:p w14:paraId="35D7DEEE">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259F8F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507DE6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已</w:t>
            </w:r>
            <w:r>
              <w:rPr>
                <w:rFonts w:hint="default" w:ascii="Times New Roman" w:hAnsi="Times New Roman" w:eastAsia="宋体" w:cs="Times New Roman"/>
                <w:color w:val="auto"/>
                <w:kern w:val="2"/>
                <w:sz w:val="21"/>
                <w:szCs w:val="21"/>
                <w:vertAlign w:val="baseline"/>
                <w:lang w:val="en-US" w:eastAsia="zh-CN" w:bidi="ar-SA"/>
              </w:rPr>
              <w:t>订立</w:t>
            </w:r>
          </w:p>
        </w:tc>
        <w:tc>
          <w:tcPr>
            <w:tcW w:w="681" w:type="dxa"/>
            <w:shd w:val="clear" w:color="auto" w:fill="auto"/>
            <w:vAlign w:val="center"/>
          </w:tcPr>
          <w:p w14:paraId="49CF64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c>
          <w:tcPr>
            <w:tcW w:w="944" w:type="dxa"/>
            <w:shd w:val="clear" w:color="auto" w:fill="auto"/>
            <w:vAlign w:val="center"/>
          </w:tcPr>
          <w:p w14:paraId="63C976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未签订不得分</w:t>
            </w:r>
          </w:p>
        </w:tc>
        <w:tc>
          <w:tcPr>
            <w:tcW w:w="642" w:type="dxa"/>
            <w:shd w:val="clear" w:color="auto" w:fill="auto"/>
            <w:vAlign w:val="center"/>
          </w:tcPr>
          <w:p w14:paraId="33FD91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w:t>
            </w:r>
          </w:p>
        </w:tc>
      </w:tr>
      <w:tr w14:paraId="7BDD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441BCA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B15A0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2.8 落实各岗位安全生产责任制</w:t>
            </w:r>
          </w:p>
        </w:tc>
        <w:tc>
          <w:tcPr>
            <w:tcW w:w="1863" w:type="dxa"/>
            <w:shd w:val="clear" w:color="auto" w:fill="auto"/>
            <w:vAlign w:val="center"/>
          </w:tcPr>
          <w:p w14:paraId="7F8022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130913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w:t>
            </w:r>
            <w:r>
              <w:rPr>
                <w:rFonts w:hint="eastAsia" w:ascii="Times New Roman" w:hAnsi="Times New Roman" w:eastAsia="宋体" w:cs="Times New Roman"/>
                <w:color w:val="auto"/>
                <w:kern w:val="2"/>
                <w:sz w:val="21"/>
                <w:szCs w:val="21"/>
                <w:vertAlign w:val="baseline"/>
                <w:lang w:val="en-US" w:eastAsia="zh-CN" w:bidi="ar-SA"/>
              </w:rPr>
              <w:t>二</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47364E72">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3563B7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261E67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已</w:t>
            </w:r>
            <w:r>
              <w:rPr>
                <w:rFonts w:hint="default" w:ascii="Times New Roman" w:hAnsi="Times New Roman" w:eastAsia="宋体" w:cs="Times New Roman"/>
                <w:color w:val="auto"/>
                <w:kern w:val="2"/>
                <w:sz w:val="21"/>
                <w:szCs w:val="21"/>
                <w:vertAlign w:val="baseline"/>
                <w:lang w:val="en-US" w:eastAsia="zh-CN" w:bidi="ar-SA"/>
              </w:rPr>
              <w:t>落实</w:t>
            </w:r>
          </w:p>
        </w:tc>
        <w:tc>
          <w:tcPr>
            <w:tcW w:w="681" w:type="dxa"/>
            <w:shd w:val="clear" w:color="auto" w:fill="auto"/>
            <w:vAlign w:val="center"/>
          </w:tcPr>
          <w:p w14:paraId="3759C4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44" w:type="dxa"/>
            <w:shd w:val="clear" w:color="auto" w:fill="auto"/>
            <w:vAlign w:val="center"/>
          </w:tcPr>
          <w:p w14:paraId="1DA45B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未落实不得分</w:t>
            </w:r>
          </w:p>
        </w:tc>
        <w:tc>
          <w:tcPr>
            <w:tcW w:w="642" w:type="dxa"/>
            <w:shd w:val="clear" w:color="auto" w:fill="auto"/>
            <w:vAlign w:val="center"/>
          </w:tcPr>
          <w:p w14:paraId="165C03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1EBD5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069112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38E02A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 建立下列各项安全生产规章制度：</w:t>
            </w:r>
          </w:p>
          <w:p w14:paraId="53F668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 安全检查制度；</w:t>
            </w:r>
          </w:p>
          <w:p w14:paraId="327501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2.9.2 职业危害预防制度；</w:t>
            </w:r>
          </w:p>
          <w:p w14:paraId="412117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2.9.3 安全教育培训制度；</w:t>
            </w:r>
          </w:p>
          <w:p w14:paraId="68C4CC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2.9.4 生产安全事故管理制度；</w:t>
            </w:r>
          </w:p>
          <w:p w14:paraId="0DE7D4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2.9.5 重大危险源监控和安全隐患排查制度；</w:t>
            </w:r>
          </w:p>
          <w:p w14:paraId="03983A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2.9.6 设备设施安全管理制度；</w:t>
            </w:r>
          </w:p>
          <w:p w14:paraId="285A05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2.9.7 安全生产档案管理制度；</w:t>
            </w:r>
          </w:p>
          <w:p w14:paraId="6D4B981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2.9.8 安全生产奖惩制度；</w:t>
            </w:r>
          </w:p>
          <w:p w14:paraId="428244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2.9.9 安全目标管理制度；</w:t>
            </w:r>
          </w:p>
          <w:p w14:paraId="744C0B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2.9.10 安全例会制度；</w:t>
            </w:r>
          </w:p>
          <w:p w14:paraId="2F3B2E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2.9.11 事故隐患排查与整改制度；</w:t>
            </w:r>
          </w:p>
          <w:p w14:paraId="3DED87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2.9.12 安全技术措施审批制度；</w:t>
            </w:r>
          </w:p>
          <w:p w14:paraId="6BD378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2.9.13 劳动防护用品管理制度；</w:t>
            </w:r>
          </w:p>
          <w:p w14:paraId="4C410D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2.9.14 应急管理制度；</w:t>
            </w:r>
          </w:p>
          <w:p w14:paraId="355A27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2.9.15 图纸技术资料更新制度；</w:t>
            </w:r>
          </w:p>
          <w:p w14:paraId="450569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2.7.16安全生产档案管理制度；</w:t>
            </w:r>
          </w:p>
          <w:p w14:paraId="50004F5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w:t>
            </w:r>
            <w:r>
              <w:rPr>
                <w:rFonts w:hint="eastAsia" w:cs="Times New Roman"/>
                <w:color w:val="auto"/>
                <w:kern w:val="2"/>
                <w:sz w:val="21"/>
                <w:szCs w:val="21"/>
                <w:vertAlign w:val="baseline"/>
                <w:lang w:val="en-US" w:eastAsia="zh-CN" w:bidi="ar-SA"/>
              </w:rPr>
              <w:t>7</w:t>
            </w:r>
            <w:r>
              <w:rPr>
                <w:rFonts w:hint="default" w:ascii="Times New Roman" w:hAnsi="Times New Roman" w:eastAsia="宋体" w:cs="Times New Roman"/>
                <w:color w:val="auto"/>
                <w:kern w:val="2"/>
                <w:sz w:val="21"/>
                <w:szCs w:val="21"/>
                <w:vertAlign w:val="baseline"/>
                <w:lang w:val="en-US" w:eastAsia="zh-CN" w:bidi="ar-SA"/>
              </w:rPr>
              <w:t xml:space="preserve"> 安全技术措施专项经费提取和管理制度；</w:t>
            </w:r>
          </w:p>
          <w:p w14:paraId="01DD8E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w:t>
            </w:r>
            <w:r>
              <w:rPr>
                <w:rFonts w:hint="eastAsia" w:cs="Times New Roman"/>
                <w:color w:val="auto"/>
                <w:kern w:val="2"/>
                <w:sz w:val="21"/>
                <w:szCs w:val="21"/>
                <w:vertAlign w:val="baseline"/>
                <w:lang w:val="en-US" w:eastAsia="zh-CN" w:bidi="ar-SA"/>
              </w:rPr>
              <w:t>8</w:t>
            </w:r>
            <w:r>
              <w:rPr>
                <w:rFonts w:hint="default" w:ascii="Times New Roman" w:hAnsi="Times New Roman" w:eastAsia="宋体" w:cs="Times New Roman"/>
                <w:color w:val="auto"/>
                <w:kern w:val="2"/>
                <w:sz w:val="21"/>
                <w:szCs w:val="21"/>
                <w:vertAlign w:val="baseline"/>
                <w:lang w:val="en-US" w:eastAsia="zh-CN" w:bidi="ar-SA"/>
              </w:rPr>
              <w:t xml:space="preserve"> 特种作业人员管理制度；</w:t>
            </w:r>
          </w:p>
          <w:p w14:paraId="76E672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2.9.1</w:t>
            </w:r>
            <w:r>
              <w:rPr>
                <w:rFonts w:hint="eastAsia" w:cs="Times New Roman"/>
                <w:color w:val="auto"/>
                <w:kern w:val="2"/>
                <w:sz w:val="21"/>
                <w:szCs w:val="21"/>
                <w:vertAlign w:val="baseline"/>
                <w:lang w:val="en-US" w:eastAsia="zh-CN" w:bidi="ar-SA"/>
              </w:rPr>
              <w:t>9</w:t>
            </w:r>
            <w:r>
              <w:rPr>
                <w:rFonts w:hint="default" w:ascii="Times New Roman" w:hAnsi="Times New Roman" w:eastAsia="宋体" w:cs="Times New Roman"/>
                <w:color w:val="auto"/>
                <w:kern w:val="2"/>
                <w:sz w:val="21"/>
                <w:szCs w:val="21"/>
                <w:vertAlign w:val="baseline"/>
                <w:lang w:val="en-US" w:eastAsia="zh-CN" w:bidi="ar-SA"/>
              </w:rPr>
              <w:t xml:space="preserve"> 露天边坡管理制；</w:t>
            </w:r>
          </w:p>
          <w:p w14:paraId="083549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2.9.</w:t>
            </w:r>
            <w:r>
              <w:rPr>
                <w:rFonts w:hint="eastAsia" w:cs="Times New Roman"/>
                <w:color w:val="auto"/>
                <w:kern w:val="2"/>
                <w:sz w:val="21"/>
                <w:szCs w:val="21"/>
                <w:vertAlign w:val="baseline"/>
                <w:lang w:val="en-US" w:eastAsia="zh-CN" w:bidi="ar-SA"/>
              </w:rPr>
              <w:t>20</w:t>
            </w:r>
            <w:r>
              <w:rPr>
                <w:rFonts w:hint="default" w:ascii="Times New Roman" w:hAnsi="Times New Roman" w:eastAsia="宋体" w:cs="Times New Roman"/>
                <w:color w:val="auto"/>
                <w:kern w:val="2"/>
                <w:sz w:val="21"/>
                <w:szCs w:val="21"/>
                <w:vertAlign w:val="baseline"/>
                <w:lang w:val="en-US" w:eastAsia="zh-CN" w:bidi="ar-SA"/>
              </w:rPr>
              <w:t xml:space="preserve"> 排土场</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废石场</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管理制度。</w:t>
            </w:r>
          </w:p>
        </w:tc>
        <w:tc>
          <w:tcPr>
            <w:tcW w:w="1863" w:type="dxa"/>
            <w:shd w:val="clear" w:color="auto" w:fill="auto"/>
            <w:vAlign w:val="center"/>
          </w:tcPr>
          <w:p w14:paraId="7D1677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安监总局令第20号第六条</w:t>
            </w:r>
          </w:p>
        </w:tc>
        <w:tc>
          <w:tcPr>
            <w:tcW w:w="1038" w:type="dxa"/>
            <w:shd w:val="clear" w:color="auto" w:fill="auto"/>
            <w:vAlign w:val="center"/>
          </w:tcPr>
          <w:p w14:paraId="5033C58D">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457ED5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0A5121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不涉及排土场</w:t>
            </w:r>
          </w:p>
        </w:tc>
        <w:tc>
          <w:tcPr>
            <w:tcW w:w="681" w:type="dxa"/>
            <w:shd w:val="clear" w:color="auto" w:fill="auto"/>
            <w:vAlign w:val="center"/>
          </w:tcPr>
          <w:p w14:paraId="008F2F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50</w:t>
            </w:r>
          </w:p>
        </w:tc>
        <w:tc>
          <w:tcPr>
            <w:tcW w:w="944" w:type="dxa"/>
            <w:shd w:val="clear" w:color="auto" w:fill="auto"/>
            <w:vAlign w:val="center"/>
          </w:tcPr>
          <w:p w14:paraId="766776E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每缺1项</w:t>
            </w:r>
          </w:p>
          <w:p w14:paraId="0DD573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扣2.5分</w:t>
            </w:r>
          </w:p>
          <w:p w14:paraId="45AAB4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不完善项扣1分</w:t>
            </w:r>
          </w:p>
        </w:tc>
        <w:tc>
          <w:tcPr>
            <w:tcW w:w="642" w:type="dxa"/>
            <w:shd w:val="clear" w:color="auto" w:fill="auto"/>
            <w:vAlign w:val="center"/>
          </w:tcPr>
          <w:p w14:paraId="616C11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50</w:t>
            </w:r>
          </w:p>
        </w:tc>
      </w:tr>
      <w:tr w14:paraId="108F5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vMerge w:val="continue"/>
            <w:shd w:val="clear" w:color="auto" w:fill="auto"/>
            <w:vAlign w:val="center"/>
          </w:tcPr>
          <w:p w14:paraId="3CD8D8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7D97F5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2.10 制定作业安全规程和各工种操作规程</w:t>
            </w:r>
          </w:p>
        </w:tc>
        <w:tc>
          <w:tcPr>
            <w:tcW w:w="1863" w:type="dxa"/>
            <w:shd w:val="clear" w:color="auto" w:fill="auto"/>
            <w:vAlign w:val="center"/>
          </w:tcPr>
          <w:p w14:paraId="36FD16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安监总局令第20号第六条</w:t>
            </w:r>
          </w:p>
        </w:tc>
        <w:tc>
          <w:tcPr>
            <w:tcW w:w="1038" w:type="dxa"/>
            <w:shd w:val="clear" w:color="auto" w:fill="auto"/>
            <w:vAlign w:val="center"/>
          </w:tcPr>
          <w:p w14:paraId="4EA7B433">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D51EC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3FAFF8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w:t>
            </w:r>
            <w:r>
              <w:rPr>
                <w:rFonts w:hint="default" w:ascii="Times New Roman" w:hAnsi="Times New Roman" w:eastAsia="宋体" w:cs="Times New Roman"/>
                <w:color w:val="auto"/>
                <w:kern w:val="2"/>
                <w:sz w:val="21"/>
                <w:szCs w:val="21"/>
                <w:vertAlign w:val="baseline"/>
                <w:lang w:val="en-US" w:eastAsia="zh-CN" w:bidi="ar-SA"/>
              </w:rPr>
              <w:t>制定</w:t>
            </w:r>
          </w:p>
        </w:tc>
        <w:tc>
          <w:tcPr>
            <w:tcW w:w="681" w:type="dxa"/>
            <w:shd w:val="clear" w:color="auto" w:fill="auto"/>
            <w:vAlign w:val="center"/>
          </w:tcPr>
          <w:p w14:paraId="68ED1C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44" w:type="dxa"/>
            <w:shd w:val="clear" w:color="auto" w:fill="auto"/>
            <w:vAlign w:val="center"/>
          </w:tcPr>
          <w:p w14:paraId="5C3D3D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未制定不得分</w:t>
            </w:r>
          </w:p>
        </w:tc>
        <w:tc>
          <w:tcPr>
            <w:tcW w:w="642" w:type="dxa"/>
            <w:shd w:val="clear" w:color="auto" w:fill="auto"/>
            <w:vAlign w:val="center"/>
          </w:tcPr>
          <w:p w14:paraId="68D7F5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301D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2" w:type="dxa"/>
            <w:shd w:val="clear" w:color="auto" w:fill="auto"/>
            <w:vAlign w:val="center"/>
          </w:tcPr>
          <w:p w14:paraId="097E18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3</w:t>
            </w:r>
            <w:r>
              <w:rPr>
                <w:rFonts w:hint="eastAsia"/>
                <w:color w:val="auto"/>
                <w:sz w:val="21"/>
                <w:szCs w:val="21"/>
                <w:vertAlign w:val="baseline"/>
                <w:lang w:val="en-US" w:eastAsia="zh-CN"/>
              </w:rPr>
              <w:t xml:space="preserve">. </w:t>
            </w:r>
            <w:r>
              <w:rPr>
                <w:rFonts w:hint="default" w:ascii="Times New Roman" w:hAnsi="Times New Roman" w:eastAsia="宋体" w:cs="Times New Roman"/>
                <w:color w:val="auto"/>
                <w:kern w:val="2"/>
                <w:sz w:val="21"/>
                <w:szCs w:val="21"/>
                <w:vertAlign w:val="baseline"/>
                <w:lang w:val="en-US" w:eastAsia="zh-CN" w:bidi="ar-SA"/>
              </w:rPr>
              <w:t>安全生产教育培训</w:t>
            </w:r>
          </w:p>
        </w:tc>
        <w:tc>
          <w:tcPr>
            <w:tcW w:w="2444" w:type="dxa"/>
            <w:shd w:val="clear" w:color="auto" w:fill="auto"/>
            <w:vAlign w:val="center"/>
          </w:tcPr>
          <w:p w14:paraId="1813D5FD">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3.1 所有从业人员应经</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三级</w:t>
            </w:r>
            <w:r>
              <w:rPr>
                <w:rFonts w:hint="eastAsia" w:ascii="Times New Roman" w:hAnsi="Times New Roman" w:eastAsia="宋体"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安全教育，并经考核合格后，方可上岗作业。露天作业新员工上岗前不少于72学时；</w:t>
            </w:r>
          </w:p>
          <w:p w14:paraId="4ED7CE0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spacing w:val="-6"/>
                <w:kern w:val="2"/>
                <w:sz w:val="21"/>
                <w:szCs w:val="21"/>
                <w:vertAlign w:val="baseline"/>
                <w:lang w:val="en-US" w:eastAsia="zh-CN" w:bidi="ar-SA"/>
              </w:rPr>
            </w:pPr>
            <w:r>
              <w:rPr>
                <w:rFonts w:hint="default" w:ascii="Times New Roman" w:hAnsi="Times New Roman" w:eastAsia="宋体" w:cs="Times New Roman"/>
                <w:color w:val="auto"/>
                <w:spacing w:val="-6"/>
                <w:kern w:val="2"/>
                <w:sz w:val="21"/>
                <w:szCs w:val="21"/>
                <w:vertAlign w:val="baseline"/>
                <w:lang w:val="en-US" w:eastAsia="zh-CN" w:bidi="ar-SA"/>
              </w:rPr>
              <w:t>3.2 矿山主要负责人具备安全生产知识和管理能力；</w:t>
            </w:r>
          </w:p>
          <w:p w14:paraId="5F0414F7">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3.3 专职安全管理人员的具备相应安全生产知识和管理能力；</w:t>
            </w:r>
          </w:p>
          <w:p w14:paraId="68C6667C">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 调换工程或岗位的人员，应进行新工种、岗位上岗前的安全操作培训；</w:t>
            </w:r>
          </w:p>
          <w:p w14:paraId="09A95104">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3.5 采用新技术、新工艺、新材料和新设备的人员应进行相应安全知识、操作技能培训合格后方能上岗作业；</w:t>
            </w:r>
          </w:p>
          <w:p w14:paraId="39E38018">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3.6 定期组织实施全员安全再教育，每年不少于20学时。开展班组安全活动，并建立记录；</w:t>
            </w:r>
          </w:p>
          <w:p w14:paraId="1BB08E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3.7 作业人员的安全教育培训和考核结果应有记录，并存档</w:t>
            </w:r>
            <w:r>
              <w:rPr>
                <w:rFonts w:hint="eastAsia" w:ascii="Times New Roman" w:hAnsi="Times New Roman" w:eastAsia="宋体" w:cs="Times New Roman"/>
                <w:color w:val="auto"/>
                <w:kern w:val="2"/>
                <w:sz w:val="21"/>
                <w:szCs w:val="21"/>
                <w:vertAlign w:val="baseline"/>
                <w:lang w:val="en-US" w:eastAsia="zh-CN" w:bidi="ar-SA"/>
              </w:rPr>
              <w:t>。</w:t>
            </w:r>
          </w:p>
        </w:tc>
        <w:tc>
          <w:tcPr>
            <w:tcW w:w="1863" w:type="dxa"/>
            <w:shd w:val="clear" w:color="auto" w:fill="auto"/>
            <w:vAlign w:val="center"/>
          </w:tcPr>
          <w:p w14:paraId="6AFDA4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B468D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第二十七条</w:t>
            </w:r>
          </w:p>
          <w:p w14:paraId="2CD350A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67138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第4.5条</w:t>
            </w:r>
          </w:p>
        </w:tc>
        <w:tc>
          <w:tcPr>
            <w:tcW w:w="1038" w:type="dxa"/>
            <w:shd w:val="clear" w:color="auto" w:fill="auto"/>
            <w:vAlign w:val="center"/>
          </w:tcPr>
          <w:p w14:paraId="75A49836">
            <w:pPr>
              <w:pStyle w:val="36"/>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4F4865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1C888ABA">
            <w:pPr>
              <w:pStyle w:val="3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作业人员的安全教育培训和考核结果记录存档不完善</w:t>
            </w:r>
          </w:p>
          <w:p w14:paraId="2C50616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681" w:type="dxa"/>
            <w:shd w:val="clear" w:color="auto" w:fill="auto"/>
            <w:vAlign w:val="center"/>
          </w:tcPr>
          <w:p w14:paraId="253C2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14</w:t>
            </w:r>
          </w:p>
        </w:tc>
        <w:tc>
          <w:tcPr>
            <w:tcW w:w="944" w:type="dxa"/>
            <w:shd w:val="clear" w:color="auto" w:fill="auto"/>
            <w:vAlign w:val="center"/>
          </w:tcPr>
          <w:p w14:paraId="3D6874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1项未做</w:t>
            </w:r>
          </w:p>
          <w:p w14:paraId="05AF1AD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到扣2分</w:t>
            </w:r>
          </w:p>
        </w:tc>
        <w:tc>
          <w:tcPr>
            <w:tcW w:w="642" w:type="dxa"/>
            <w:shd w:val="clear" w:color="auto" w:fill="auto"/>
            <w:vAlign w:val="center"/>
          </w:tcPr>
          <w:p w14:paraId="38E6D8B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w:t>
            </w:r>
          </w:p>
        </w:tc>
      </w:tr>
      <w:tr w14:paraId="7E43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972" w:type="dxa"/>
            <w:vMerge w:val="restart"/>
            <w:shd w:val="clear" w:color="auto" w:fill="auto"/>
            <w:vAlign w:val="center"/>
          </w:tcPr>
          <w:p w14:paraId="10C880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 安全检查</w:t>
            </w:r>
          </w:p>
        </w:tc>
        <w:tc>
          <w:tcPr>
            <w:tcW w:w="2444" w:type="dxa"/>
            <w:shd w:val="clear" w:color="auto" w:fill="auto"/>
            <w:vAlign w:val="center"/>
          </w:tcPr>
          <w:p w14:paraId="253D06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4.1 生产经营单位应当对安全生产状况进行经常性检查；</w:t>
            </w:r>
          </w:p>
          <w:p w14:paraId="55102F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 对检查中发现的事故隐患等安全问题，应当立即处理；</w:t>
            </w:r>
          </w:p>
          <w:p w14:paraId="0721FD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 检查及处理情况应当如实记录在案。</w:t>
            </w:r>
          </w:p>
        </w:tc>
        <w:tc>
          <w:tcPr>
            <w:tcW w:w="1863" w:type="dxa"/>
            <w:shd w:val="clear" w:color="auto" w:fill="auto"/>
            <w:vAlign w:val="center"/>
          </w:tcPr>
          <w:p w14:paraId="32BB7E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3063C8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第四十六条</w:t>
            </w:r>
          </w:p>
        </w:tc>
        <w:tc>
          <w:tcPr>
            <w:tcW w:w="1038" w:type="dxa"/>
            <w:shd w:val="clear" w:color="auto" w:fill="auto"/>
            <w:vAlign w:val="center"/>
          </w:tcPr>
          <w:p w14:paraId="58B7E2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查看检</w:t>
            </w:r>
          </w:p>
          <w:p w14:paraId="3780A7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查及处</w:t>
            </w:r>
          </w:p>
          <w:p w14:paraId="6C86BD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理情况记录</w:t>
            </w:r>
          </w:p>
        </w:tc>
        <w:tc>
          <w:tcPr>
            <w:tcW w:w="704" w:type="dxa"/>
            <w:shd w:val="clear" w:color="auto" w:fill="auto"/>
            <w:vAlign w:val="center"/>
          </w:tcPr>
          <w:p w14:paraId="4BAB84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81" w:type="dxa"/>
            <w:shd w:val="clear" w:color="auto" w:fill="auto"/>
            <w:vAlign w:val="center"/>
          </w:tcPr>
          <w:p w14:paraId="62B6D8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944" w:type="dxa"/>
            <w:shd w:val="clear" w:color="auto" w:fill="auto"/>
            <w:vAlign w:val="center"/>
          </w:tcPr>
          <w:p w14:paraId="04D032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1项未做到扣2分</w:t>
            </w:r>
          </w:p>
        </w:tc>
        <w:tc>
          <w:tcPr>
            <w:tcW w:w="642" w:type="dxa"/>
            <w:shd w:val="clear" w:color="auto" w:fill="auto"/>
            <w:vAlign w:val="center"/>
          </w:tcPr>
          <w:p w14:paraId="708482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47C1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972" w:type="dxa"/>
            <w:vMerge w:val="continue"/>
            <w:shd w:val="clear" w:color="auto" w:fill="auto"/>
            <w:vAlign w:val="center"/>
          </w:tcPr>
          <w:p w14:paraId="23631E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444" w:type="dxa"/>
            <w:shd w:val="clear" w:color="auto" w:fill="auto"/>
            <w:vAlign w:val="center"/>
          </w:tcPr>
          <w:p w14:paraId="52B66E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4.4 生产经营单位应当建立安全风险分级管控制度，按照安全风险分级采取相应的管控措施。</w:t>
            </w:r>
          </w:p>
        </w:tc>
        <w:tc>
          <w:tcPr>
            <w:tcW w:w="1863" w:type="dxa"/>
            <w:shd w:val="clear" w:color="auto" w:fill="auto"/>
            <w:vAlign w:val="center"/>
          </w:tcPr>
          <w:p w14:paraId="7CF71D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5002400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第四十</w:t>
            </w:r>
            <w:r>
              <w:rPr>
                <w:rFonts w:hint="eastAsia" w:ascii="Times New Roman" w:hAnsi="Times New Roman" w:eastAsia="宋体" w:cs="Times New Roman"/>
                <w:color w:val="auto"/>
                <w:kern w:val="2"/>
                <w:sz w:val="21"/>
                <w:szCs w:val="21"/>
                <w:vertAlign w:val="baseline"/>
                <w:lang w:val="en-US" w:eastAsia="zh-CN" w:bidi="ar-SA"/>
              </w:rPr>
              <w:t>一</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11D032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4D30AB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53B6C7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81" w:type="dxa"/>
            <w:shd w:val="clear" w:color="auto" w:fill="auto"/>
            <w:vAlign w:val="center"/>
          </w:tcPr>
          <w:p w14:paraId="7723AF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44" w:type="dxa"/>
            <w:shd w:val="clear" w:color="auto" w:fill="auto"/>
            <w:vAlign w:val="center"/>
          </w:tcPr>
          <w:p w14:paraId="7DD6CE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42" w:type="dxa"/>
            <w:shd w:val="clear" w:color="auto" w:fill="auto"/>
            <w:vAlign w:val="center"/>
          </w:tcPr>
          <w:p w14:paraId="30FCC3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4C30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972" w:type="dxa"/>
            <w:shd w:val="clear" w:color="auto" w:fill="auto"/>
            <w:vAlign w:val="center"/>
          </w:tcPr>
          <w:p w14:paraId="35D37F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 安全投入</w:t>
            </w:r>
          </w:p>
        </w:tc>
        <w:tc>
          <w:tcPr>
            <w:tcW w:w="2444" w:type="dxa"/>
            <w:shd w:val="clear" w:color="auto" w:fill="auto"/>
            <w:vAlign w:val="center"/>
          </w:tcPr>
          <w:p w14:paraId="6D1A31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 提取安全技术措施经费投入符合安全生产要求。</w:t>
            </w:r>
          </w:p>
          <w:p w14:paraId="33BB6C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 是否有保证安全生产投入的证明文件。</w:t>
            </w:r>
          </w:p>
          <w:p w14:paraId="37C800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5.3 有安全投入使用计划。</w:t>
            </w:r>
          </w:p>
          <w:p w14:paraId="1AE5A5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5.4 有投入购置安全设施设备等实物发票。</w:t>
            </w:r>
          </w:p>
        </w:tc>
        <w:tc>
          <w:tcPr>
            <w:tcW w:w="1863" w:type="dxa"/>
            <w:shd w:val="clear" w:color="auto" w:fill="auto"/>
            <w:vAlign w:val="center"/>
          </w:tcPr>
          <w:p w14:paraId="661953A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0B83259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w:t>
            </w:r>
            <w:r>
              <w:rPr>
                <w:rFonts w:hint="eastAsia" w:ascii="Times New Roman" w:hAnsi="Times New Roman" w:eastAsia="宋体" w:cs="Times New Roman"/>
                <w:color w:val="auto"/>
                <w:kern w:val="2"/>
                <w:sz w:val="21"/>
                <w:szCs w:val="21"/>
                <w:vertAlign w:val="baseline"/>
                <w:lang w:val="en-US" w:eastAsia="zh-CN" w:bidi="ar-SA"/>
              </w:rPr>
              <w:t>二十三</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070D76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386113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3DDE92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未见</w:t>
            </w:r>
            <w:r>
              <w:rPr>
                <w:rFonts w:hint="default" w:ascii="Times New Roman" w:hAnsi="Times New Roman" w:eastAsia="宋体" w:cs="Times New Roman"/>
                <w:color w:val="auto"/>
                <w:kern w:val="2"/>
                <w:sz w:val="21"/>
                <w:szCs w:val="21"/>
                <w:vertAlign w:val="baseline"/>
                <w:lang w:val="en-US" w:eastAsia="zh-CN" w:bidi="ar-SA"/>
              </w:rPr>
              <w:t>实物</w:t>
            </w:r>
            <w:r>
              <w:rPr>
                <w:rFonts w:hint="eastAsia" w:cs="Times New Roman"/>
                <w:color w:val="auto"/>
                <w:kern w:val="2"/>
                <w:sz w:val="21"/>
                <w:szCs w:val="21"/>
                <w:vertAlign w:val="baseline"/>
                <w:lang w:val="en-US" w:eastAsia="zh-CN" w:bidi="ar-SA"/>
              </w:rPr>
              <w:t>发票</w:t>
            </w:r>
          </w:p>
        </w:tc>
        <w:tc>
          <w:tcPr>
            <w:tcW w:w="681" w:type="dxa"/>
            <w:shd w:val="clear" w:color="auto" w:fill="auto"/>
            <w:vAlign w:val="center"/>
          </w:tcPr>
          <w:p w14:paraId="010D3A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944" w:type="dxa"/>
            <w:shd w:val="clear" w:color="auto" w:fill="auto"/>
            <w:vAlign w:val="center"/>
          </w:tcPr>
          <w:p w14:paraId="6E422D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1项未做到扣2分</w:t>
            </w:r>
          </w:p>
        </w:tc>
        <w:tc>
          <w:tcPr>
            <w:tcW w:w="642" w:type="dxa"/>
            <w:shd w:val="clear" w:color="auto" w:fill="auto"/>
            <w:vAlign w:val="center"/>
          </w:tcPr>
          <w:p w14:paraId="1C9601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555E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972" w:type="dxa"/>
            <w:shd w:val="clear" w:color="auto" w:fill="auto"/>
            <w:vAlign w:val="center"/>
          </w:tcPr>
          <w:p w14:paraId="2C431C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 保险</w:t>
            </w:r>
          </w:p>
        </w:tc>
        <w:tc>
          <w:tcPr>
            <w:tcW w:w="2444" w:type="dxa"/>
            <w:shd w:val="clear" w:color="auto" w:fill="auto"/>
            <w:vAlign w:val="center"/>
          </w:tcPr>
          <w:p w14:paraId="0D8B90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6.1 依法为员工缴纳工伤保险；</w:t>
            </w:r>
          </w:p>
          <w:p w14:paraId="4F7914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6.2 为员工投保安全生产责任保险。</w:t>
            </w:r>
          </w:p>
          <w:p w14:paraId="718DBE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 保险人数与从事矿山管理、生产的实际人数相符。</w:t>
            </w:r>
          </w:p>
        </w:tc>
        <w:tc>
          <w:tcPr>
            <w:tcW w:w="1863" w:type="dxa"/>
            <w:shd w:val="clear" w:color="auto" w:fill="auto"/>
            <w:vAlign w:val="center"/>
          </w:tcPr>
          <w:p w14:paraId="44B7AC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2E6D39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w:t>
            </w:r>
            <w:r>
              <w:rPr>
                <w:rFonts w:hint="eastAsia" w:ascii="Times New Roman" w:hAnsi="Times New Roman" w:eastAsia="宋体" w:cs="Times New Roman"/>
                <w:color w:val="auto"/>
                <w:kern w:val="2"/>
                <w:sz w:val="21"/>
                <w:szCs w:val="21"/>
                <w:vertAlign w:val="baseline"/>
                <w:lang w:val="en-US" w:eastAsia="zh-CN" w:bidi="ar-SA"/>
              </w:rPr>
              <w:t>五十一</w:t>
            </w:r>
            <w:r>
              <w:rPr>
                <w:rFonts w:hint="default" w:ascii="Times New Roman" w:hAnsi="Times New Roman" w:eastAsia="宋体" w:cs="Times New Roman"/>
                <w:color w:val="auto"/>
                <w:kern w:val="2"/>
                <w:sz w:val="21"/>
                <w:szCs w:val="21"/>
                <w:vertAlign w:val="baseline"/>
                <w:lang w:val="en-US" w:eastAsia="zh-CN" w:bidi="ar-SA"/>
              </w:rPr>
              <w:t>条</w:t>
            </w:r>
          </w:p>
        </w:tc>
        <w:tc>
          <w:tcPr>
            <w:tcW w:w="1038" w:type="dxa"/>
            <w:shd w:val="clear" w:color="auto" w:fill="auto"/>
            <w:vAlign w:val="center"/>
          </w:tcPr>
          <w:p w14:paraId="68395F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D00ED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4F7329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81" w:type="dxa"/>
            <w:shd w:val="clear" w:color="auto" w:fill="auto"/>
            <w:vAlign w:val="center"/>
          </w:tcPr>
          <w:p w14:paraId="18D9B2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944" w:type="dxa"/>
            <w:shd w:val="clear" w:color="auto" w:fill="auto"/>
            <w:vAlign w:val="center"/>
          </w:tcPr>
          <w:p w14:paraId="44D62A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w:t>
            </w:r>
          </w:p>
          <w:p w14:paraId="7C0735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扣2分</w:t>
            </w:r>
          </w:p>
        </w:tc>
        <w:tc>
          <w:tcPr>
            <w:tcW w:w="642" w:type="dxa"/>
            <w:shd w:val="clear" w:color="auto" w:fill="auto"/>
            <w:vAlign w:val="center"/>
          </w:tcPr>
          <w:p w14:paraId="61592C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236F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2" w:type="dxa"/>
            <w:shd w:val="clear" w:color="auto" w:fill="auto"/>
            <w:vAlign w:val="center"/>
          </w:tcPr>
          <w:p w14:paraId="772200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 应急救援</w:t>
            </w:r>
          </w:p>
        </w:tc>
        <w:tc>
          <w:tcPr>
            <w:tcW w:w="2444" w:type="dxa"/>
            <w:shd w:val="clear" w:color="auto" w:fill="auto"/>
            <w:vAlign w:val="center"/>
          </w:tcPr>
          <w:p w14:paraId="699E55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7.1 生产经营单位应当根据有关法律、法规、规章和相关标准，结合本单位组织管理体系、生产规模和可能发生的事故特点（边坡坍塌、排土场泥石流、爆破伤害以及采矿诱发地质灾害等事故），确立本单位的应急预案体系，编制相应的应急预案；</w:t>
            </w:r>
          </w:p>
          <w:p w14:paraId="651658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7.2 应急预案分为综合应急预案、专项应急预案和现场处置方案；</w:t>
            </w:r>
          </w:p>
          <w:p w14:paraId="227058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7.3 应急预案经评审及备案；</w:t>
            </w:r>
          </w:p>
          <w:p w14:paraId="3E3458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7.4 是否进行事故应急救援演练；</w:t>
            </w:r>
          </w:p>
          <w:p w14:paraId="0D66FE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7.5 矿山企业应当每三年进行一次应急预案评估。</w:t>
            </w:r>
          </w:p>
          <w:p w14:paraId="41A5D6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7.6 应急救援设备、器材配备是否处于适用状态。</w:t>
            </w:r>
          </w:p>
          <w:p w14:paraId="6A62BF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7.7 矿山单位应当建立应急救援组织；</w:t>
            </w:r>
          </w:p>
          <w:p w14:paraId="09CFF1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7.8 与就近的专业矿山救护队签订应急救援协议。</w:t>
            </w:r>
          </w:p>
        </w:tc>
        <w:tc>
          <w:tcPr>
            <w:tcW w:w="1863" w:type="dxa"/>
            <w:shd w:val="clear" w:color="auto" w:fill="auto"/>
            <w:vAlign w:val="center"/>
          </w:tcPr>
          <w:p w14:paraId="6D4A0C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《生产安全事故应急预案管理办法》第6、12、21、26、</w:t>
            </w:r>
          </w:p>
          <w:p w14:paraId="184D5D4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33、35、38条</w:t>
            </w:r>
          </w:p>
          <w:p w14:paraId="2C3AD9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《安全生产法》</w:t>
            </w:r>
          </w:p>
          <w:p w14:paraId="74FF0A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第82条</w:t>
            </w:r>
          </w:p>
          <w:p w14:paraId="5DA024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《金属非金属矿</w:t>
            </w:r>
          </w:p>
          <w:p w14:paraId="070696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山安全规程》</w:t>
            </w:r>
          </w:p>
          <w:p w14:paraId="4BF208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第8.1条</w:t>
            </w:r>
          </w:p>
        </w:tc>
        <w:tc>
          <w:tcPr>
            <w:tcW w:w="1038" w:type="dxa"/>
            <w:shd w:val="clear" w:color="auto" w:fill="auto"/>
            <w:vAlign w:val="center"/>
          </w:tcPr>
          <w:p w14:paraId="42DBBD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查看有</w:t>
            </w:r>
          </w:p>
          <w:p w14:paraId="69DE0E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效文件</w:t>
            </w:r>
          </w:p>
        </w:tc>
        <w:tc>
          <w:tcPr>
            <w:tcW w:w="704" w:type="dxa"/>
            <w:shd w:val="clear" w:color="auto" w:fill="auto"/>
            <w:vAlign w:val="center"/>
          </w:tcPr>
          <w:p w14:paraId="6DA81C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81" w:type="dxa"/>
            <w:shd w:val="clear" w:color="auto" w:fill="auto"/>
            <w:vAlign w:val="center"/>
          </w:tcPr>
          <w:p w14:paraId="1B08CF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c>
          <w:tcPr>
            <w:tcW w:w="944" w:type="dxa"/>
            <w:shd w:val="clear" w:color="auto" w:fill="auto"/>
            <w:vAlign w:val="center"/>
          </w:tcPr>
          <w:p w14:paraId="5AE85D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缺1项</w:t>
            </w:r>
          </w:p>
          <w:p w14:paraId="271DCC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扣2分，1项不完善扣1分，累计扣满16分为止</w:t>
            </w:r>
          </w:p>
        </w:tc>
        <w:tc>
          <w:tcPr>
            <w:tcW w:w="642" w:type="dxa"/>
            <w:shd w:val="clear" w:color="auto" w:fill="auto"/>
            <w:vAlign w:val="center"/>
          </w:tcPr>
          <w:p w14:paraId="05B08A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16</w:t>
            </w:r>
          </w:p>
        </w:tc>
      </w:tr>
      <w:tr w14:paraId="47C8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2" w:type="dxa"/>
            <w:shd w:val="clear" w:color="auto" w:fill="auto"/>
            <w:vAlign w:val="center"/>
          </w:tcPr>
          <w:p w14:paraId="143640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2444" w:type="dxa"/>
            <w:shd w:val="clear" w:color="auto" w:fill="auto"/>
            <w:vAlign w:val="center"/>
          </w:tcPr>
          <w:p w14:paraId="153C72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863" w:type="dxa"/>
            <w:shd w:val="clear" w:color="auto" w:fill="auto"/>
            <w:vAlign w:val="center"/>
          </w:tcPr>
          <w:p w14:paraId="0EAF0C2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38" w:type="dxa"/>
            <w:shd w:val="clear" w:color="auto" w:fill="auto"/>
            <w:vAlign w:val="center"/>
          </w:tcPr>
          <w:p w14:paraId="08B305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704" w:type="dxa"/>
            <w:shd w:val="clear" w:color="auto" w:fill="auto"/>
            <w:vAlign w:val="center"/>
          </w:tcPr>
          <w:p w14:paraId="56B43C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p>
        </w:tc>
        <w:tc>
          <w:tcPr>
            <w:tcW w:w="681" w:type="dxa"/>
            <w:shd w:val="clear" w:color="auto" w:fill="auto"/>
            <w:vAlign w:val="center"/>
          </w:tcPr>
          <w:p w14:paraId="536C051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120</w:t>
            </w:r>
          </w:p>
        </w:tc>
        <w:tc>
          <w:tcPr>
            <w:tcW w:w="944" w:type="dxa"/>
            <w:shd w:val="clear" w:color="auto" w:fill="auto"/>
            <w:vAlign w:val="center"/>
          </w:tcPr>
          <w:p w14:paraId="7CDF6B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s="Times New Roman"/>
                <w:color w:val="auto"/>
                <w:kern w:val="2"/>
                <w:sz w:val="21"/>
                <w:szCs w:val="21"/>
                <w:vertAlign w:val="baseline"/>
                <w:lang w:val="en-US" w:eastAsia="zh-CN" w:bidi="ar-SA"/>
              </w:rPr>
            </w:pPr>
          </w:p>
        </w:tc>
        <w:tc>
          <w:tcPr>
            <w:tcW w:w="642" w:type="dxa"/>
            <w:shd w:val="clear" w:color="auto" w:fill="auto"/>
            <w:vAlign w:val="center"/>
          </w:tcPr>
          <w:p w14:paraId="4B1949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116</w:t>
            </w:r>
          </w:p>
        </w:tc>
      </w:tr>
    </w:tbl>
    <w:p w14:paraId="79E65B42">
      <w:pPr>
        <w:pStyle w:val="4"/>
        <w:bidi w:val="0"/>
        <w:rPr>
          <w:rFonts w:hint="default"/>
          <w:color w:val="auto"/>
          <w:lang w:val="en-US" w:eastAsia="zh-CN"/>
        </w:rPr>
      </w:pPr>
      <w:bookmarkStart w:id="303" w:name="_Toc14300"/>
      <w:bookmarkStart w:id="304" w:name="_Toc22182"/>
      <w:bookmarkStart w:id="305" w:name="_Toc29367"/>
      <w:bookmarkStart w:id="306" w:name="_Toc2347"/>
      <w:r>
        <w:rPr>
          <w:rFonts w:hint="default"/>
          <w:color w:val="auto"/>
          <w:lang w:val="en-US" w:eastAsia="zh-CN"/>
        </w:rPr>
        <w:t>5.1.2</w:t>
      </w:r>
      <w:r>
        <w:rPr>
          <w:rFonts w:hint="eastAsia"/>
          <w:color w:val="auto"/>
          <w:lang w:val="en-US" w:eastAsia="zh-CN"/>
        </w:rPr>
        <w:t xml:space="preserve"> </w:t>
      </w:r>
      <w:r>
        <w:rPr>
          <w:rFonts w:hint="default"/>
          <w:color w:val="auto"/>
          <w:lang w:val="en-US" w:eastAsia="zh-CN"/>
        </w:rPr>
        <w:t>评价小结</w:t>
      </w:r>
      <w:bookmarkEnd w:id="303"/>
      <w:bookmarkEnd w:id="304"/>
      <w:bookmarkEnd w:id="305"/>
      <w:bookmarkEnd w:id="306"/>
    </w:p>
    <w:p w14:paraId="65DC91B8">
      <w:pPr>
        <w:bidi w:val="0"/>
        <w:rPr>
          <w:rFonts w:hint="default"/>
          <w:b w:val="0"/>
          <w:bCs w:val="0"/>
          <w:color w:val="auto"/>
          <w:lang w:val="en-US" w:eastAsia="zh-CN"/>
        </w:rPr>
      </w:pPr>
      <w:r>
        <w:rPr>
          <w:rFonts w:hint="eastAsia"/>
          <w:b w:val="0"/>
          <w:bCs w:val="0"/>
          <w:color w:val="auto"/>
          <w:lang w:val="en-US" w:eastAsia="zh-CN"/>
        </w:rPr>
        <w:t>曹溪二矿</w:t>
      </w:r>
      <w:r>
        <w:rPr>
          <w:rFonts w:hint="default"/>
          <w:b w:val="0"/>
          <w:bCs w:val="0"/>
          <w:color w:val="auto"/>
          <w:lang w:val="en-US" w:eastAsia="zh-CN"/>
        </w:rPr>
        <w:t>安全管理单元</w:t>
      </w:r>
      <w:r>
        <w:rPr>
          <w:rFonts w:hint="eastAsia"/>
          <w:b w:val="0"/>
          <w:bCs w:val="0"/>
          <w:color w:val="auto"/>
          <w:lang w:val="en-US" w:eastAsia="zh-CN"/>
        </w:rPr>
        <w:t>安全</w:t>
      </w:r>
      <w:r>
        <w:rPr>
          <w:rFonts w:hint="default"/>
          <w:b w:val="0"/>
          <w:bCs w:val="0"/>
          <w:color w:val="auto"/>
          <w:lang w:val="en-US" w:eastAsia="zh-CN"/>
        </w:rPr>
        <w:t>检查表中否决项为</w:t>
      </w:r>
      <w:r>
        <w:rPr>
          <w:rFonts w:hint="eastAsia" w:ascii="宋体" w:hAnsi="宋体" w:eastAsia="宋体" w:cs="宋体"/>
          <w:b w:val="0"/>
          <w:bCs w:val="0"/>
          <w:color w:val="auto"/>
          <w:lang w:val="en-US" w:eastAsia="zh-CN"/>
        </w:rPr>
        <w:t>“</w:t>
      </w:r>
      <w:r>
        <w:rPr>
          <w:rFonts w:hint="eastAsia" w:ascii="宋体" w:hAnsi="宋体" w:cs="宋体"/>
          <w:b w:val="0"/>
          <w:bCs w:val="0"/>
          <w:color w:val="auto"/>
          <w:lang w:val="en-US" w:eastAsia="zh-CN"/>
        </w:rPr>
        <w:t>合格</w:t>
      </w:r>
      <w:r>
        <w:rPr>
          <w:rFonts w:hint="eastAsia" w:ascii="宋体" w:hAnsi="宋体" w:eastAsia="宋体" w:cs="宋体"/>
          <w:b w:val="0"/>
          <w:bCs w:val="0"/>
          <w:color w:val="auto"/>
          <w:lang w:val="en-US" w:eastAsia="zh-CN"/>
        </w:rPr>
        <w:t>”</w:t>
      </w:r>
      <w:r>
        <w:rPr>
          <w:rFonts w:hint="default"/>
          <w:b w:val="0"/>
          <w:bCs w:val="0"/>
          <w:color w:val="auto"/>
          <w:lang w:val="en-US" w:eastAsia="zh-CN"/>
        </w:rPr>
        <w:t>或</w:t>
      </w:r>
      <w:r>
        <w:rPr>
          <w:rFonts w:hint="eastAsia" w:ascii="宋体" w:hAnsi="宋体" w:eastAsia="宋体" w:cs="宋体"/>
          <w:b w:val="0"/>
          <w:bCs w:val="0"/>
          <w:color w:val="auto"/>
          <w:lang w:val="en-US" w:eastAsia="zh-CN"/>
        </w:rPr>
        <w:t>“</w:t>
      </w:r>
      <w:r>
        <w:rPr>
          <w:rFonts w:hint="default"/>
          <w:b w:val="0"/>
          <w:bCs w:val="0"/>
          <w:color w:val="auto"/>
          <w:lang w:val="en-US" w:eastAsia="zh-CN"/>
        </w:rPr>
        <w:t>不涉及</w:t>
      </w:r>
      <w:r>
        <w:rPr>
          <w:rFonts w:hint="eastAsia" w:ascii="宋体" w:hAnsi="宋体" w:eastAsia="宋体" w:cs="宋体"/>
          <w:b w:val="0"/>
          <w:bCs w:val="0"/>
          <w:color w:val="auto"/>
          <w:lang w:val="en-US" w:eastAsia="zh-CN"/>
        </w:rPr>
        <w:t>”</w:t>
      </w:r>
      <w:r>
        <w:rPr>
          <w:rFonts w:hint="eastAsia"/>
          <w:b w:val="0"/>
          <w:bCs w:val="0"/>
          <w:color w:val="auto"/>
          <w:lang w:val="en-US" w:eastAsia="zh-CN"/>
        </w:rPr>
        <w:t>，</w:t>
      </w:r>
      <w:r>
        <w:rPr>
          <w:rFonts w:hint="default"/>
          <w:b w:val="0"/>
          <w:bCs w:val="0"/>
          <w:color w:val="auto"/>
          <w:lang w:val="en-US" w:eastAsia="zh-CN"/>
        </w:rPr>
        <w:t>一般项总分1</w:t>
      </w:r>
      <w:r>
        <w:rPr>
          <w:rFonts w:hint="eastAsia"/>
          <w:b w:val="0"/>
          <w:bCs w:val="0"/>
          <w:color w:val="auto"/>
          <w:lang w:val="en-US" w:eastAsia="zh-CN"/>
        </w:rPr>
        <w:t>20</w:t>
      </w:r>
      <w:r>
        <w:rPr>
          <w:rFonts w:hint="default"/>
          <w:b w:val="0"/>
          <w:bCs w:val="0"/>
          <w:color w:val="auto"/>
          <w:lang w:val="en-US" w:eastAsia="zh-CN"/>
        </w:rPr>
        <w:t>分，</w:t>
      </w:r>
      <w:r>
        <w:rPr>
          <w:rFonts w:hint="eastAsia"/>
          <w:b w:val="0"/>
          <w:bCs w:val="0"/>
          <w:color w:val="auto"/>
          <w:lang w:val="en-US" w:eastAsia="zh-CN"/>
        </w:rPr>
        <w:t>得分116</w:t>
      </w:r>
      <w:r>
        <w:rPr>
          <w:rFonts w:hint="default"/>
          <w:b w:val="0"/>
          <w:bCs w:val="0"/>
          <w:color w:val="auto"/>
          <w:lang w:val="en-US" w:eastAsia="zh-CN"/>
        </w:rPr>
        <w:t>分，得分率为</w:t>
      </w:r>
      <w:r>
        <w:rPr>
          <w:rFonts w:hint="eastAsia"/>
          <w:b w:val="0"/>
          <w:bCs w:val="0"/>
          <w:color w:val="auto"/>
          <w:lang w:val="en-US" w:eastAsia="zh-CN"/>
        </w:rPr>
        <w:t>96.67</w:t>
      </w:r>
      <w:r>
        <w:rPr>
          <w:rFonts w:hint="default"/>
          <w:b w:val="0"/>
          <w:bCs w:val="0"/>
          <w:color w:val="auto"/>
          <w:lang w:val="en-US" w:eastAsia="zh-CN"/>
        </w:rPr>
        <w:t>%，说明</w:t>
      </w:r>
      <w:r>
        <w:rPr>
          <w:rFonts w:hint="eastAsia"/>
          <w:b w:val="0"/>
          <w:bCs w:val="0"/>
          <w:color w:val="auto"/>
          <w:lang w:val="en-US" w:eastAsia="zh-CN"/>
        </w:rPr>
        <w:t>曹溪二矿</w:t>
      </w:r>
      <w:r>
        <w:rPr>
          <w:rFonts w:hint="default"/>
          <w:b w:val="0"/>
          <w:bCs w:val="0"/>
          <w:color w:val="auto"/>
          <w:lang w:val="en-US" w:eastAsia="zh-CN"/>
        </w:rPr>
        <w:t>安全管理单元有关证照合法有效，符合法律法规要求。</w:t>
      </w:r>
    </w:p>
    <w:p w14:paraId="547D2A6A">
      <w:pPr>
        <w:bidi w:val="0"/>
        <w:rPr>
          <w:rFonts w:hint="default"/>
          <w:b w:val="0"/>
          <w:bCs w:val="0"/>
          <w:color w:val="auto"/>
          <w:lang w:val="en-US" w:eastAsia="zh-CN"/>
        </w:rPr>
      </w:pPr>
      <w:r>
        <w:rPr>
          <w:rFonts w:hint="default"/>
          <w:b w:val="0"/>
          <w:bCs w:val="0"/>
          <w:color w:val="auto"/>
          <w:lang w:val="en-US" w:eastAsia="zh-CN"/>
        </w:rPr>
        <w:t>存在的主要问题</w:t>
      </w:r>
      <w:r>
        <w:rPr>
          <w:rFonts w:hint="eastAsia"/>
          <w:b w:val="0"/>
          <w:bCs w:val="0"/>
          <w:color w:val="auto"/>
          <w:lang w:val="en-US" w:eastAsia="zh-CN"/>
        </w:rPr>
        <w:t>：</w:t>
      </w:r>
      <w:r>
        <w:rPr>
          <w:rFonts w:hint="default"/>
          <w:b w:val="0"/>
          <w:bCs w:val="0"/>
          <w:color w:val="auto"/>
          <w:lang w:val="en-US" w:eastAsia="zh-CN"/>
        </w:rPr>
        <w:t>1</w:t>
      </w:r>
      <w:r>
        <w:rPr>
          <w:rFonts w:hint="eastAsia"/>
          <w:b w:val="0"/>
          <w:bCs w:val="0"/>
          <w:color w:val="auto"/>
          <w:lang w:val="en-US" w:eastAsia="zh-CN"/>
        </w:rPr>
        <w:t>）</w:t>
      </w:r>
      <w:r>
        <w:rPr>
          <w:rFonts w:hint="default"/>
          <w:b w:val="0"/>
          <w:bCs w:val="0"/>
          <w:color w:val="auto"/>
          <w:lang w:val="en-US" w:eastAsia="zh-CN"/>
        </w:rPr>
        <w:t>作业人员的安全教育培训和考核结果记录存档不完善</w:t>
      </w:r>
      <w:r>
        <w:rPr>
          <w:rFonts w:hint="eastAsia"/>
          <w:b w:val="0"/>
          <w:bCs w:val="0"/>
          <w:color w:val="auto"/>
          <w:lang w:val="en-US" w:eastAsia="zh-CN"/>
        </w:rPr>
        <w:t>；2）未见</w:t>
      </w:r>
      <w:r>
        <w:rPr>
          <w:rFonts w:hint="default"/>
          <w:b w:val="0"/>
          <w:bCs w:val="0"/>
          <w:color w:val="auto"/>
          <w:lang w:val="en-US" w:eastAsia="zh-CN"/>
        </w:rPr>
        <w:t>购置安全设施设备等实物发票。</w:t>
      </w:r>
    </w:p>
    <w:p w14:paraId="74606EC1">
      <w:pPr>
        <w:pStyle w:val="3"/>
        <w:bidi w:val="0"/>
        <w:rPr>
          <w:rFonts w:hint="default"/>
          <w:color w:val="auto"/>
          <w:lang w:val="en-US" w:eastAsia="zh-CN"/>
        </w:rPr>
      </w:pPr>
      <w:bookmarkStart w:id="307" w:name="_Toc25916"/>
      <w:bookmarkStart w:id="308" w:name="_Toc30485"/>
      <w:bookmarkStart w:id="309" w:name="_Toc4233"/>
      <w:bookmarkStart w:id="310" w:name="_Toc24329"/>
      <w:r>
        <w:rPr>
          <w:rFonts w:hint="eastAsia"/>
          <w:color w:val="auto"/>
          <w:lang w:val="en-US" w:eastAsia="zh-CN"/>
        </w:rPr>
        <w:t>5.2 露天采场单元</w:t>
      </w:r>
      <w:bookmarkEnd w:id="307"/>
      <w:bookmarkEnd w:id="308"/>
      <w:bookmarkEnd w:id="309"/>
      <w:bookmarkEnd w:id="310"/>
    </w:p>
    <w:p w14:paraId="5CD3EFD8">
      <w:pPr>
        <w:pStyle w:val="4"/>
        <w:bidi w:val="0"/>
        <w:rPr>
          <w:rFonts w:hint="default"/>
          <w:color w:val="auto"/>
          <w:lang w:val="en-US" w:eastAsia="zh-CN"/>
        </w:rPr>
      </w:pPr>
      <w:bookmarkStart w:id="311" w:name="_Toc20120"/>
      <w:bookmarkStart w:id="312" w:name="_Toc9897"/>
      <w:bookmarkStart w:id="313" w:name="_Toc6854"/>
      <w:bookmarkStart w:id="314" w:name="_Toc138"/>
      <w:r>
        <w:rPr>
          <w:rFonts w:hint="eastAsia"/>
          <w:color w:val="auto"/>
          <w:lang w:val="en-US" w:eastAsia="zh-CN"/>
        </w:rPr>
        <w:t>5.2.1 露天采场安全检查表</w:t>
      </w:r>
      <w:bookmarkEnd w:id="311"/>
      <w:bookmarkEnd w:id="312"/>
      <w:bookmarkEnd w:id="313"/>
      <w:bookmarkEnd w:id="314"/>
    </w:p>
    <w:p w14:paraId="5DDD558A">
      <w:pPr>
        <w:rPr>
          <w:rFonts w:hint="default"/>
          <w:color w:val="auto"/>
          <w:lang w:val="en-US" w:eastAsia="zh-CN"/>
        </w:rPr>
      </w:pPr>
      <w:r>
        <w:rPr>
          <w:rFonts w:hint="default"/>
          <w:color w:val="auto"/>
          <w:lang w:val="en-US" w:eastAsia="zh-CN"/>
        </w:rPr>
        <w:t>露天采场安全检查表</w:t>
      </w:r>
      <w:r>
        <w:rPr>
          <w:rFonts w:hint="eastAsia"/>
          <w:color w:val="auto"/>
          <w:lang w:val="en-US" w:eastAsia="zh-CN"/>
        </w:rPr>
        <w:t>见</w:t>
      </w:r>
      <w:r>
        <w:rPr>
          <w:rFonts w:hint="default"/>
          <w:color w:val="auto"/>
          <w:lang w:val="en-US" w:eastAsia="zh-CN"/>
        </w:rPr>
        <w:t>表5.</w:t>
      </w:r>
      <w:r>
        <w:rPr>
          <w:rFonts w:hint="eastAsia"/>
          <w:color w:val="auto"/>
          <w:lang w:val="en-US" w:eastAsia="zh-CN"/>
        </w:rPr>
        <w:t>2</w:t>
      </w:r>
      <w:r>
        <w:rPr>
          <w:rFonts w:hint="default"/>
          <w:color w:val="auto"/>
          <w:lang w:val="en-US" w:eastAsia="zh-CN"/>
        </w:rPr>
        <w:t>-1所示。</w:t>
      </w:r>
    </w:p>
    <w:p w14:paraId="0968389A">
      <w:pPr>
        <w:ind w:left="0" w:leftChars="0" w:firstLine="0" w:firstLineChars="0"/>
        <w:jc w:val="center"/>
        <w:rPr>
          <w:rFonts w:hint="default"/>
          <w:color w:val="auto"/>
          <w:lang w:val="en-US" w:eastAsia="zh-CN"/>
        </w:rPr>
      </w:pPr>
      <w:r>
        <w:rPr>
          <w:rFonts w:hint="default"/>
          <w:color w:val="auto"/>
          <w:lang w:val="en-US" w:eastAsia="zh-CN"/>
        </w:rPr>
        <w:t>表5.</w:t>
      </w:r>
      <w:r>
        <w:rPr>
          <w:rFonts w:hint="eastAsia"/>
          <w:color w:val="auto"/>
          <w:lang w:val="en-US" w:eastAsia="zh-CN"/>
        </w:rPr>
        <w:t>2</w:t>
      </w:r>
      <w:r>
        <w:rPr>
          <w:rFonts w:hint="default"/>
          <w:color w:val="auto"/>
          <w:lang w:val="en-US" w:eastAsia="zh-CN"/>
        </w:rPr>
        <w:t>-1 露天采场</w:t>
      </w:r>
      <w:r>
        <w:rPr>
          <w:rFonts w:hint="eastAsia"/>
          <w:color w:val="auto"/>
          <w:lang w:val="en-US" w:eastAsia="zh-CN"/>
        </w:rPr>
        <w:t>安全</w:t>
      </w:r>
      <w:r>
        <w:rPr>
          <w:rFonts w:hint="default"/>
          <w:color w:val="auto"/>
          <w:lang w:val="en-US" w:eastAsia="zh-CN"/>
        </w:rPr>
        <w:t>检查表</w:t>
      </w:r>
    </w:p>
    <w:tbl>
      <w:tblPr>
        <w:tblStyle w:val="19"/>
        <w:tblW w:w="9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2878"/>
        <w:gridCol w:w="1524"/>
        <w:gridCol w:w="1099"/>
        <w:gridCol w:w="1017"/>
        <w:gridCol w:w="696"/>
        <w:gridCol w:w="933"/>
        <w:gridCol w:w="633"/>
      </w:tblGrid>
      <w:tr w14:paraId="1F76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591" w:type="dxa"/>
            <w:vAlign w:val="center"/>
          </w:tcPr>
          <w:p w14:paraId="76EEE1D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878" w:type="dxa"/>
            <w:vAlign w:val="center"/>
          </w:tcPr>
          <w:p w14:paraId="65101B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24" w:type="dxa"/>
            <w:vAlign w:val="center"/>
          </w:tcPr>
          <w:p w14:paraId="03E09B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099" w:type="dxa"/>
            <w:vAlign w:val="center"/>
          </w:tcPr>
          <w:p w14:paraId="3493CB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1017" w:type="dxa"/>
            <w:vAlign w:val="center"/>
          </w:tcPr>
          <w:p w14:paraId="54A012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106E13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96" w:type="dxa"/>
            <w:vAlign w:val="center"/>
          </w:tcPr>
          <w:p w14:paraId="38A1D8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881FF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933" w:type="dxa"/>
            <w:vAlign w:val="center"/>
          </w:tcPr>
          <w:p w14:paraId="5A3475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27A804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633" w:type="dxa"/>
            <w:vAlign w:val="center"/>
          </w:tcPr>
          <w:p w14:paraId="5312A77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682F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591" w:type="dxa"/>
            <w:vMerge w:val="restart"/>
            <w:vAlign w:val="center"/>
          </w:tcPr>
          <w:p w14:paraId="60E8AB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 开采技术要求</w:t>
            </w:r>
          </w:p>
        </w:tc>
        <w:tc>
          <w:tcPr>
            <w:tcW w:w="2878" w:type="dxa"/>
            <w:vAlign w:val="center"/>
          </w:tcPr>
          <w:p w14:paraId="44E7A5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1</w:t>
            </w:r>
            <w:r>
              <w:rPr>
                <w:rFonts w:hint="default"/>
                <w:color w:val="auto"/>
                <w:sz w:val="21"/>
                <w:szCs w:val="21"/>
                <w:vertAlign w:val="baseline"/>
                <w:lang w:val="en-US" w:eastAsia="zh-CN"/>
              </w:rPr>
              <w:t xml:space="preserve"> 矿山开采安全设施设计经相应的安全生产监督管理部门审查通过。</w:t>
            </w:r>
          </w:p>
        </w:tc>
        <w:tc>
          <w:tcPr>
            <w:tcW w:w="1524" w:type="dxa"/>
            <w:vAlign w:val="center"/>
          </w:tcPr>
          <w:p w14:paraId="55E12B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国家安监局令</w:t>
            </w:r>
          </w:p>
          <w:p w14:paraId="44B852E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第18号</w:t>
            </w:r>
          </w:p>
          <w:p w14:paraId="49DAC2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第五条</w:t>
            </w:r>
          </w:p>
        </w:tc>
        <w:tc>
          <w:tcPr>
            <w:tcW w:w="1099" w:type="dxa"/>
            <w:vAlign w:val="center"/>
          </w:tcPr>
          <w:p w14:paraId="5D74FE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查看设计批复</w:t>
            </w:r>
          </w:p>
        </w:tc>
        <w:tc>
          <w:tcPr>
            <w:tcW w:w="1017" w:type="dxa"/>
            <w:vAlign w:val="center"/>
          </w:tcPr>
          <w:p w14:paraId="661A46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合格</w:t>
            </w:r>
          </w:p>
        </w:tc>
        <w:tc>
          <w:tcPr>
            <w:tcW w:w="696" w:type="dxa"/>
            <w:vAlign w:val="center"/>
          </w:tcPr>
          <w:p w14:paraId="20976B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933" w:type="dxa"/>
            <w:vAlign w:val="center"/>
          </w:tcPr>
          <w:p w14:paraId="14ADC1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否决项</w:t>
            </w:r>
          </w:p>
        </w:tc>
        <w:tc>
          <w:tcPr>
            <w:tcW w:w="633" w:type="dxa"/>
            <w:vAlign w:val="center"/>
          </w:tcPr>
          <w:p w14:paraId="4A3446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0227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14:paraId="4632C1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4A39EF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1.1.1 有遭遇洪水危险的露天矿山应设置专用的防洪、排洪设施。</w:t>
            </w:r>
          </w:p>
        </w:tc>
        <w:tc>
          <w:tcPr>
            <w:tcW w:w="1524" w:type="dxa"/>
            <w:vAlign w:val="center"/>
          </w:tcPr>
          <w:p w14:paraId="742BCE0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BA251D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w:t>
            </w:r>
          </w:p>
        </w:tc>
        <w:tc>
          <w:tcPr>
            <w:tcW w:w="1099" w:type="dxa"/>
            <w:vAlign w:val="center"/>
          </w:tcPr>
          <w:p w14:paraId="3377FD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2638E1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96" w:type="dxa"/>
            <w:vAlign w:val="center"/>
          </w:tcPr>
          <w:p w14:paraId="413339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00B9F3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8D5BC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275D6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14:paraId="061F1E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7FCDB8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w:t>
            </w:r>
            <w:r>
              <w:rPr>
                <w:rFonts w:hint="eastAsia"/>
                <w:color w:val="auto"/>
                <w:sz w:val="21"/>
                <w:szCs w:val="21"/>
                <w:vertAlign w:val="baseline"/>
                <w:lang w:val="en-US" w:eastAsia="zh-CN"/>
              </w:rPr>
              <w:t>1.2 在受地下开采影响范围内进行露天开采时，如不采取技术措施，不应同时进行露天开采。</w:t>
            </w:r>
          </w:p>
        </w:tc>
        <w:tc>
          <w:tcPr>
            <w:tcW w:w="1524" w:type="dxa"/>
            <w:vAlign w:val="center"/>
          </w:tcPr>
          <w:p w14:paraId="1D02379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856689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2</w:t>
            </w:r>
          </w:p>
        </w:tc>
        <w:tc>
          <w:tcPr>
            <w:tcW w:w="1099" w:type="dxa"/>
            <w:vAlign w:val="center"/>
          </w:tcPr>
          <w:p w14:paraId="253277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0285FEF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2F2454A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96" w:type="dxa"/>
            <w:vAlign w:val="center"/>
          </w:tcPr>
          <w:p w14:paraId="73200E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6116CC2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0B100E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2FF82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91" w:type="dxa"/>
            <w:vMerge w:val="continue"/>
            <w:vAlign w:val="center"/>
          </w:tcPr>
          <w:p w14:paraId="3E260A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34155B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1.1.3 地下开采转为露天开采时，应确定全部地下工程和矿柱的位置并绘制在矿山平、剖面对照图上；开采前应处理对露天开采安全有威胁的地下工程和采空区，不能处理的，就采取安全措施并在开采过程中处理。</w:t>
            </w:r>
          </w:p>
        </w:tc>
        <w:tc>
          <w:tcPr>
            <w:tcW w:w="1524" w:type="dxa"/>
            <w:vAlign w:val="center"/>
          </w:tcPr>
          <w:p w14:paraId="2C373908">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CB7229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3</w:t>
            </w:r>
          </w:p>
        </w:tc>
        <w:tc>
          <w:tcPr>
            <w:tcW w:w="1099" w:type="dxa"/>
            <w:vAlign w:val="center"/>
          </w:tcPr>
          <w:p w14:paraId="7B20B05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23E098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2E4039B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115990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3C9B80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939C6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1294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91" w:type="dxa"/>
            <w:vMerge w:val="continue"/>
            <w:vAlign w:val="center"/>
          </w:tcPr>
          <w:p w14:paraId="4C6E0D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2B48AF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1.1.4 </w:t>
            </w:r>
            <w:r>
              <w:rPr>
                <w:rFonts w:hint="default"/>
                <w:color w:val="auto"/>
                <w:sz w:val="21"/>
                <w:szCs w:val="21"/>
                <w:vertAlign w:val="baseline"/>
                <w:lang w:val="en-US" w:eastAsia="zh-CN"/>
              </w:rPr>
              <w:t>露天与地下同时开采时，应分析露天开采与地下开采的相互影响并采取有效的安全措施。露天和井下同时爆破影响安全时，不应同时爆破。</w:t>
            </w:r>
          </w:p>
        </w:tc>
        <w:tc>
          <w:tcPr>
            <w:tcW w:w="1524" w:type="dxa"/>
            <w:vAlign w:val="center"/>
          </w:tcPr>
          <w:p w14:paraId="26E8AD0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EDF36F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4</w:t>
            </w:r>
          </w:p>
        </w:tc>
        <w:tc>
          <w:tcPr>
            <w:tcW w:w="1099" w:type="dxa"/>
            <w:vAlign w:val="center"/>
          </w:tcPr>
          <w:p w14:paraId="0A3902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6441C8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213918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166843F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0BEC859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6FCA5D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6C6E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283DF5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7C687C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1.1.5 </w:t>
            </w:r>
            <w:r>
              <w:rPr>
                <w:rFonts w:hint="default"/>
                <w:color w:val="auto"/>
                <w:sz w:val="21"/>
                <w:szCs w:val="21"/>
                <w:vertAlign w:val="baseline"/>
                <w:lang w:val="en-US" w:eastAsia="zh-CN"/>
              </w:rPr>
              <w:t>下列区域内不得设置有人员值守的建构筑物</w:t>
            </w:r>
            <w:r>
              <w:rPr>
                <w:rFonts w:hint="eastAsia"/>
                <w:color w:val="auto"/>
                <w:sz w:val="21"/>
                <w:szCs w:val="21"/>
                <w:vertAlign w:val="baseline"/>
                <w:lang w:val="en-US" w:eastAsia="zh-CN"/>
              </w:rPr>
              <w:t>；</w:t>
            </w:r>
            <w:r>
              <w:rPr>
                <w:rFonts w:hint="default"/>
                <w:color w:val="auto"/>
                <w:sz w:val="21"/>
                <w:szCs w:val="21"/>
                <w:vertAlign w:val="baseline"/>
                <w:lang w:val="en-US" w:eastAsia="zh-CN"/>
              </w:rPr>
              <w:t>受露天爆破威胁区域；储存爆破器材的危险区域；矿山防洪区域；受岩体变形、塌陷、滑坡、泥石流等地质灾害影响区域。</w:t>
            </w:r>
          </w:p>
        </w:tc>
        <w:tc>
          <w:tcPr>
            <w:tcW w:w="1524" w:type="dxa"/>
            <w:vAlign w:val="center"/>
          </w:tcPr>
          <w:p w14:paraId="128AA72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ECEFAE8">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w:t>
            </w:r>
            <w:r>
              <w:rPr>
                <w:rFonts w:hint="eastAsia" w:ascii="Times New Roman" w:hAnsi="Times New Roman" w:eastAsia="宋体" w:cs="Times New Roman"/>
                <w:color w:val="auto"/>
                <w:kern w:val="2"/>
                <w:sz w:val="21"/>
                <w:szCs w:val="21"/>
                <w:vertAlign w:val="baseline"/>
                <w:lang w:val="en-US" w:eastAsia="zh-CN" w:bidi="ar-SA"/>
              </w:rPr>
              <w:t>5</w:t>
            </w:r>
          </w:p>
        </w:tc>
        <w:tc>
          <w:tcPr>
            <w:tcW w:w="1099" w:type="dxa"/>
            <w:vAlign w:val="center"/>
          </w:tcPr>
          <w:p w14:paraId="4A7C53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4F0E07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6D9CD7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6C74FF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68B738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08F9B2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180B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1C9970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506508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1.1.6 </w:t>
            </w:r>
            <w:r>
              <w:rPr>
                <w:rFonts w:hint="default"/>
                <w:color w:val="auto"/>
                <w:sz w:val="21"/>
                <w:szCs w:val="21"/>
                <w:vertAlign w:val="baseline"/>
                <w:lang w:val="en-US" w:eastAsia="zh-CN"/>
              </w:rPr>
              <w:t>设计规定保留的矿（岩）柱、挂帮矿体，在规定的期限内，未经技术论证，不得开采或破坏。</w:t>
            </w:r>
          </w:p>
        </w:tc>
        <w:tc>
          <w:tcPr>
            <w:tcW w:w="1524" w:type="dxa"/>
            <w:vAlign w:val="center"/>
          </w:tcPr>
          <w:p w14:paraId="6FCCD3B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4F5F3AC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w:t>
            </w:r>
            <w:r>
              <w:rPr>
                <w:rFonts w:hint="eastAsia" w:ascii="Times New Roman" w:hAnsi="Times New Roman" w:eastAsia="宋体" w:cs="Times New Roman"/>
                <w:color w:val="auto"/>
                <w:kern w:val="2"/>
                <w:sz w:val="21"/>
                <w:szCs w:val="21"/>
                <w:vertAlign w:val="baseline"/>
                <w:lang w:val="en-US" w:eastAsia="zh-CN" w:bidi="ar-SA"/>
              </w:rPr>
              <w:t>7</w:t>
            </w:r>
          </w:p>
        </w:tc>
        <w:tc>
          <w:tcPr>
            <w:tcW w:w="1099" w:type="dxa"/>
            <w:vAlign w:val="center"/>
          </w:tcPr>
          <w:p w14:paraId="17BD4F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7B2070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不涉及</w:t>
            </w:r>
          </w:p>
        </w:tc>
        <w:tc>
          <w:tcPr>
            <w:tcW w:w="696" w:type="dxa"/>
            <w:vAlign w:val="center"/>
          </w:tcPr>
          <w:p w14:paraId="60EE34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040BAD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247676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7C9E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140F11E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7D6DAB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1.1.7 </w:t>
            </w:r>
            <w:r>
              <w:rPr>
                <w:rFonts w:hint="default"/>
                <w:color w:val="auto"/>
                <w:sz w:val="21"/>
                <w:szCs w:val="21"/>
                <w:vertAlign w:val="baseline"/>
                <w:lang w:val="en-US" w:eastAsia="zh-CN"/>
              </w:rPr>
              <w:t>深凹露天矿的总出入口位置，应按排土场和工业场地的相对位置、标高、地形等条件确定；大型深凹露天矿，宜设两个出入口。</w:t>
            </w:r>
          </w:p>
        </w:tc>
        <w:tc>
          <w:tcPr>
            <w:tcW w:w="1524" w:type="dxa"/>
            <w:vAlign w:val="center"/>
          </w:tcPr>
          <w:p w14:paraId="3E8F210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BEDFF1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7.4.7</w:t>
            </w:r>
          </w:p>
        </w:tc>
        <w:tc>
          <w:tcPr>
            <w:tcW w:w="1099" w:type="dxa"/>
            <w:vAlign w:val="center"/>
          </w:tcPr>
          <w:p w14:paraId="2FB5C1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2F430E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FF0000"/>
                <w:sz w:val="21"/>
                <w:szCs w:val="21"/>
                <w:vertAlign w:val="baseline"/>
                <w:lang w:val="en-US" w:eastAsia="zh-CN"/>
              </w:rPr>
              <w:t>暂</w:t>
            </w:r>
            <w:r>
              <w:rPr>
                <w:rFonts w:hint="eastAsia"/>
                <w:color w:val="auto"/>
                <w:sz w:val="21"/>
                <w:szCs w:val="21"/>
                <w:vertAlign w:val="baseline"/>
                <w:lang w:val="en-US" w:eastAsia="zh-CN"/>
              </w:rPr>
              <w:t>不涉及</w:t>
            </w:r>
          </w:p>
        </w:tc>
        <w:tc>
          <w:tcPr>
            <w:tcW w:w="696" w:type="dxa"/>
            <w:vAlign w:val="center"/>
          </w:tcPr>
          <w:p w14:paraId="6ACC70C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322DAF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4CCA58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1970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34B17E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26865D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 露天开采</w:t>
            </w:r>
            <w:r>
              <w:rPr>
                <w:rFonts w:hint="eastAsia"/>
                <w:color w:val="auto"/>
                <w:sz w:val="21"/>
                <w:szCs w:val="21"/>
                <w:vertAlign w:val="baseline"/>
                <w:lang w:val="en-US" w:eastAsia="zh-CN"/>
              </w:rPr>
              <w:t>。</w:t>
            </w:r>
          </w:p>
          <w:p w14:paraId="362EE9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1.2.1 露天矿山应采用自上而下的顺序，分台阶开采。</w:t>
            </w:r>
          </w:p>
        </w:tc>
        <w:tc>
          <w:tcPr>
            <w:tcW w:w="1524" w:type="dxa"/>
            <w:vAlign w:val="center"/>
          </w:tcPr>
          <w:p w14:paraId="4BF3EFE8">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8F0C9C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5.2.1.1</w:t>
            </w:r>
          </w:p>
        </w:tc>
        <w:tc>
          <w:tcPr>
            <w:tcW w:w="1099" w:type="dxa"/>
            <w:vAlign w:val="center"/>
          </w:tcPr>
          <w:p w14:paraId="0EEB891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2B4A04A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07A945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3824AC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1ECA13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A2EF1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45C56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3A05FA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2FA17C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1.2.2 台阶高度：</w:t>
            </w:r>
          </w:p>
          <w:p w14:paraId="50E61A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不爆破时，不大于机械的最大挖掘高度。</w:t>
            </w:r>
          </w:p>
          <w:p w14:paraId="2E5500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爆破时，不大于机械的最大挖掘高度的1.5倍。</w:t>
            </w:r>
          </w:p>
        </w:tc>
        <w:tc>
          <w:tcPr>
            <w:tcW w:w="1524" w:type="dxa"/>
            <w:vAlign w:val="center"/>
          </w:tcPr>
          <w:p w14:paraId="34993BE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C4096C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5.2.1.1</w:t>
            </w:r>
          </w:p>
        </w:tc>
        <w:tc>
          <w:tcPr>
            <w:tcW w:w="1099" w:type="dxa"/>
            <w:vAlign w:val="center"/>
          </w:tcPr>
          <w:p w14:paraId="0FD589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416009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611E5B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36B112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5FE3B4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52C156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70AB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91" w:type="dxa"/>
            <w:vMerge w:val="continue"/>
            <w:vAlign w:val="center"/>
          </w:tcPr>
          <w:p w14:paraId="5141CF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327E96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1.2.3 露天矿山应采用机械方式进行开采。</w:t>
            </w:r>
          </w:p>
        </w:tc>
        <w:tc>
          <w:tcPr>
            <w:tcW w:w="1524" w:type="dxa"/>
            <w:vAlign w:val="center"/>
          </w:tcPr>
          <w:p w14:paraId="1E4AD60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F84976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w:t>
            </w:r>
            <w:r>
              <w:rPr>
                <w:rFonts w:hint="eastAsia" w:ascii="Times New Roman" w:hAnsi="Times New Roman" w:eastAsia="宋体" w:cs="Times New Roman"/>
                <w:color w:val="auto"/>
                <w:kern w:val="2"/>
                <w:sz w:val="21"/>
                <w:szCs w:val="21"/>
                <w:vertAlign w:val="baseline"/>
                <w:lang w:val="en-US" w:eastAsia="zh-CN" w:bidi="ar-SA"/>
              </w:rPr>
              <w:t>2</w:t>
            </w:r>
          </w:p>
        </w:tc>
        <w:tc>
          <w:tcPr>
            <w:tcW w:w="1099" w:type="dxa"/>
            <w:vAlign w:val="center"/>
          </w:tcPr>
          <w:p w14:paraId="45E963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1E5ABB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397F5F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3FD542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594B45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637C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764603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467205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1.2.4 多台阶并段时并段数量不超过3个，且不应影响边坡稳定性及下部作业安全。</w:t>
            </w:r>
          </w:p>
        </w:tc>
        <w:tc>
          <w:tcPr>
            <w:tcW w:w="1524" w:type="dxa"/>
            <w:vAlign w:val="center"/>
          </w:tcPr>
          <w:p w14:paraId="0574933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EE6EDF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w:t>
            </w:r>
            <w:r>
              <w:rPr>
                <w:rFonts w:hint="eastAsia" w:ascii="Times New Roman" w:hAnsi="Times New Roman" w:eastAsia="宋体" w:cs="Times New Roman"/>
                <w:color w:val="auto"/>
                <w:kern w:val="2"/>
                <w:sz w:val="21"/>
                <w:szCs w:val="21"/>
                <w:vertAlign w:val="baseline"/>
                <w:lang w:val="en-US" w:eastAsia="zh-CN" w:bidi="ar-SA"/>
              </w:rPr>
              <w:t>3</w:t>
            </w:r>
          </w:p>
        </w:tc>
        <w:tc>
          <w:tcPr>
            <w:tcW w:w="1099" w:type="dxa"/>
            <w:vAlign w:val="center"/>
          </w:tcPr>
          <w:p w14:paraId="5E5990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617373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5411C9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不涉及并段</w:t>
            </w:r>
          </w:p>
        </w:tc>
        <w:tc>
          <w:tcPr>
            <w:tcW w:w="696" w:type="dxa"/>
            <w:vAlign w:val="center"/>
          </w:tcPr>
          <w:p w14:paraId="12977D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4D1454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57E8CD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06C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1" w:type="dxa"/>
            <w:vMerge w:val="continue"/>
            <w:vAlign w:val="center"/>
          </w:tcPr>
          <w:p w14:paraId="449634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3FDBC7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1.2.5 露天采场应设安全平台和清扫平台。人工清扫平台宽度不小于6m，机械清扫平台宽度应满足设备要求且不小8m。</w:t>
            </w:r>
          </w:p>
        </w:tc>
        <w:tc>
          <w:tcPr>
            <w:tcW w:w="1524" w:type="dxa"/>
            <w:vAlign w:val="center"/>
          </w:tcPr>
          <w:p w14:paraId="7E23D67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6D0018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5.2.1.</w:t>
            </w:r>
            <w:r>
              <w:rPr>
                <w:rFonts w:hint="eastAsia" w:ascii="Times New Roman" w:hAnsi="Times New Roman" w:eastAsia="宋体" w:cs="Times New Roman"/>
                <w:color w:val="auto"/>
                <w:kern w:val="2"/>
                <w:sz w:val="21"/>
                <w:szCs w:val="21"/>
                <w:vertAlign w:val="baseline"/>
                <w:lang w:val="en-US" w:eastAsia="zh-CN" w:bidi="ar-SA"/>
              </w:rPr>
              <w:t>4</w:t>
            </w:r>
          </w:p>
        </w:tc>
        <w:tc>
          <w:tcPr>
            <w:tcW w:w="1099" w:type="dxa"/>
            <w:vAlign w:val="center"/>
          </w:tcPr>
          <w:p w14:paraId="64F2EF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18C7E15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1C0B42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暂无安全平台和清扫平台</w:t>
            </w:r>
          </w:p>
        </w:tc>
        <w:tc>
          <w:tcPr>
            <w:tcW w:w="696" w:type="dxa"/>
            <w:shd w:val="clear" w:color="auto" w:fill="auto"/>
            <w:vAlign w:val="center"/>
          </w:tcPr>
          <w:p w14:paraId="66DD76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olor w:val="FF0000"/>
                <w:sz w:val="21"/>
                <w:szCs w:val="21"/>
                <w:vertAlign w:val="baseline"/>
                <w:lang w:val="en-US" w:eastAsia="zh-CN"/>
              </w:rPr>
              <w:t>3</w:t>
            </w:r>
          </w:p>
        </w:tc>
        <w:tc>
          <w:tcPr>
            <w:tcW w:w="933" w:type="dxa"/>
            <w:shd w:val="clear" w:color="auto" w:fill="auto"/>
            <w:vAlign w:val="center"/>
          </w:tcPr>
          <w:p w14:paraId="73476F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不符合不得分</w:t>
            </w:r>
          </w:p>
        </w:tc>
        <w:tc>
          <w:tcPr>
            <w:tcW w:w="633" w:type="dxa"/>
            <w:shd w:val="clear" w:color="auto" w:fill="auto"/>
            <w:vAlign w:val="center"/>
          </w:tcPr>
          <w:p w14:paraId="151442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olor w:val="FF0000"/>
                <w:sz w:val="21"/>
                <w:szCs w:val="21"/>
                <w:vertAlign w:val="baseline"/>
                <w:lang w:val="en-US" w:eastAsia="zh-CN"/>
              </w:rPr>
              <w:t>-</w:t>
            </w:r>
          </w:p>
        </w:tc>
      </w:tr>
      <w:tr w14:paraId="3118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4769067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78DBA1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w:t>
            </w:r>
            <w:r>
              <w:rPr>
                <w:rFonts w:hint="eastAsia"/>
                <w:color w:val="auto"/>
                <w:sz w:val="21"/>
                <w:szCs w:val="21"/>
                <w:vertAlign w:val="baseline"/>
                <w:lang w:val="en-US" w:eastAsia="zh-CN"/>
              </w:rPr>
              <w:t>6</w:t>
            </w:r>
            <w:r>
              <w:rPr>
                <w:rFonts w:hint="default"/>
                <w:color w:val="auto"/>
                <w:sz w:val="21"/>
                <w:szCs w:val="21"/>
                <w:vertAlign w:val="baseline"/>
                <w:lang w:val="en-US" w:eastAsia="zh-CN"/>
              </w:rPr>
              <w:t xml:space="preserve"> 采场运输道路以及供电、通信线路均应设置在稳定区域内。</w:t>
            </w:r>
          </w:p>
        </w:tc>
        <w:tc>
          <w:tcPr>
            <w:tcW w:w="1524" w:type="dxa"/>
            <w:vAlign w:val="center"/>
          </w:tcPr>
          <w:p w14:paraId="73A1DE5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169F33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ascii="Times New Roman" w:hAnsi="Times New Roman" w:eastAsia="宋体" w:cs="Times New Roman"/>
                <w:color w:val="auto"/>
                <w:kern w:val="2"/>
                <w:sz w:val="21"/>
                <w:szCs w:val="21"/>
                <w:vertAlign w:val="baseline"/>
                <w:lang w:val="en-US" w:eastAsia="zh-CN" w:bidi="ar-SA"/>
              </w:rPr>
              <w:t>1.5</w:t>
            </w:r>
          </w:p>
        </w:tc>
        <w:tc>
          <w:tcPr>
            <w:tcW w:w="1099" w:type="dxa"/>
            <w:vAlign w:val="center"/>
          </w:tcPr>
          <w:p w14:paraId="04383F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66269D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4703DB6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091DF8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6192D4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4B1268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42288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591" w:type="dxa"/>
            <w:vMerge w:val="continue"/>
            <w:vAlign w:val="center"/>
          </w:tcPr>
          <w:p w14:paraId="28457D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6EAB8A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w:t>
            </w:r>
            <w:r>
              <w:rPr>
                <w:rFonts w:hint="eastAsia"/>
                <w:color w:val="auto"/>
                <w:sz w:val="21"/>
                <w:szCs w:val="21"/>
                <w:vertAlign w:val="baseline"/>
                <w:lang w:val="en-US" w:eastAsia="zh-CN"/>
              </w:rPr>
              <w:t>7</w:t>
            </w:r>
            <w:r>
              <w:rPr>
                <w:rFonts w:hint="default"/>
                <w:color w:val="auto"/>
                <w:sz w:val="21"/>
                <w:szCs w:val="21"/>
                <w:vertAlign w:val="baseline"/>
                <w:lang w:val="en-US" w:eastAsia="zh-CN"/>
              </w:rPr>
              <w:t xml:space="preserve"> 多台铲装设备在同一平台上作业时，铲装设备的间距：汽车运输时，应不小于设备最大工作半径的3倍，且不小于50m。</w:t>
            </w:r>
          </w:p>
        </w:tc>
        <w:tc>
          <w:tcPr>
            <w:tcW w:w="1524" w:type="dxa"/>
            <w:vAlign w:val="center"/>
          </w:tcPr>
          <w:p w14:paraId="45A3456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42A462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ascii="Times New Roman" w:hAnsi="Times New Roman" w:eastAsia="宋体" w:cs="Times New Roman"/>
                <w:color w:val="auto"/>
                <w:kern w:val="2"/>
                <w:sz w:val="21"/>
                <w:szCs w:val="21"/>
                <w:vertAlign w:val="baseline"/>
                <w:lang w:val="en-US" w:eastAsia="zh-CN" w:bidi="ar-SA"/>
              </w:rPr>
              <w:t>3.5</w:t>
            </w:r>
          </w:p>
        </w:tc>
        <w:tc>
          <w:tcPr>
            <w:tcW w:w="1099" w:type="dxa"/>
            <w:vAlign w:val="center"/>
          </w:tcPr>
          <w:p w14:paraId="1702AE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6BCA17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11E383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72BDF2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2FD79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0678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24C021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7747B8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w:t>
            </w:r>
            <w:r>
              <w:rPr>
                <w:rFonts w:hint="eastAsia"/>
                <w:color w:val="auto"/>
                <w:sz w:val="21"/>
                <w:szCs w:val="21"/>
                <w:vertAlign w:val="baseline"/>
                <w:lang w:val="en-US" w:eastAsia="zh-CN"/>
              </w:rPr>
              <w:t>8</w:t>
            </w:r>
            <w:r>
              <w:rPr>
                <w:rFonts w:hint="default"/>
                <w:color w:val="auto"/>
                <w:sz w:val="21"/>
                <w:szCs w:val="21"/>
                <w:vertAlign w:val="baseline"/>
                <w:lang w:val="en-US" w:eastAsia="zh-CN"/>
              </w:rPr>
              <w:t xml:space="preserve"> 上、下台阶同时作业时，上部台阶的铲装设备应超前下部台阶铲装设备；超前距离不小于铲装设备最大工作半径的3倍，且不小于50m。</w:t>
            </w:r>
          </w:p>
        </w:tc>
        <w:tc>
          <w:tcPr>
            <w:tcW w:w="1524" w:type="dxa"/>
            <w:vAlign w:val="center"/>
          </w:tcPr>
          <w:p w14:paraId="58593FE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9857E9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ascii="Times New Roman" w:hAnsi="Times New Roman" w:eastAsia="宋体" w:cs="Times New Roman"/>
                <w:color w:val="auto"/>
                <w:kern w:val="2"/>
                <w:sz w:val="21"/>
                <w:szCs w:val="21"/>
                <w:vertAlign w:val="baseline"/>
                <w:lang w:val="en-US" w:eastAsia="zh-CN" w:bidi="ar-SA"/>
              </w:rPr>
              <w:t>3.6</w:t>
            </w:r>
          </w:p>
        </w:tc>
        <w:tc>
          <w:tcPr>
            <w:tcW w:w="1099" w:type="dxa"/>
            <w:vAlign w:val="center"/>
          </w:tcPr>
          <w:p w14:paraId="5547072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6F1737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vAlign w:val="center"/>
          </w:tcPr>
          <w:p w14:paraId="2A434B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1BBCD1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1F1439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r>
      <w:tr w14:paraId="6D4B1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591" w:type="dxa"/>
            <w:vMerge w:val="continue"/>
            <w:vAlign w:val="center"/>
          </w:tcPr>
          <w:p w14:paraId="3C6148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4FCCCFD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1.2.10 矿山应建立边坡安全管理和检查制度。每5年至少进行1次边坡稳定性分析。</w:t>
            </w:r>
          </w:p>
        </w:tc>
        <w:tc>
          <w:tcPr>
            <w:tcW w:w="1524" w:type="dxa"/>
            <w:vAlign w:val="center"/>
          </w:tcPr>
          <w:p w14:paraId="4C2F46F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F0ACF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w:t>
            </w:r>
            <w:r>
              <w:rPr>
                <w:rFonts w:hint="eastAsia" w:cs="Times New Roman"/>
                <w:color w:val="auto"/>
                <w:kern w:val="2"/>
                <w:sz w:val="21"/>
                <w:szCs w:val="21"/>
                <w:vertAlign w:val="baseline"/>
                <w:lang w:val="en-US" w:eastAsia="zh-CN" w:bidi="ar-SA"/>
              </w:rPr>
              <w:t>4</w:t>
            </w:r>
            <w:r>
              <w:rPr>
                <w:rFonts w:hint="eastAsia" w:ascii="Times New Roman" w:hAnsi="Times New Roman" w:eastAsia="宋体" w:cs="Times New Roman"/>
                <w:color w:val="auto"/>
                <w:kern w:val="2"/>
                <w:sz w:val="21"/>
                <w:szCs w:val="21"/>
                <w:vertAlign w:val="baseline"/>
                <w:lang w:val="en-US" w:eastAsia="zh-CN" w:bidi="ar-SA"/>
              </w:rPr>
              <w:t>.5</w:t>
            </w:r>
          </w:p>
          <w:p w14:paraId="6A63AE5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99" w:type="dxa"/>
            <w:vAlign w:val="center"/>
          </w:tcPr>
          <w:p w14:paraId="262C2B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w:t>
            </w:r>
            <w:r>
              <w:rPr>
                <w:rFonts w:hint="default" w:ascii="Times New Roman" w:hAnsi="Times New Roman" w:eastAsia="宋体" w:cs="Times New Roman"/>
                <w:color w:val="auto"/>
                <w:kern w:val="2"/>
                <w:sz w:val="21"/>
                <w:szCs w:val="21"/>
                <w:vertAlign w:val="baseline"/>
                <w:lang w:val="en-US" w:eastAsia="zh-CN" w:bidi="ar-SA"/>
              </w:rPr>
              <w:t>看制度和分析报告</w:t>
            </w:r>
          </w:p>
        </w:tc>
        <w:tc>
          <w:tcPr>
            <w:tcW w:w="1017" w:type="dxa"/>
            <w:vAlign w:val="center"/>
          </w:tcPr>
          <w:p w14:paraId="586067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已建立制度，已进行边坡稳定性分析</w:t>
            </w:r>
          </w:p>
        </w:tc>
        <w:tc>
          <w:tcPr>
            <w:tcW w:w="696" w:type="dxa"/>
            <w:vAlign w:val="center"/>
          </w:tcPr>
          <w:p w14:paraId="164FD39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10600E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7DF3AB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r>
      <w:tr w14:paraId="12F6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Align w:val="center"/>
          </w:tcPr>
          <w:p w14:paraId="11D474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 资料图纸</w:t>
            </w:r>
          </w:p>
        </w:tc>
        <w:tc>
          <w:tcPr>
            <w:tcW w:w="2878" w:type="dxa"/>
            <w:vAlign w:val="center"/>
          </w:tcPr>
          <w:p w14:paraId="4BC5ACB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具有符合规范的下列图纸：</w:t>
            </w:r>
          </w:p>
          <w:p w14:paraId="0032E5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2.1 地质地形图；</w:t>
            </w:r>
          </w:p>
          <w:p w14:paraId="2FCC36A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2.2 采剥工程年末图；</w:t>
            </w:r>
          </w:p>
          <w:p w14:paraId="6DC46D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3</w:t>
            </w:r>
            <w:r>
              <w:rPr>
                <w:rFonts w:hint="default"/>
                <w:color w:val="auto"/>
                <w:sz w:val="21"/>
                <w:szCs w:val="21"/>
                <w:vertAlign w:val="baseline"/>
                <w:lang w:val="en-US" w:eastAsia="zh-CN"/>
              </w:rPr>
              <w:t xml:space="preserve"> 采场边坡工程平面及剖面图；</w:t>
            </w:r>
          </w:p>
          <w:p w14:paraId="1E98D1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4</w:t>
            </w:r>
            <w:r>
              <w:rPr>
                <w:rFonts w:hint="default"/>
                <w:color w:val="auto"/>
                <w:sz w:val="21"/>
                <w:szCs w:val="21"/>
                <w:vertAlign w:val="baseline"/>
                <w:lang w:val="en-US" w:eastAsia="zh-CN"/>
              </w:rPr>
              <w:t xml:space="preserve"> 采场最终境界图；</w:t>
            </w:r>
          </w:p>
          <w:p w14:paraId="363075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5</w:t>
            </w:r>
            <w:r>
              <w:rPr>
                <w:rFonts w:hint="default"/>
                <w:color w:val="auto"/>
                <w:sz w:val="21"/>
                <w:szCs w:val="21"/>
                <w:vertAlign w:val="baseline"/>
                <w:lang w:val="en-US" w:eastAsia="zh-CN"/>
              </w:rPr>
              <w:t xml:space="preserve"> 排土场年末图；</w:t>
            </w:r>
          </w:p>
          <w:p w14:paraId="2E7CAA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6</w:t>
            </w:r>
            <w:r>
              <w:rPr>
                <w:rFonts w:hint="default"/>
                <w:color w:val="auto"/>
                <w:sz w:val="21"/>
                <w:szCs w:val="21"/>
                <w:vertAlign w:val="baseline"/>
                <w:lang w:val="en-US" w:eastAsia="zh-CN"/>
              </w:rPr>
              <w:t xml:space="preserve"> 排土场工程平面及剖面图；</w:t>
            </w:r>
          </w:p>
          <w:p w14:paraId="40560C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7</w:t>
            </w:r>
            <w:r>
              <w:rPr>
                <w:rFonts w:hint="default"/>
                <w:color w:val="auto"/>
                <w:sz w:val="21"/>
                <w:szCs w:val="21"/>
                <w:vertAlign w:val="baseline"/>
                <w:lang w:val="en-US" w:eastAsia="zh-CN"/>
              </w:rPr>
              <w:t xml:space="preserve"> 供配电系统图；</w:t>
            </w:r>
          </w:p>
          <w:p w14:paraId="353E4D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8</w:t>
            </w:r>
            <w:r>
              <w:rPr>
                <w:rFonts w:hint="default"/>
                <w:color w:val="auto"/>
                <w:sz w:val="21"/>
                <w:szCs w:val="21"/>
                <w:vertAlign w:val="baseline"/>
                <w:lang w:val="en-US" w:eastAsia="zh-CN"/>
              </w:rPr>
              <w:t xml:space="preserve"> 井下采空区与露天矿平面对照图；</w:t>
            </w:r>
          </w:p>
          <w:p w14:paraId="288BAA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w:t>
            </w:r>
            <w:r>
              <w:rPr>
                <w:rFonts w:hint="eastAsia"/>
                <w:color w:val="auto"/>
                <w:sz w:val="21"/>
                <w:szCs w:val="21"/>
                <w:vertAlign w:val="baseline"/>
                <w:lang w:val="en-US" w:eastAsia="zh-CN"/>
              </w:rPr>
              <w:t>9</w:t>
            </w:r>
            <w:r>
              <w:rPr>
                <w:rFonts w:hint="default"/>
                <w:color w:val="auto"/>
                <w:sz w:val="21"/>
                <w:szCs w:val="21"/>
                <w:vertAlign w:val="baseline"/>
                <w:lang w:val="en-US" w:eastAsia="zh-CN"/>
              </w:rPr>
              <w:t xml:space="preserve"> 防排水系统图。</w:t>
            </w:r>
          </w:p>
        </w:tc>
        <w:tc>
          <w:tcPr>
            <w:tcW w:w="1524" w:type="dxa"/>
            <w:vAlign w:val="center"/>
          </w:tcPr>
          <w:p w14:paraId="1E5395F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B35950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4.1.9</w:t>
            </w:r>
          </w:p>
        </w:tc>
        <w:tc>
          <w:tcPr>
            <w:tcW w:w="1099" w:type="dxa"/>
            <w:vAlign w:val="center"/>
          </w:tcPr>
          <w:p w14:paraId="31C8E7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查看图纸</w:t>
            </w:r>
          </w:p>
          <w:p w14:paraId="380FB4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现场检查</w:t>
            </w:r>
          </w:p>
        </w:tc>
        <w:tc>
          <w:tcPr>
            <w:tcW w:w="1017" w:type="dxa"/>
            <w:vAlign w:val="center"/>
          </w:tcPr>
          <w:p w14:paraId="3DA40E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不涉及排土场和井下采空区</w:t>
            </w:r>
          </w:p>
        </w:tc>
        <w:tc>
          <w:tcPr>
            <w:tcW w:w="696" w:type="dxa"/>
            <w:vAlign w:val="center"/>
          </w:tcPr>
          <w:p w14:paraId="34DC34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w:t>
            </w:r>
          </w:p>
        </w:tc>
        <w:tc>
          <w:tcPr>
            <w:tcW w:w="933" w:type="dxa"/>
            <w:vAlign w:val="center"/>
          </w:tcPr>
          <w:p w14:paraId="7DEC0B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每缺1项扣2分，1项不完善扣1分</w:t>
            </w:r>
          </w:p>
        </w:tc>
        <w:tc>
          <w:tcPr>
            <w:tcW w:w="633" w:type="dxa"/>
            <w:vAlign w:val="center"/>
          </w:tcPr>
          <w:p w14:paraId="75FA16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18</w:t>
            </w:r>
          </w:p>
        </w:tc>
      </w:tr>
      <w:tr w14:paraId="556CF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restart"/>
            <w:vAlign w:val="center"/>
          </w:tcPr>
          <w:p w14:paraId="4D70615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 xml:space="preserve">3. </w:t>
            </w:r>
            <w:r>
              <w:rPr>
                <w:rFonts w:hint="default"/>
                <w:color w:val="auto"/>
                <w:sz w:val="21"/>
                <w:szCs w:val="21"/>
                <w:vertAlign w:val="baseline"/>
                <w:lang w:val="en-US" w:eastAsia="zh-CN"/>
              </w:rPr>
              <w:t>作业</w:t>
            </w:r>
          </w:p>
          <w:p w14:paraId="706D723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现场</w:t>
            </w:r>
          </w:p>
          <w:p w14:paraId="727A98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管理</w:t>
            </w:r>
          </w:p>
        </w:tc>
        <w:tc>
          <w:tcPr>
            <w:tcW w:w="2878" w:type="dxa"/>
            <w:vAlign w:val="center"/>
          </w:tcPr>
          <w:p w14:paraId="2C41E1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 1 设立警示标志：</w:t>
            </w:r>
          </w:p>
          <w:p w14:paraId="7F3AFD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露天坑入口和露天坑周围易发生危险的区域应设置围栏和警示标志，防止无关人员进入。</w:t>
            </w:r>
          </w:p>
        </w:tc>
        <w:tc>
          <w:tcPr>
            <w:tcW w:w="1524" w:type="dxa"/>
            <w:vAlign w:val="center"/>
          </w:tcPr>
          <w:p w14:paraId="1479F6D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4C8EFB5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5.1.8</w:t>
            </w:r>
          </w:p>
        </w:tc>
        <w:tc>
          <w:tcPr>
            <w:tcW w:w="1099" w:type="dxa"/>
            <w:vAlign w:val="center"/>
          </w:tcPr>
          <w:p w14:paraId="023A32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vAlign w:val="center"/>
          </w:tcPr>
          <w:p w14:paraId="7EFEE5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未设相邻采场边界围栏</w:t>
            </w:r>
          </w:p>
        </w:tc>
        <w:tc>
          <w:tcPr>
            <w:tcW w:w="696" w:type="dxa"/>
            <w:vAlign w:val="center"/>
          </w:tcPr>
          <w:p w14:paraId="13CB38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933" w:type="dxa"/>
            <w:vAlign w:val="center"/>
          </w:tcPr>
          <w:p w14:paraId="5801E6D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2BB7800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09E6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vAlign w:val="center"/>
          </w:tcPr>
          <w:p w14:paraId="34A3E7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3AAB92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3.2 夜间工作的采矿场和排废场，在下列地点应设置照明：1、凿岩机、移动式或固定式空气压缩机和水泵的工作地点；2、斜坡卷扬机道、人行梯和人行道；3、汽车运输的装卸车处、人工装卸车地点的排废场、卸车线；4、调车站、会让站。</w:t>
            </w:r>
          </w:p>
        </w:tc>
        <w:tc>
          <w:tcPr>
            <w:tcW w:w="1524" w:type="dxa"/>
            <w:vAlign w:val="center"/>
          </w:tcPr>
          <w:p w14:paraId="2386385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F2D768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5.6.3.1</w:t>
            </w:r>
          </w:p>
        </w:tc>
        <w:tc>
          <w:tcPr>
            <w:tcW w:w="1099" w:type="dxa"/>
            <w:vAlign w:val="center"/>
          </w:tcPr>
          <w:p w14:paraId="38DC56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vAlign w:val="center"/>
          </w:tcPr>
          <w:p w14:paraId="1A849C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按要求设置了太阳能照明灯具</w:t>
            </w:r>
          </w:p>
        </w:tc>
        <w:tc>
          <w:tcPr>
            <w:tcW w:w="696" w:type="dxa"/>
            <w:vAlign w:val="center"/>
          </w:tcPr>
          <w:p w14:paraId="3CA59F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w:t>
            </w:r>
          </w:p>
        </w:tc>
        <w:tc>
          <w:tcPr>
            <w:tcW w:w="933" w:type="dxa"/>
            <w:vAlign w:val="center"/>
          </w:tcPr>
          <w:p w14:paraId="63F837F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1项不符合扣2分</w:t>
            </w:r>
          </w:p>
        </w:tc>
        <w:tc>
          <w:tcPr>
            <w:tcW w:w="633" w:type="dxa"/>
            <w:vAlign w:val="center"/>
          </w:tcPr>
          <w:p w14:paraId="50BFC01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w:t>
            </w:r>
          </w:p>
        </w:tc>
      </w:tr>
      <w:tr w14:paraId="7C93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vAlign w:val="center"/>
          </w:tcPr>
          <w:p w14:paraId="6B7EC6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2878" w:type="dxa"/>
            <w:vAlign w:val="center"/>
          </w:tcPr>
          <w:p w14:paraId="3A1EB6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3.3 边坡浮石清除完毕之前不应在边坡底部作业；人员和设备不应在边坡底部留。</w:t>
            </w:r>
          </w:p>
        </w:tc>
        <w:tc>
          <w:tcPr>
            <w:tcW w:w="1524" w:type="dxa"/>
            <w:vAlign w:val="center"/>
          </w:tcPr>
          <w:p w14:paraId="232F108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E97BC2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5.2.4.4</w:t>
            </w:r>
          </w:p>
        </w:tc>
        <w:tc>
          <w:tcPr>
            <w:tcW w:w="1099" w:type="dxa"/>
            <w:vAlign w:val="center"/>
          </w:tcPr>
          <w:p w14:paraId="7C5F344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vAlign w:val="center"/>
          </w:tcPr>
          <w:p w14:paraId="335524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vAlign w:val="center"/>
          </w:tcPr>
          <w:p w14:paraId="756939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933" w:type="dxa"/>
            <w:vAlign w:val="center"/>
          </w:tcPr>
          <w:p w14:paraId="7BBBEAB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vAlign w:val="center"/>
          </w:tcPr>
          <w:p w14:paraId="443F0B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w:t>
            </w:r>
          </w:p>
        </w:tc>
      </w:tr>
      <w:tr w14:paraId="7E48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7C4721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4FBA38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 采剥设备</w:t>
            </w:r>
          </w:p>
          <w:p w14:paraId="1B2B87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3.4.1 机电设备符合国家安全标准或行业安全标准；</w:t>
            </w:r>
          </w:p>
          <w:p w14:paraId="15174F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3.4.2 露天矿用设备应配备灭火器。</w:t>
            </w:r>
          </w:p>
        </w:tc>
        <w:tc>
          <w:tcPr>
            <w:tcW w:w="1524" w:type="dxa"/>
            <w:shd w:val="clear" w:color="auto" w:fill="auto"/>
            <w:vAlign w:val="center"/>
          </w:tcPr>
          <w:p w14:paraId="70347CE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《矿山安全法实施条例》第十四条</w:t>
            </w:r>
          </w:p>
          <w:p w14:paraId="1A0462B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69DB3B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5.7.2.2</w:t>
            </w:r>
          </w:p>
        </w:tc>
        <w:tc>
          <w:tcPr>
            <w:tcW w:w="1099" w:type="dxa"/>
            <w:shd w:val="clear" w:color="auto" w:fill="auto"/>
            <w:vAlign w:val="center"/>
          </w:tcPr>
          <w:p w14:paraId="27D882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查看资料、生产现场</w:t>
            </w:r>
          </w:p>
        </w:tc>
        <w:tc>
          <w:tcPr>
            <w:tcW w:w="1017" w:type="dxa"/>
            <w:shd w:val="clear" w:color="auto" w:fill="auto"/>
            <w:vAlign w:val="center"/>
          </w:tcPr>
          <w:p w14:paraId="133E34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890FF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933" w:type="dxa"/>
            <w:shd w:val="clear" w:color="auto" w:fill="auto"/>
            <w:vAlign w:val="center"/>
          </w:tcPr>
          <w:p w14:paraId="452330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073FB5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37C1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restart"/>
            <w:shd w:val="clear" w:color="auto" w:fill="auto"/>
            <w:vAlign w:val="center"/>
          </w:tcPr>
          <w:p w14:paraId="6A46F8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 穿孔作业</w:t>
            </w:r>
          </w:p>
        </w:tc>
        <w:tc>
          <w:tcPr>
            <w:tcW w:w="2878" w:type="dxa"/>
            <w:shd w:val="clear" w:color="auto" w:fill="auto"/>
            <w:vAlign w:val="center"/>
          </w:tcPr>
          <w:p w14:paraId="2FC8B0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4.1 露天开采不应采用没有捕尘装置的干式穿孔设备。</w:t>
            </w:r>
          </w:p>
        </w:tc>
        <w:tc>
          <w:tcPr>
            <w:tcW w:w="1524" w:type="dxa"/>
            <w:shd w:val="clear" w:color="auto" w:fill="auto"/>
            <w:vAlign w:val="center"/>
          </w:tcPr>
          <w:p w14:paraId="57BD25D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A526A0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w:t>
            </w:r>
            <w:r>
              <w:rPr>
                <w:rFonts w:hint="eastAsia" w:ascii="Times New Roman" w:hAnsi="Times New Roman" w:eastAsia="宋体" w:cs="Times New Roman"/>
                <w:color w:val="auto"/>
                <w:kern w:val="2"/>
                <w:sz w:val="21"/>
                <w:szCs w:val="21"/>
                <w:vertAlign w:val="baseline"/>
                <w:lang w:val="en-US" w:eastAsia="zh-CN" w:bidi="ar-SA"/>
              </w:rPr>
              <w:t>1.11</w:t>
            </w:r>
          </w:p>
        </w:tc>
        <w:tc>
          <w:tcPr>
            <w:tcW w:w="1099" w:type="dxa"/>
            <w:shd w:val="clear" w:color="auto" w:fill="auto"/>
            <w:vAlign w:val="center"/>
          </w:tcPr>
          <w:p w14:paraId="04EC4D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查看资料、生产现场</w:t>
            </w:r>
          </w:p>
        </w:tc>
        <w:tc>
          <w:tcPr>
            <w:tcW w:w="1017" w:type="dxa"/>
            <w:shd w:val="clear" w:color="auto" w:fill="auto"/>
            <w:vAlign w:val="center"/>
          </w:tcPr>
          <w:p w14:paraId="1FCC23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4B56F3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65F787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174E66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6C43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E2296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5C6D2E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 钻机作业</w:t>
            </w:r>
          </w:p>
          <w:p w14:paraId="0AEEEF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4.2.1 钻机稳车时，应与台阶坡顶线保持足够的安全距离。</w:t>
            </w:r>
          </w:p>
          <w:p w14:paraId="528935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4.2.2 穿凿第一排孔时，钻机纵轴线与台阶坡顶线的夹角不小于45°。</w:t>
            </w:r>
          </w:p>
          <w:p w14:paraId="75CAE6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4.2.3 钻机与下部台阶接近坡底线的电铲不应同时作业；</w:t>
            </w:r>
          </w:p>
          <w:p w14:paraId="49C26C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4.2.4 钻机长时间停机，应切断机上电源。</w:t>
            </w:r>
          </w:p>
        </w:tc>
        <w:tc>
          <w:tcPr>
            <w:tcW w:w="1524" w:type="dxa"/>
            <w:shd w:val="clear" w:color="auto" w:fill="auto"/>
            <w:vAlign w:val="center"/>
          </w:tcPr>
          <w:p w14:paraId="7E764FC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A9D441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5.2.2.1</w:t>
            </w:r>
          </w:p>
        </w:tc>
        <w:tc>
          <w:tcPr>
            <w:tcW w:w="1099" w:type="dxa"/>
            <w:shd w:val="clear" w:color="auto" w:fill="auto"/>
            <w:vAlign w:val="center"/>
          </w:tcPr>
          <w:p w14:paraId="572C9E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2CA2E1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E6DE6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933" w:type="dxa"/>
            <w:shd w:val="clear" w:color="auto" w:fill="auto"/>
            <w:vAlign w:val="center"/>
          </w:tcPr>
          <w:p w14:paraId="42E9CC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2B4BDD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r>
      <w:tr w14:paraId="5B533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2AB6D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1492B8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 移动钻机应遵守如下规定：</w:t>
            </w:r>
          </w:p>
          <w:p w14:paraId="4D211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4.3.1 行走前司机应先鸣笛，确认履带前后无人；</w:t>
            </w:r>
          </w:p>
          <w:p w14:paraId="7E2954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4.3.2 行进前方应有照明；</w:t>
            </w:r>
          </w:p>
          <w:p w14:paraId="2A4A0E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4.3.3 行走时应采取防倾覆措施，前方应有人引导和监护；</w:t>
            </w:r>
          </w:p>
          <w:p w14:paraId="5850E5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4.3.4 不应在松软地面或者倾角超过15°的坡面行走；</w:t>
            </w:r>
          </w:p>
          <w:p w14:paraId="35B48E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4.3.5 不应90°急转弯；</w:t>
            </w:r>
          </w:p>
          <w:p w14:paraId="55200F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4.2.6 不应在斜坡上长时间停留。</w:t>
            </w:r>
          </w:p>
        </w:tc>
        <w:tc>
          <w:tcPr>
            <w:tcW w:w="1524" w:type="dxa"/>
            <w:shd w:val="clear" w:color="auto" w:fill="auto"/>
            <w:vAlign w:val="center"/>
          </w:tcPr>
          <w:p w14:paraId="2899BE4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44237F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5.2.2.2</w:t>
            </w:r>
          </w:p>
        </w:tc>
        <w:tc>
          <w:tcPr>
            <w:tcW w:w="1099" w:type="dxa"/>
            <w:shd w:val="clear" w:color="auto" w:fill="auto"/>
            <w:vAlign w:val="center"/>
          </w:tcPr>
          <w:p w14:paraId="7D66D3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4DCBBD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37D6C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w:t>
            </w:r>
          </w:p>
        </w:tc>
        <w:tc>
          <w:tcPr>
            <w:tcW w:w="933" w:type="dxa"/>
            <w:shd w:val="clear" w:color="auto" w:fill="auto"/>
            <w:vAlign w:val="center"/>
          </w:tcPr>
          <w:p w14:paraId="26923E5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7FB4DF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12</w:t>
            </w:r>
          </w:p>
        </w:tc>
      </w:tr>
      <w:tr w14:paraId="23EE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5269EE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5997E7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4.4 遇到影响安全的恶劣天气时不上钻架顶作业。</w:t>
            </w:r>
          </w:p>
        </w:tc>
        <w:tc>
          <w:tcPr>
            <w:tcW w:w="1524" w:type="dxa"/>
            <w:shd w:val="clear" w:color="auto" w:fill="auto"/>
            <w:vAlign w:val="center"/>
          </w:tcPr>
          <w:p w14:paraId="4AC8F32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C102A6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5.2.2.3</w:t>
            </w:r>
          </w:p>
        </w:tc>
        <w:tc>
          <w:tcPr>
            <w:tcW w:w="1099" w:type="dxa"/>
            <w:shd w:val="clear" w:color="auto" w:fill="auto"/>
            <w:vAlign w:val="center"/>
          </w:tcPr>
          <w:p w14:paraId="029F0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0793D5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77C48F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749773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0F3604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683C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91" w:type="dxa"/>
            <w:vMerge w:val="restart"/>
            <w:shd w:val="clear" w:color="auto" w:fill="auto"/>
            <w:vAlign w:val="center"/>
          </w:tcPr>
          <w:p w14:paraId="564548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 爆破作业</w:t>
            </w:r>
          </w:p>
        </w:tc>
        <w:tc>
          <w:tcPr>
            <w:tcW w:w="2878" w:type="dxa"/>
            <w:shd w:val="clear" w:color="auto" w:fill="auto"/>
            <w:vAlign w:val="center"/>
          </w:tcPr>
          <w:p w14:paraId="19C200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 1爆破工程使用的炸药、雷管、导爆管、导爆索、电线、起爆器、量测仪表均应作现场检测，检测合格后方可使用。</w:t>
            </w:r>
          </w:p>
        </w:tc>
        <w:tc>
          <w:tcPr>
            <w:tcW w:w="1524" w:type="dxa"/>
            <w:shd w:val="clear" w:color="auto" w:fill="auto"/>
            <w:vAlign w:val="center"/>
          </w:tcPr>
          <w:p w14:paraId="3821D18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48912335">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6.3.1.1</w:t>
            </w:r>
          </w:p>
        </w:tc>
        <w:tc>
          <w:tcPr>
            <w:tcW w:w="1099" w:type="dxa"/>
            <w:shd w:val="clear" w:color="auto" w:fill="auto"/>
            <w:vAlign w:val="center"/>
          </w:tcPr>
          <w:p w14:paraId="4DC4D0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062FFC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94208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528AE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EC98B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0DED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524EB9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2D7A96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5.2 进行爆破器材检测、加工和爆破作业的人员，应穿戴防静电的衣物。</w:t>
            </w:r>
          </w:p>
        </w:tc>
        <w:tc>
          <w:tcPr>
            <w:tcW w:w="1524" w:type="dxa"/>
            <w:shd w:val="clear" w:color="auto" w:fill="auto"/>
            <w:vAlign w:val="center"/>
          </w:tcPr>
          <w:p w14:paraId="3866784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279374E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w:t>
            </w:r>
            <w:r>
              <w:rPr>
                <w:rFonts w:hint="eastAsia" w:ascii="Times New Roman" w:hAnsi="Times New Roman" w:eastAsia="宋体" w:cs="Times New Roman"/>
                <w:color w:val="auto"/>
                <w:kern w:val="2"/>
                <w:sz w:val="21"/>
                <w:szCs w:val="21"/>
                <w:vertAlign w:val="baseline"/>
                <w:lang w:val="en-US" w:eastAsia="zh-CN" w:bidi="ar-SA"/>
              </w:rPr>
              <w:t>2</w:t>
            </w:r>
          </w:p>
        </w:tc>
        <w:tc>
          <w:tcPr>
            <w:tcW w:w="1099" w:type="dxa"/>
            <w:shd w:val="clear" w:color="auto" w:fill="auto"/>
            <w:vAlign w:val="center"/>
          </w:tcPr>
          <w:p w14:paraId="66326E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3AE7E2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0988B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D88CE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2AA03A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18D9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91" w:type="dxa"/>
            <w:vMerge w:val="continue"/>
            <w:shd w:val="clear" w:color="auto" w:fill="auto"/>
            <w:vAlign w:val="center"/>
          </w:tcPr>
          <w:p w14:paraId="7E250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590F28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5.3 在潮湿或有水环境中应使用抗水爆破器材或对不抗水爆破器材进行防潮、防水处理。</w:t>
            </w:r>
          </w:p>
        </w:tc>
        <w:tc>
          <w:tcPr>
            <w:tcW w:w="1524" w:type="dxa"/>
            <w:shd w:val="clear" w:color="auto" w:fill="auto"/>
            <w:vAlign w:val="center"/>
          </w:tcPr>
          <w:p w14:paraId="454F565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135602B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w:t>
            </w:r>
            <w:r>
              <w:rPr>
                <w:rFonts w:hint="eastAsia" w:ascii="Times New Roman" w:hAnsi="Times New Roman" w:eastAsia="宋体" w:cs="Times New Roman"/>
                <w:color w:val="auto"/>
                <w:kern w:val="2"/>
                <w:sz w:val="21"/>
                <w:szCs w:val="21"/>
                <w:vertAlign w:val="baseline"/>
                <w:lang w:val="en-US" w:eastAsia="zh-CN" w:bidi="ar-SA"/>
              </w:rPr>
              <w:t>4</w:t>
            </w:r>
          </w:p>
        </w:tc>
        <w:tc>
          <w:tcPr>
            <w:tcW w:w="1099" w:type="dxa"/>
            <w:shd w:val="clear" w:color="auto" w:fill="auto"/>
            <w:vAlign w:val="center"/>
          </w:tcPr>
          <w:p w14:paraId="51739D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59184D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44501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1664BD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728B3C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70F52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91" w:type="dxa"/>
            <w:vMerge w:val="continue"/>
            <w:shd w:val="clear" w:color="auto" w:fill="auto"/>
            <w:vAlign w:val="center"/>
          </w:tcPr>
          <w:p w14:paraId="081CE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3CC2B6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5.4 起爆网路连接应严格按设计要求进行。</w:t>
            </w:r>
          </w:p>
        </w:tc>
        <w:tc>
          <w:tcPr>
            <w:tcW w:w="1524" w:type="dxa"/>
            <w:shd w:val="clear" w:color="auto" w:fill="auto"/>
            <w:vAlign w:val="center"/>
          </w:tcPr>
          <w:p w14:paraId="37514CEE">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23EB529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6.3.1.</w:t>
            </w:r>
            <w:r>
              <w:rPr>
                <w:rFonts w:hint="eastAsia" w:ascii="Times New Roman" w:hAnsi="Times New Roman" w:eastAsia="宋体" w:cs="Times New Roman"/>
                <w:color w:val="auto"/>
                <w:kern w:val="2"/>
                <w:sz w:val="21"/>
                <w:szCs w:val="21"/>
                <w:vertAlign w:val="baseline"/>
                <w:lang w:val="en-US" w:eastAsia="zh-CN" w:bidi="ar-SA"/>
              </w:rPr>
              <w:t>5</w:t>
            </w:r>
          </w:p>
        </w:tc>
        <w:tc>
          <w:tcPr>
            <w:tcW w:w="1099" w:type="dxa"/>
            <w:shd w:val="clear" w:color="auto" w:fill="auto"/>
            <w:vAlign w:val="center"/>
          </w:tcPr>
          <w:p w14:paraId="192A11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3A899E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7A41DE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3579BF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1D552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6492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605F5D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3B77CD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5.5 爆破警戒范围由设计确定，在危险区边界，应设有明显标识，并派出岗哨。</w:t>
            </w:r>
          </w:p>
        </w:tc>
        <w:tc>
          <w:tcPr>
            <w:tcW w:w="1524" w:type="dxa"/>
            <w:shd w:val="clear" w:color="auto" w:fill="auto"/>
            <w:vAlign w:val="center"/>
          </w:tcPr>
          <w:p w14:paraId="3A9B861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66D89FC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w:t>
            </w:r>
            <w:r>
              <w:rPr>
                <w:rFonts w:hint="eastAsia" w:ascii="Times New Roman" w:hAnsi="Times New Roman" w:eastAsia="宋体" w:cs="Times New Roman"/>
                <w:color w:val="auto"/>
                <w:kern w:val="2"/>
                <w:sz w:val="21"/>
                <w:szCs w:val="21"/>
                <w:vertAlign w:val="baseline"/>
                <w:lang w:val="en-US" w:eastAsia="zh-CN" w:bidi="ar-SA"/>
              </w:rPr>
              <w:t>7.1.2</w:t>
            </w:r>
          </w:p>
        </w:tc>
        <w:tc>
          <w:tcPr>
            <w:tcW w:w="1099" w:type="dxa"/>
            <w:shd w:val="clear" w:color="auto" w:fill="auto"/>
            <w:vAlign w:val="center"/>
          </w:tcPr>
          <w:p w14:paraId="5CB827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查看设计</w:t>
            </w:r>
          </w:p>
          <w:p w14:paraId="71257D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2B7AC2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3CD29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0E3103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8A03D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35F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D692F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677357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5.6 露天爆破作业时，应建立避炮掩体，避炮掩体应设在冲击波危险范围之外；掩体结构应坚固紧密，位置和方向应能防止飞石和有害气体的危害；通达避炮掩体的道路不应有任何障碍。</w:t>
            </w:r>
          </w:p>
        </w:tc>
        <w:tc>
          <w:tcPr>
            <w:tcW w:w="1524" w:type="dxa"/>
            <w:shd w:val="clear" w:color="auto" w:fill="auto"/>
            <w:vAlign w:val="center"/>
          </w:tcPr>
          <w:p w14:paraId="2D72EA4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3E833F6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7.1.1</w:t>
            </w:r>
          </w:p>
        </w:tc>
        <w:tc>
          <w:tcPr>
            <w:tcW w:w="1099" w:type="dxa"/>
            <w:shd w:val="clear" w:color="auto" w:fill="auto"/>
            <w:vAlign w:val="center"/>
          </w:tcPr>
          <w:p w14:paraId="2FAE8B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002549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现场设有避炮棚</w:t>
            </w:r>
          </w:p>
        </w:tc>
        <w:tc>
          <w:tcPr>
            <w:tcW w:w="696" w:type="dxa"/>
            <w:shd w:val="clear" w:color="auto" w:fill="auto"/>
            <w:vAlign w:val="center"/>
          </w:tcPr>
          <w:p w14:paraId="565150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933" w:type="dxa"/>
            <w:shd w:val="clear" w:color="auto" w:fill="auto"/>
            <w:vAlign w:val="center"/>
          </w:tcPr>
          <w:p w14:paraId="03D6273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6C0085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3404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591" w:type="dxa"/>
            <w:vMerge w:val="continue"/>
            <w:shd w:val="clear" w:color="auto" w:fill="auto"/>
            <w:vAlign w:val="center"/>
          </w:tcPr>
          <w:p w14:paraId="42566F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4B8A72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5.7 松软岩土或砂矿床爆破后，应在爆区设置明显标识，发现空穴、陷坑时应进行安全检查，确认无危险后，方准许恢复作业。</w:t>
            </w:r>
          </w:p>
        </w:tc>
        <w:tc>
          <w:tcPr>
            <w:tcW w:w="1524" w:type="dxa"/>
            <w:shd w:val="clear" w:color="auto" w:fill="auto"/>
            <w:vAlign w:val="center"/>
          </w:tcPr>
          <w:p w14:paraId="0E48C5D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443D7FA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7.1.5</w:t>
            </w:r>
          </w:p>
        </w:tc>
        <w:tc>
          <w:tcPr>
            <w:tcW w:w="1099" w:type="dxa"/>
            <w:shd w:val="clear" w:color="auto" w:fill="auto"/>
            <w:vAlign w:val="center"/>
          </w:tcPr>
          <w:p w14:paraId="1178EA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7958DE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4A406F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4413C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0F0CD3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4EE1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2C2A4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4E476B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5.8 深孔验收标准：孔深允许误差±0.2m，间排距允许误差±0.2m，偏斜度允许误差2%；发现不合格钻孔应及时处理，未达验收标准不得装药。</w:t>
            </w:r>
          </w:p>
        </w:tc>
        <w:tc>
          <w:tcPr>
            <w:tcW w:w="1524" w:type="dxa"/>
            <w:shd w:val="clear" w:color="auto" w:fill="auto"/>
            <w:vAlign w:val="center"/>
          </w:tcPr>
          <w:p w14:paraId="5F66244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3A030A5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7.2.2</w:t>
            </w:r>
          </w:p>
        </w:tc>
        <w:tc>
          <w:tcPr>
            <w:tcW w:w="1099" w:type="dxa"/>
            <w:shd w:val="clear" w:color="auto" w:fill="auto"/>
            <w:vAlign w:val="center"/>
          </w:tcPr>
          <w:p w14:paraId="17072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查看验收记录</w:t>
            </w:r>
          </w:p>
        </w:tc>
        <w:tc>
          <w:tcPr>
            <w:tcW w:w="1017" w:type="dxa"/>
            <w:shd w:val="clear" w:color="auto" w:fill="auto"/>
            <w:vAlign w:val="center"/>
          </w:tcPr>
          <w:p w14:paraId="772380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670BBC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797C67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2B532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79FF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256B4D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2EB246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 爆破作业场所有下列情形之一时，不应进行爆破作业：</w:t>
            </w:r>
          </w:p>
          <w:p w14:paraId="173ACA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5.9.1 爆破会造成巷道涌水、堤坝漏水、河床严重阻塞、泉水变迁的；</w:t>
            </w:r>
          </w:p>
          <w:p w14:paraId="495482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5.9.2 岩体有冒顶或边坡滑落危险的；</w:t>
            </w:r>
          </w:p>
          <w:p w14:paraId="10E572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5.9.3 硐室、炮孔温度异常的；</w:t>
            </w:r>
          </w:p>
          <w:p w14:paraId="0A37B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5.9.4 作业通道不安全或堵塞的；</w:t>
            </w:r>
          </w:p>
          <w:p w14:paraId="66E08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5.9.5 危险区边界未设置警戒的。</w:t>
            </w:r>
          </w:p>
        </w:tc>
        <w:tc>
          <w:tcPr>
            <w:tcW w:w="1524" w:type="dxa"/>
            <w:shd w:val="clear" w:color="auto" w:fill="auto"/>
            <w:vAlign w:val="center"/>
          </w:tcPr>
          <w:p w14:paraId="09F63D8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DD9A86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6.1.2</w:t>
            </w:r>
          </w:p>
        </w:tc>
        <w:tc>
          <w:tcPr>
            <w:tcW w:w="1099" w:type="dxa"/>
            <w:shd w:val="clear" w:color="auto" w:fill="auto"/>
            <w:vAlign w:val="center"/>
          </w:tcPr>
          <w:p w14:paraId="26254D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5C000C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1C817B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c>
          <w:tcPr>
            <w:tcW w:w="933" w:type="dxa"/>
            <w:shd w:val="clear" w:color="auto" w:fill="auto"/>
            <w:vAlign w:val="center"/>
          </w:tcPr>
          <w:p w14:paraId="61DE84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1项不符合扣2分</w:t>
            </w:r>
          </w:p>
        </w:tc>
        <w:tc>
          <w:tcPr>
            <w:tcW w:w="633" w:type="dxa"/>
            <w:shd w:val="clear" w:color="auto" w:fill="auto"/>
            <w:vAlign w:val="center"/>
          </w:tcPr>
          <w:p w14:paraId="53547B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10</w:t>
            </w:r>
          </w:p>
        </w:tc>
      </w:tr>
      <w:tr w14:paraId="060F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7268DD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7EC891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 露天爆破遇以下恶劣气候时，应停止爆破作业：</w:t>
            </w:r>
          </w:p>
          <w:p w14:paraId="3D1A2C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5.10.1 热带风暴或台风即将来临时；</w:t>
            </w:r>
          </w:p>
          <w:p w14:paraId="7AD82F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5.10.2 雷电、暴雨来临时；</w:t>
            </w:r>
          </w:p>
          <w:p w14:paraId="2205D3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5.10.3 大雾天或沙尘暴，能见度不超过100m时；</w:t>
            </w:r>
          </w:p>
          <w:p w14:paraId="3FF038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5.10.4 现场风力超过8级、浪高大于1.0m时或水位暴涨暴落时。</w:t>
            </w:r>
          </w:p>
        </w:tc>
        <w:tc>
          <w:tcPr>
            <w:tcW w:w="1524" w:type="dxa"/>
            <w:shd w:val="clear" w:color="auto" w:fill="auto"/>
            <w:vAlign w:val="center"/>
          </w:tcPr>
          <w:p w14:paraId="20CFC6E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0F9410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6.1.3</w:t>
            </w:r>
          </w:p>
        </w:tc>
        <w:tc>
          <w:tcPr>
            <w:tcW w:w="1099" w:type="dxa"/>
            <w:shd w:val="clear" w:color="auto" w:fill="auto"/>
            <w:vAlign w:val="center"/>
          </w:tcPr>
          <w:p w14:paraId="014A0E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2D058B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2A3D9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933" w:type="dxa"/>
            <w:shd w:val="clear" w:color="auto" w:fill="auto"/>
            <w:vAlign w:val="center"/>
          </w:tcPr>
          <w:p w14:paraId="5861EC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09DCC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r>
      <w:tr w14:paraId="0B530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591" w:type="dxa"/>
            <w:vMerge w:val="continue"/>
            <w:shd w:val="clear" w:color="auto" w:fill="auto"/>
            <w:vAlign w:val="center"/>
          </w:tcPr>
          <w:p w14:paraId="15DA92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7E9B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 爆后检查等待时间</w:t>
            </w:r>
          </w:p>
          <w:p w14:paraId="3A7556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5.11.1 露天㳀孔、深孔、特种爆破，爆后应超过5min方准许检查人员进入爆破作业地点；如不能确认有无盲炮，应经15min后才能进入爆区检查。</w:t>
            </w:r>
          </w:p>
          <w:p w14:paraId="314A7C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5.11.2 露天爆破经检查确认爆破点安全后，经当班爆破班长同意，方准许作业人员进入爆区。</w:t>
            </w:r>
          </w:p>
        </w:tc>
        <w:tc>
          <w:tcPr>
            <w:tcW w:w="1524" w:type="dxa"/>
            <w:shd w:val="clear" w:color="auto" w:fill="auto"/>
            <w:vAlign w:val="center"/>
          </w:tcPr>
          <w:p w14:paraId="446513C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0CF6F3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6.8.1.1</w:t>
            </w:r>
          </w:p>
        </w:tc>
        <w:tc>
          <w:tcPr>
            <w:tcW w:w="1099" w:type="dxa"/>
            <w:shd w:val="clear" w:color="auto" w:fill="auto"/>
            <w:vAlign w:val="center"/>
          </w:tcPr>
          <w:p w14:paraId="675F8F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6C6621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A4E24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933" w:type="dxa"/>
            <w:shd w:val="clear" w:color="auto" w:fill="auto"/>
            <w:vAlign w:val="center"/>
          </w:tcPr>
          <w:p w14:paraId="430C7C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2E6FAB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7D90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591" w:type="dxa"/>
            <w:vMerge w:val="continue"/>
            <w:shd w:val="clear" w:color="auto" w:fill="auto"/>
            <w:vAlign w:val="center"/>
          </w:tcPr>
          <w:p w14:paraId="2F9880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71364C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 爆后检查的内容</w:t>
            </w:r>
          </w:p>
          <w:p w14:paraId="1F34597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5.12.1 确认有无盲炮；</w:t>
            </w:r>
          </w:p>
          <w:p w14:paraId="71940D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5.12.2 露天爆破爆堆是否稳定，有无危坡、危石、危墙、危房及未炸倒建（构）筑物；</w:t>
            </w:r>
          </w:p>
          <w:p w14:paraId="206D01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5.12.3 在爆破警戒区内公用设施及重点保护建（构）筑物安全情况</w:t>
            </w:r>
            <w:r>
              <w:rPr>
                <w:rFonts w:hint="eastAsia" w:cs="Times New Roman"/>
                <w:color w:val="auto"/>
                <w:kern w:val="2"/>
                <w:sz w:val="21"/>
                <w:szCs w:val="21"/>
                <w:vertAlign w:val="baseline"/>
                <w:lang w:val="en-US" w:eastAsia="zh-CN" w:bidi="ar-SA"/>
              </w:rPr>
              <w:t>。</w:t>
            </w:r>
          </w:p>
        </w:tc>
        <w:tc>
          <w:tcPr>
            <w:tcW w:w="1524" w:type="dxa"/>
            <w:shd w:val="clear" w:color="auto" w:fill="auto"/>
            <w:vAlign w:val="center"/>
          </w:tcPr>
          <w:p w14:paraId="4CB6577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GB6722-2014</w:t>
            </w:r>
          </w:p>
          <w:p w14:paraId="7C28C22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6.8.2.1</w:t>
            </w:r>
          </w:p>
        </w:tc>
        <w:tc>
          <w:tcPr>
            <w:tcW w:w="1099" w:type="dxa"/>
            <w:shd w:val="clear" w:color="auto" w:fill="auto"/>
            <w:vAlign w:val="center"/>
          </w:tcPr>
          <w:p w14:paraId="706ABA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查看资料现场检查</w:t>
            </w:r>
          </w:p>
        </w:tc>
        <w:tc>
          <w:tcPr>
            <w:tcW w:w="1017" w:type="dxa"/>
            <w:shd w:val="clear" w:color="auto" w:fill="auto"/>
            <w:vAlign w:val="center"/>
          </w:tcPr>
          <w:p w14:paraId="76782B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FF0000"/>
                <w:sz w:val="21"/>
                <w:szCs w:val="21"/>
                <w:vertAlign w:val="baseline"/>
                <w:lang w:val="en-US" w:eastAsia="zh-CN"/>
              </w:rPr>
              <w:t>未见</w:t>
            </w:r>
            <w:r>
              <w:rPr>
                <w:rFonts w:hint="eastAsia"/>
                <w:color w:val="auto"/>
                <w:sz w:val="21"/>
                <w:szCs w:val="21"/>
                <w:vertAlign w:val="baseline"/>
                <w:lang w:val="en-US" w:eastAsia="zh-CN"/>
              </w:rPr>
              <w:t>爆破后安全检查记录</w:t>
            </w:r>
          </w:p>
        </w:tc>
        <w:tc>
          <w:tcPr>
            <w:tcW w:w="696" w:type="dxa"/>
            <w:shd w:val="clear" w:color="auto" w:fill="auto"/>
            <w:vAlign w:val="center"/>
          </w:tcPr>
          <w:p w14:paraId="641247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933" w:type="dxa"/>
            <w:shd w:val="clear" w:color="auto" w:fill="auto"/>
            <w:vAlign w:val="center"/>
          </w:tcPr>
          <w:p w14:paraId="369CCD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19201B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0</w:t>
            </w:r>
          </w:p>
        </w:tc>
      </w:tr>
      <w:tr w14:paraId="6F04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91" w:type="dxa"/>
            <w:vMerge w:val="restart"/>
            <w:shd w:val="clear" w:color="auto" w:fill="auto"/>
            <w:vAlign w:val="center"/>
          </w:tcPr>
          <w:p w14:paraId="762149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 铲装作业</w:t>
            </w:r>
          </w:p>
        </w:tc>
        <w:tc>
          <w:tcPr>
            <w:tcW w:w="2878" w:type="dxa"/>
            <w:shd w:val="clear" w:color="auto" w:fill="auto"/>
            <w:vAlign w:val="center"/>
          </w:tcPr>
          <w:p w14:paraId="0C5720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6.1 铲装设备工作时，其平衡装置与台阶坡底的水平距离应不小于1m</w:t>
            </w:r>
            <w:r>
              <w:rPr>
                <w:rFonts w:hint="eastAsia" w:cs="Times New Roman"/>
                <w:color w:val="auto"/>
                <w:kern w:val="2"/>
                <w:sz w:val="21"/>
                <w:szCs w:val="21"/>
                <w:vertAlign w:val="baseline"/>
                <w:lang w:val="en-US" w:eastAsia="zh-CN" w:bidi="ar-SA"/>
              </w:rPr>
              <w:t>。</w:t>
            </w:r>
          </w:p>
        </w:tc>
        <w:tc>
          <w:tcPr>
            <w:tcW w:w="1524" w:type="dxa"/>
            <w:shd w:val="clear" w:color="auto" w:fill="auto"/>
            <w:vAlign w:val="center"/>
          </w:tcPr>
          <w:p w14:paraId="37EF8D4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3E9F95D8">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5.2.3.3</w:t>
            </w:r>
          </w:p>
        </w:tc>
        <w:tc>
          <w:tcPr>
            <w:tcW w:w="1099" w:type="dxa"/>
            <w:shd w:val="clear" w:color="auto" w:fill="auto"/>
            <w:vAlign w:val="center"/>
          </w:tcPr>
          <w:p w14:paraId="28F97D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5B1EE3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7EDFE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4A9099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32E8A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7DE6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85AFB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3CF489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6.2 铲装设备工作应遵守下列规定：</w:t>
            </w:r>
          </w:p>
          <w:p w14:paraId="6F7073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1、悬臂和铲斗及工作面附近不应有人员停留；</w:t>
            </w:r>
          </w:p>
          <w:p w14:paraId="774426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2、铲斗不应从车辆驾驶室上言通过；</w:t>
            </w:r>
          </w:p>
          <w:p w14:paraId="5B6CE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3、人员不应在司机室踏板上或有落石危险的地方停留；</w:t>
            </w:r>
          </w:p>
          <w:p w14:paraId="4C273C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4、不应调整电铲起生臂。</w:t>
            </w:r>
          </w:p>
        </w:tc>
        <w:tc>
          <w:tcPr>
            <w:tcW w:w="1524" w:type="dxa"/>
            <w:shd w:val="clear" w:color="auto" w:fill="auto"/>
            <w:vAlign w:val="center"/>
          </w:tcPr>
          <w:p w14:paraId="48485C57">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05534B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5.2.3.4</w:t>
            </w:r>
          </w:p>
        </w:tc>
        <w:tc>
          <w:tcPr>
            <w:tcW w:w="1099" w:type="dxa"/>
            <w:shd w:val="clear" w:color="auto" w:fill="auto"/>
            <w:vAlign w:val="center"/>
          </w:tcPr>
          <w:p w14:paraId="42BF864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03F358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B1388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c>
          <w:tcPr>
            <w:tcW w:w="933" w:type="dxa"/>
            <w:shd w:val="clear" w:color="auto" w:fill="auto"/>
            <w:vAlign w:val="center"/>
          </w:tcPr>
          <w:p w14:paraId="3EEA05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4A2C6B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8</w:t>
            </w:r>
          </w:p>
        </w:tc>
      </w:tr>
      <w:tr w14:paraId="1587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32601C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1B08F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6.3 多台铲装设备在同一平台上作业时，铲装设备间距不小于设备最大工作半径的3倍，且不小于50m。</w:t>
            </w:r>
          </w:p>
        </w:tc>
        <w:tc>
          <w:tcPr>
            <w:tcW w:w="1524" w:type="dxa"/>
            <w:shd w:val="clear" w:color="auto" w:fill="auto"/>
            <w:vAlign w:val="center"/>
          </w:tcPr>
          <w:p w14:paraId="5A6DED78">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80C5D64">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5.2.3.5</w:t>
            </w:r>
          </w:p>
        </w:tc>
        <w:tc>
          <w:tcPr>
            <w:tcW w:w="1099" w:type="dxa"/>
            <w:shd w:val="clear" w:color="auto" w:fill="auto"/>
            <w:vAlign w:val="center"/>
          </w:tcPr>
          <w:p w14:paraId="0E2A06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15715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B4D9A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39B546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2A4940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4317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jc w:val="center"/>
        </w:trPr>
        <w:tc>
          <w:tcPr>
            <w:tcW w:w="591" w:type="dxa"/>
            <w:vMerge w:val="continue"/>
            <w:shd w:val="clear" w:color="auto" w:fill="auto"/>
            <w:vAlign w:val="center"/>
          </w:tcPr>
          <w:p w14:paraId="08B74E9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571C47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6.4 上、下台阶同时作业时，上部台阶的铲装设备应超前下部台阶铲装设备；超前距离不小于铲装设备最大工作半径的3倍，且不小于50m。</w:t>
            </w:r>
          </w:p>
        </w:tc>
        <w:tc>
          <w:tcPr>
            <w:tcW w:w="1524" w:type="dxa"/>
            <w:shd w:val="clear" w:color="auto" w:fill="auto"/>
            <w:vAlign w:val="center"/>
          </w:tcPr>
          <w:p w14:paraId="1E5A5CC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36D2C1C">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5.2.3.6</w:t>
            </w:r>
          </w:p>
        </w:tc>
        <w:tc>
          <w:tcPr>
            <w:tcW w:w="1099" w:type="dxa"/>
            <w:shd w:val="clear" w:color="auto" w:fill="auto"/>
            <w:vAlign w:val="center"/>
          </w:tcPr>
          <w:p w14:paraId="24AC3B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73DEB0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5C84C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29D9BE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1E903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1780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0A12C4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0C5B7A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6.5 铲装时铲斗不应压、碰运输设备；铲斗卸载时，铲斗下沿与运输设备上沿高差不大于0.5m；不应用铲斗处理车箱粘结物。</w:t>
            </w:r>
          </w:p>
        </w:tc>
        <w:tc>
          <w:tcPr>
            <w:tcW w:w="1524" w:type="dxa"/>
            <w:shd w:val="clear" w:color="auto" w:fill="auto"/>
            <w:vAlign w:val="center"/>
          </w:tcPr>
          <w:p w14:paraId="1E3BB56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FAB0BB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5.2.3.7</w:t>
            </w:r>
          </w:p>
        </w:tc>
        <w:tc>
          <w:tcPr>
            <w:tcW w:w="1099" w:type="dxa"/>
            <w:shd w:val="clear" w:color="auto" w:fill="auto"/>
            <w:vAlign w:val="center"/>
          </w:tcPr>
          <w:p w14:paraId="4A901A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5FFB72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05600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47D333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F24AC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01CC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591" w:type="dxa"/>
            <w:vMerge w:val="continue"/>
            <w:shd w:val="clear" w:color="auto" w:fill="auto"/>
            <w:vAlign w:val="center"/>
          </w:tcPr>
          <w:p w14:paraId="5C0800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556F83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6.6 发现悬浮岩块或崩塌征兆时，应立即停止铲装作业，并将设备转移至安全地带。</w:t>
            </w:r>
          </w:p>
        </w:tc>
        <w:tc>
          <w:tcPr>
            <w:tcW w:w="1524" w:type="dxa"/>
            <w:shd w:val="clear" w:color="auto" w:fill="auto"/>
            <w:vAlign w:val="center"/>
          </w:tcPr>
          <w:p w14:paraId="71A29D0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EA0F60D">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5.2.3.8</w:t>
            </w:r>
          </w:p>
        </w:tc>
        <w:tc>
          <w:tcPr>
            <w:tcW w:w="1099" w:type="dxa"/>
            <w:shd w:val="clear" w:color="auto" w:fill="auto"/>
            <w:vAlign w:val="center"/>
          </w:tcPr>
          <w:p w14:paraId="38FA7A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2E494D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3EE6D7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679A75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45E038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0F47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91" w:type="dxa"/>
            <w:vMerge w:val="continue"/>
            <w:shd w:val="clear" w:color="auto" w:fill="auto"/>
            <w:vAlign w:val="center"/>
          </w:tcPr>
          <w:p w14:paraId="2F91D9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5F550B4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6.7 铲装设备穿过铁路、电缆线路或者风水管路时，应采取安全防护措施保护电缆、风水管和铁路设施。</w:t>
            </w:r>
          </w:p>
        </w:tc>
        <w:tc>
          <w:tcPr>
            <w:tcW w:w="1524" w:type="dxa"/>
            <w:shd w:val="clear" w:color="auto" w:fill="auto"/>
            <w:vAlign w:val="center"/>
          </w:tcPr>
          <w:p w14:paraId="2E4FBCBF">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3EDA0AF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5.2.3.9</w:t>
            </w:r>
          </w:p>
        </w:tc>
        <w:tc>
          <w:tcPr>
            <w:tcW w:w="1099" w:type="dxa"/>
            <w:shd w:val="clear" w:color="auto" w:fill="auto"/>
            <w:vAlign w:val="center"/>
          </w:tcPr>
          <w:p w14:paraId="01C9AB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466395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4CD9A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5E99DE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4436F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r>
      <w:tr w14:paraId="2E2C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91" w:type="dxa"/>
            <w:vMerge w:val="continue"/>
            <w:shd w:val="clear" w:color="auto" w:fill="auto"/>
            <w:vAlign w:val="center"/>
          </w:tcPr>
          <w:p w14:paraId="01E9F1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4B33B3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6.8 铲装设备行走应遵守下列规定：</w:t>
            </w:r>
          </w:p>
          <w:p w14:paraId="5930BD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1、应在作业平台的稳定范围内行走；</w:t>
            </w:r>
          </w:p>
          <w:p w14:paraId="402681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2、上、下坡时铲斗应下放并与地面保持适当距离。</w:t>
            </w:r>
          </w:p>
        </w:tc>
        <w:tc>
          <w:tcPr>
            <w:tcW w:w="1524" w:type="dxa"/>
            <w:shd w:val="clear" w:color="auto" w:fill="auto"/>
            <w:vAlign w:val="center"/>
          </w:tcPr>
          <w:p w14:paraId="60988BE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74937B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5.2.3.10</w:t>
            </w:r>
          </w:p>
        </w:tc>
        <w:tc>
          <w:tcPr>
            <w:tcW w:w="1099" w:type="dxa"/>
            <w:shd w:val="clear" w:color="auto" w:fill="auto"/>
            <w:vAlign w:val="center"/>
          </w:tcPr>
          <w:p w14:paraId="53DFA4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154961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0A6B6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933" w:type="dxa"/>
            <w:shd w:val="clear" w:color="auto" w:fill="auto"/>
            <w:vAlign w:val="center"/>
          </w:tcPr>
          <w:p w14:paraId="4A1958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548C4D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64FE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91" w:type="dxa"/>
            <w:vMerge w:val="restart"/>
            <w:shd w:val="clear" w:color="auto" w:fill="auto"/>
            <w:vAlign w:val="center"/>
          </w:tcPr>
          <w:p w14:paraId="5FEE19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 道路运输</w:t>
            </w:r>
          </w:p>
        </w:tc>
        <w:tc>
          <w:tcPr>
            <w:tcW w:w="2878" w:type="dxa"/>
            <w:shd w:val="clear" w:color="auto" w:fill="auto"/>
            <w:vAlign w:val="center"/>
          </w:tcPr>
          <w:p w14:paraId="429BE6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7.1 不应用自卸汽车运载易燃、易爆物品；</w:t>
            </w:r>
          </w:p>
        </w:tc>
        <w:tc>
          <w:tcPr>
            <w:tcW w:w="1524" w:type="dxa"/>
            <w:shd w:val="clear" w:color="auto" w:fill="auto"/>
            <w:vAlign w:val="center"/>
          </w:tcPr>
          <w:p w14:paraId="27FADD5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633D853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5.4.2.1</w:t>
            </w:r>
          </w:p>
        </w:tc>
        <w:tc>
          <w:tcPr>
            <w:tcW w:w="1099" w:type="dxa"/>
            <w:shd w:val="clear" w:color="auto" w:fill="auto"/>
            <w:vAlign w:val="center"/>
          </w:tcPr>
          <w:p w14:paraId="486BC8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6D8644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3A8420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2</w:t>
            </w:r>
          </w:p>
        </w:tc>
        <w:tc>
          <w:tcPr>
            <w:tcW w:w="933" w:type="dxa"/>
            <w:shd w:val="clear" w:color="auto" w:fill="auto"/>
            <w:vAlign w:val="center"/>
          </w:tcPr>
          <w:p w14:paraId="77FE6B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4D49C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4CC9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130FEA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411BBE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7.2 自卸汽车装载应遵守如下规定：</w:t>
            </w:r>
          </w:p>
          <w:p w14:paraId="1C5084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1、停在铲装设备回转范围0.5m以外；</w:t>
            </w:r>
          </w:p>
          <w:p w14:paraId="26DB40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2、驾驶员不离开驾驶室，不将身体任何部位伸出驾驶室外；</w:t>
            </w:r>
          </w:p>
          <w:p w14:paraId="7A7BCC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3、不在装载时检查、维修车辆。</w:t>
            </w:r>
          </w:p>
        </w:tc>
        <w:tc>
          <w:tcPr>
            <w:tcW w:w="1524" w:type="dxa"/>
            <w:shd w:val="clear" w:color="auto" w:fill="auto"/>
            <w:vAlign w:val="center"/>
          </w:tcPr>
          <w:p w14:paraId="47C768F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F02108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5.4.2.2</w:t>
            </w:r>
          </w:p>
        </w:tc>
        <w:tc>
          <w:tcPr>
            <w:tcW w:w="1099" w:type="dxa"/>
            <w:shd w:val="clear" w:color="auto" w:fill="auto"/>
            <w:vAlign w:val="center"/>
          </w:tcPr>
          <w:p w14:paraId="4CC15B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267292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7595FC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933" w:type="dxa"/>
            <w:shd w:val="clear" w:color="auto" w:fill="auto"/>
            <w:vAlign w:val="center"/>
          </w:tcPr>
          <w:p w14:paraId="3B409A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5612FD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r>
      <w:tr w14:paraId="261A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21D2D0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176A33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7.3 双车道的路面宽度，应保证会车安全。主要运输道路的急弯、陡坡、危险地段应设置警示标志。</w:t>
            </w:r>
          </w:p>
        </w:tc>
        <w:tc>
          <w:tcPr>
            <w:tcW w:w="1524" w:type="dxa"/>
            <w:shd w:val="clear" w:color="auto" w:fill="auto"/>
            <w:vAlign w:val="center"/>
          </w:tcPr>
          <w:p w14:paraId="5E3E87A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1AFA32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5.4.2.3</w:t>
            </w:r>
          </w:p>
        </w:tc>
        <w:tc>
          <w:tcPr>
            <w:tcW w:w="1099" w:type="dxa"/>
            <w:shd w:val="clear" w:color="auto" w:fill="auto"/>
            <w:vAlign w:val="center"/>
          </w:tcPr>
          <w:p w14:paraId="607C9E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3AB7899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2B2294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933" w:type="dxa"/>
            <w:shd w:val="clear" w:color="auto" w:fill="auto"/>
            <w:vAlign w:val="center"/>
          </w:tcPr>
          <w:p w14:paraId="2DB3E4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610A5D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2748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7297E7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7A8E80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7.4 运输道路的高陡路基路段，或者弯道路、坡度较大的填方地段，远离山体一侧应设置高度不小于车轮轮胎直径1/2的护拦、挡车墙等安全设施及醒目的警示标志。</w:t>
            </w:r>
          </w:p>
        </w:tc>
        <w:tc>
          <w:tcPr>
            <w:tcW w:w="1524" w:type="dxa"/>
            <w:shd w:val="clear" w:color="auto" w:fill="auto"/>
            <w:vAlign w:val="center"/>
          </w:tcPr>
          <w:p w14:paraId="517706D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23099C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5.4.2.4</w:t>
            </w:r>
          </w:p>
        </w:tc>
        <w:tc>
          <w:tcPr>
            <w:tcW w:w="1099" w:type="dxa"/>
            <w:shd w:val="clear" w:color="auto" w:fill="auto"/>
            <w:vAlign w:val="center"/>
          </w:tcPr>
          <w:p w14:paraId="3A22AF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676A6B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2B2569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4C28A0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5978B1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4EAD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vMerge w:val="continue"/>
            <w:shd w:val="clear" w:color="auto" w:fill="auto"/>
            <w:vAlign w:val="center"/>
          </w:tcPr>
          <w:p w14:paraId="47F5D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086E73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7.5 道路与铁路交叉的道口交角应不小于45°；交叉道口应设置警示牌。</w:t>
            </w:r>
          </w:p>
        </w:tc>
        <w:tc>
          <w:tcPr>
            <w:tcW w:w="1524" w:type="dxa"/>
            <w:shd w:val="clear" w:color="auto" w:fill="auto"/>
            <w:vAlign w:val="center"/>
          </w:tcPr>
          <w:p w14:paraId="1EB09B3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E633A30">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5.4.2.5</w:t>
            </w:r>
          </w:p>
        </w:tc>
        <w:tc>
          <w:tcPr>
            <w:tcW w:w="1099" w:type="dxa"/>
            <w:shd w:val="clear" w:color="auto" w:fill="auto"/>
            <w:vAlign w:val="center"/>
          </w:tcPr>
          <w:p w14:paraId="4A34C3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672793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696" w:type="dxa"/>
            <w:shd w:val="clear" w:color="auto" w:fill="auto"/>
            <w:vAlign w:val="center"/>
          </w:tcPr>
          <w:p w14:paraId="3D6501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3DD890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7269E0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240F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7" w:hRule="atLeast"/>
          <w:jc w:val="center"/>
        </w:trPr>
        <w:tc>
          <w:tcPr>
            <w:tcW w:w="591" w:type="dxa"/>
            <w:vMerge w:val="continue"/>
            <w:shd w:val="clear" w:color="auto" w:fill="auto"/>
            <w:vAlign w:val="center"/>
          </w:tcPr>
          <w:p w14:paraId="16426C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0B7641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7.6 汽车运行应遵守下列规定：</w:t>
            </w:r>
          </w:p>
          <w:p w14:paraId="001F49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1、驾驶室外禁止乘人；</w:t>
            </w:r>
          </w:p>
          <w:p w14:paraId="03B330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2、运行时不升降车半；</w:t>
            </w:r>
          </w:p>
          <w:p w14:paraId="68B07C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3、不空挡滑行；</w:t>
            </w:r>
          </w:p>
          <w:p w14:paraId="46EC55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4、不弯道超车；</w:t>
            </w:r>
          </w:p>
          <w:p w14:paraId="77D063B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5、下坡车速不超过25km/h；</w:t>
            </w:r>
          </w:p>
          <w:p w14:paraId="1487EE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6、不在主运输道路和坡道上停车；</w:t>
            </w:r>
          </w:p>
          <w:p w14:paraId="459776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7、拖挂车辆行驶时采取可靠的安全措施，并有专人指挥；</w:t>
            </w:r>
          </w:p>
          <w:p w14:paraId="68F31E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8、通过道口之前驾驶员减速瞭望，确认安全后再通过；</w:t>
            </w:r>
          </w:p>
          <w:p w14:paraId="7E4A8C4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9、不超载运行。</w:t>
            </w:r>
          </w:p>
        </w:tc>
        <w:tc>
          <w:tcPr>
            <w:tcW w:w="1524" w:type="dxa"/>
            <w:shd w:val="clear" w:color="auto" w:fill="auto"/>
            <w:vAlign w:val="center"/>
          </w:tcPr>
          <w:p w14:paraId="3EBD55F1">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73F62F43">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5.4.2.6</w:t>
            </w:r>
          </w:p>
        </w:tc>
        <w:tc>
          <w:tcPr>
            <w:tcW w:w="1099" w:type="dxa"/>
            <w:shd w:val="clear" w:color="auto" w:fill="auto"/>
            <w:vAlign w:val="center"/>
          </w:tcPr>
          <w:p w14:paraId="6377C3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376D1A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42EE31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18</w:t>
            </w:r>
          </w:p>
        </w:tc>
        <w:tc>
          <w:tcPr>
            <w:tcW w:w="933" w:type="dxa"/>
            <w:shd w:val="clear" w:color="auto" w:fill="auto"/>
            <w:vAlign w:val="center"/>
          </w:tcPr>
          <w:p w14:paraId="199C21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1项未做到扣2分，1项不完善扣1分</w:t>
            </w:r>
          </w:p>
        </w:tc>
        <w:tc>
          <w:tcPr>
            <w:tcW w:w="633" w:type="dxa"/>
            <w:shd w:val="clear" w:color="auto" w:fill="auto"/>
            <w:vAlign w:val="center"/>
          </w:tcPr>
          <w:p w14:paraId="6E4FFE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18</w:t>
            </w:r>
          </w:p>
        </w:tc>
      </w:tr>
      <w:tr w14:paraId="58B5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91" w:type="dxa"/>
            <w:vMerge w:val="continue"/>
            <w:shd w:val="clear" w:color="auto" w:fill="auto"/>
            <w:vAlign w:val="center"/>
          </w:tcPr>
          <w:p w14:paraId="1A6E21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179A00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7.7 现场检修车辆时，应采取的安全措施。</w:t>
            </w:r>
          </w:p>
        </w:tc>
        <w:tc>
          <w:tcPr>
            <w:tcW w:w="1524" w:type="dxa"/>
            <w:shd w:val="clear" w:color="auto" w:fill="auto"/>
            <w:vAlign w:val="center"/>
          </w:tcPr>
          <w:p w14:paraId="12A43A26">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097281D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5.4.2.7</w:t>
            </w:r>
          </w:p>
        </w:tc>
        <w:tc>
          <w:tcPr>
            <w:tcW w:w="1099" w:type="dxa"/>
            <w:shd w:val="clear" w:color="auto" w:fill="auto"/>
            <w:vAlign w:val="center"/>
          </w:tcPr>
          <w:p w14:paraId="6F3B4E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123F53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0BEF12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12F3D6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51BEA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6F0E9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91" w:type="dxa"/>
            <w:vMerge w:val="continue"/>
            <w:shd w:val="clear" w:color="auto" w:fill="auto"/>
            <w:vAlign w:val="center"/>
          </w:tcPr>
          <w:p w14:paraId="48EFE8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72A994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7.8 夜间装卸车应有良好的照明条件。</w:t>
            </w:r>
          </w:p>
        </w:tc>
        <w:tc>
          <w:tcPr>
            <w:tcW w:w="1524" w:type="dxa"/>
            <w:shd w:val="clear" w:color="auto" w:fill="auto"/>
            <w:vAlign w:val="center"/>
          </w:tcPr>
          <w:p w14:paraId="4E8B96EA">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57E00AD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5.4.2.8</w:t>
            </w:r>
          </w:p>
        </w:tc>
        <w:tc>
          <w:tcPr>
            <w:tcW w:w="1099" w:type="dxa"/>
            <w:shd w:val="clear" w:color="auto" w:fill="auto"/>
            <w:vAlign w:val="center"/>
          </w:tcPr>
          <w:p w14:paraId="681819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09357C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74964F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933" w:type="dxa"/>
            <w:shd w:val="clear" w:color="auto" w:fill="auto"/>
            <w:vAlign w:val="center"/>
          </w:tcPr>
          <w:p w14:paraId="03A183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3F42B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r>
      <w:tr w14:paraId="5BF3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6" w:hRule="atLeast"/>
          <w:jc w:val="center"/>
        </w:trPr>
        <w:tc>
          <w:tcPr>
            <w:tcW w:w="591" w:type="dxa"/>
            <w:vMerge w:val="continue"/>
            <w:shd w:val="clear" w:color="auto" w:fill="auto"/>
            <w:vAlign w:val="center"/>
          </w:tcPr>
          <w:p w14:paraId="5C58AA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3D96A7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7.9 雾霾或烟尘影响能见度时，应开户警示灯，靠右侧减速行驶，前后车间距应不小于30m，视距不足30m时，应靠右停车。冰雪或多雨季节，道路湿滑时，应有防滑措施并减速行驶，前后车距应不小于40m。拖挂其他车辆时，应采取有效的安全措施，并有专人指挥。</w:t>
            </w:r>
          </w:p>
        </w:tc>
        <w:tc>
          <w:tcPr>
            <w:tcW w:w="1524" w:type="dxa"/>
            <w:shd w:val="clear" w:color="auto" w:fill="auto"/>
            <w:vAlign w:val="center"/>
          </w:tcPr>
          <w:p w14:paraId="47845FA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275560D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5.4.2.9</w:t>
            </w:r>
          </w:p>
        </w:tc>
        <w:tc>
          <w:tcPr>
            <w:tcW w:w="1099" w:type="dxa"/>
            <w:shd w:val="clear" w:color="auto" w:fill="auto"/>
            <w:vAlign w:val="center"/>
          </w:tcPr>
          <w:p w14:paraId="6F175F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1DDA3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696" w:type="dxa"/>
            <w:shd w:val="clear" w:color="auto" w:fill="auto"/>
            <w:vAlign w:val="center"/>
          </w:tcPr>
          <w:p w14:paraId="5EE9C3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c>
          <w:tcPr>
            <w:tcW w:w="933" w:type="dxa"/>
            <w:shd w:val="clear" w:color="auto" w:fill="auto"/>
            <w:vAlign w:val="center"/>
          </w:tcPr>
          <w:p w14:paraId="38F27B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1项未做到扣2分</w:t>
            </w:r>
          </w:p>
        </w:tc>
        <w:tc>
          <w:tcPr>
            <w:tcW w:w="633" w:type="dxa"/>
            <w:shd w:val="clear" w:color="auto" w:fill="auto"/>
            <w:vAlign w:val="center"/>
          </w:tcPr>
          <w:p w14:paraId="0DBD3F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6</w:t>
            </w:r>
          </w:p>
        </w:tc>
      </w:tr>
      <w:tr w14:paraId="4CB6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jc w:val="center"/>
        </w:trPr>
        <w:tc>
          <w:tcPr>
            <w:tcW w:w="591" w:type="dxa"/>
            <w:vMerge w:val="continue"/>
            <w:shd w:val="clear" w:color="auto" w:fill="auto"/>
            <w:vAlign w:val="center"/>
          </w:tcPr>
          <w:p w14:paraId="53DB3B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2878" w:type="dxa"/>
            <w:shd w:val="clear" w:color="auto" w:fill="auto"/>
            <w:vAlign w:val="center"/>
          </w:tcPr>
          <w:p w14:paraId="463832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7.10 矿仓口周围应设围挡或防护栏杆；卸车平台受料口应设牢固的安全限位车挡，车挡高度不小于车轮轮胎直径的1/3。</w:t>
            </w:r>
          </w:p>
        </w:tc>
        <w:tc>
          <w:tcPr>
            <w:tcW w:w="1524" w:type="dxa"/>
            <w:shd w:val="clear" w:color="auto" w:fill="auto"/>
            <w:vAlign w:val="center"/>
          </w:tcPr>
          <w:p w14:paraId="58A37469">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GB16423-2020</w:t>
            </w:r>
          </w:p>
          <w:p w14:paraId="1EA6F8A2">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5.3.1</w:t>
            </w:r>
          </w:p>
        </w:tc>
        <w:tc>
          <w:tcPr>
            <w:tcW w:w="1099" w:type="dxa"/>
            <w:shd w:val="clear" w:color="auto" w:fill="auto"/>
            <w:vAlign w:val="center"/>
          </w:tcPr>
          <w:p w14:paraId="292701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1017" w:type="dxa"/>
            <w:shd w:val="clear" w:color="auto" w:fill="auto"/>
            <w:vAlign w:val="center"/>
          </w:tcPr>
          <w:p w14:paraId="475AFA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696" w:type="dxa"/>
            <w:shd w:val="clear" w:color="auto" w:fill="auto"/>
            <w:vAlign w:val="center"/>
          </w:tcPr>
          <w:p w14:paraId="770939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933" w:type="dxa"/>
            <w:shd w:val="clear" w:color="auto" w:fill="auto"/>
            <w:vAlign w:val="center"/>
          </w:tcPr>
          <w:p w14:paraId="2F4BF04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不符合不得分</w:t>
            </w:r>
          </w:p>
        </w:tc>
        <w:tc>
          <w:tcPr>
            <w:tcW w:w="633" w:type="dxa"/>
            <w:shd w:val="clear" w:color="auto" w:fill="auto"/>
            <w:vAlign w:val="center"/>
          </w:tcPr>
          <w:p w14:paraId="3F0658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07C1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591" w:type="dxa"/>
            <w:shd w:val="clear" w:color="auto" w:fill="auto"/>
            <w:vAlign w:val="center"/>
          </w:tcPr>
          <w:p w14:paraId="498E60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2878" w:type="dxa"/>
            <w:shd w:val="clear" w:color="auto" w:fill="auto"/>
            <w:vAlign w:val="center"/>
          </w:tcPr>
          <w:p w14:paraId="425B203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524" w:type="dxa"/>
            <w:shd w:val="clear" w:color="auto" w:fill="auto"/>
            <w:vAlign w:val="center"/>
          </w:tcPr>
          <w:p w14:paraId="60ED2D9B">
            <w:pPr>
              <w:pStyle w:val="3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99" w:type="dxa"/>
            <w:shd w:val="clear" w:color="auto" w:fill="auto"/>
            <w:vAlign w:val="center"/>
          </w:tcPr>
          <w:p w14:paraId="040B04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17" w:type="dxa"/>
            <w:shd w:val="clear" w:color="auto" w:fill="auto"/>
            <w:vAlign w:val="center"/>
          </w:tcPr>
          <w:p w14:paraId="6758ED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p>
        </w:tc>
        <w:tc>
          <w:tcPr>
            <w:tcW w:w="696" w:type="dxa"/>
            <w:shd w:val="clear" w:color="auto" w:fill="auto"/>
            <w:vAlign w:val="center"/>
          </w:tcPr>
          <w:p w14:paraId="62CA69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198</w:t>
            </w:r>
          </w:p>
        </w:tc>
        <w:tc>
          <w:tcPr>
            <w:tcW w:w="933" w:type="dxa"/>
            <w:shd w:val="clear" w:color="auto" w:fill="auto"/>
            <w:vAlign w:val="center"/>
          </w:tcPr>
          <w:p w14:paraId="19779D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p>
        </w:tc>
        <w:tc>
          <w:tcPr>
            <w:tcW w:w="633" w:type="dxa"/>
            <w:shd w:val="clear" w:color="auto" w:fill="auto"/>
            <w:vAlign w:val="center"/>
          </w:tcPr>
          <w:p w14:paraId="670D41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190</w:t>
            </w:r>
          </w:p>
        </w:tc>
      </w:tr>
    </w:tbl>
    <w:p w14:paraId="1C014480">
      <w:pPr>
        <w:pStyle w:val="4"/>
        <w:bidi w:val="0"/>
        <w:rPr>
          <w:rFonts w:hint="default"/>
          <w:color w:val="auto"/>
          <w:lang w:val="en-US" w:eastAsia="zh-CN"/>
        </w:rPr>
      </w:pPr>
      <w:bookmarkStart w:id="315" w:name="_Toc16629"/>
      <w:bookmarkStart w:id="316" w:name="_Toc25577"/>
      <w:bookmarkStart w:id="317" w:name="_Toc8656"/>
      <w:bookmarkStart w:id="318" w:name="_Toc25565"/>
      <w:r>
        <w:rPr>
          <w:rFonts w:hint="default"/>
          <w:color w:val="auto"/>
          <w:lang w:val="en-US" w:eastAsia="zh-CN"/>
        </w:rPr>
        <w:t>5.</w:t>
      </w:r>
      <w:r>
        <w:rPr>
          <w:rFonts w:hint="eastAsia"/>
          <w:color w:val="auto"/>
          <w:lang w:val="en-US" w:eastAsia="zh-CN"/>
        </w:rPr>
        <w:t>2</w:t>
      </w:r>
      <w:r>
        <w:rPr>
          <w:rFonts w:hint="default"/>
          <w:color w:val="auto"/>
          <w:lang w:val="en-US" w:eastAsia="zh-CN"/>
        </w:rPr>
        <w:t>.2</w:t>
      </w:r>
      <w:r>
        <w:rPr>
          <w:rFonts w:hint="eastAsia"/>
          <w:color w:val="auto"/>
          <w:lang w:val="en-US" w:eastAsia="zh-CN"/>
        </w:rPr>
        <w:t xml:space="preserve"> </w:t>
      </w:r>
      <w:r>
        <w:rPr>
          <w:rFonts w:hint="default"/>
          <w:color w:val="auto"/>
          <w:lang w:val="en-US" w:eastAsia="zh-CN"/>
        </w:rPr>
        <w:t>评价小结</w:t>
      </w:r>
      <w:bookmarkEnd w:id="315"/>
      <w:bookmarkEnd w:id="316"/>
      <w:bookmarkEnd w:id="317"/>
      <w:bookmarkEnd w:id="318"/>
    </w:p>
    <w:p w14:paraId="22C797D1">
      <w:pPr>
        <w:bidi w:val="0"/>
        <w:rPr>
          <w:rFonts w:hint="default"/>
          <w:color w:val="auto"/>
          <w:lang w:val="en-US" w:eastAsia="zh-CN"/>
        </w:rPr>
      </w:pPr>
      <w:r>
        <w:rPr>
          <w:rFonts w:hint="eastAsia"/>
          <w:color w:val="auto"/>
          <w:lang w:val="en-US" w:eastAsia="zh-CN"/>
        </w:rPr>
        <w:t>曹溪二矿</w:t>
      </w:r>
      <w:r>
        <w:rPr>
          <w:rFonts w:hint="default"/>
          <w:color w:val="auto"/>
          <w:lang w:val="en-US" w:eastAsia="zh-CN"/>
        </w:rPr>
        <w:t>露天采场单元</w:t>
      </w:r>
      <w:r>
        <w:rPr>
          <w:rFonts w:hint="eastAsia"/>
          <w:color w:val="auto"/>
          <w:lang w:val="en-US" w:eastAsia="zh-CN"/>
        </w:rPr>
        <w:t>安全</w:t>
      </w:r>
      <w:r>
        <w:rPr>
          <w:rFonts w:hint="default"/>
          <w:color w:val="auto"/>
          <w:lang w:val="en-US" w:eastAsia="zh-CN"/>
        </w:rPr>
        <w:t>检查表中否决项为</w:t>
      </w:r>
      <w:r>
        <w:rPr>
          <w:rFonts w:hint="eastAsia" w:ascii="宋体" w:hAnsi="宋体" w:eastAsia="宋体" w:cs="宋体"/>
          <w:color w:val="auto"/>
          <w:lang w:val="en-US" w:eastAsia="zh-CN"/>
        </w:rPr>
        <w:t>“</w:t>
      </w:r>
      <w:r>
        <w:rPr>
          <w:rFonts w:hint="default"/>
          <w:color w:val="auto"/>
          <w:lang w:val="en-US" w:eastAsia="zh-CN"/>
        </w:rPr>
        <w:t>合格</w:t>
      </w:r>
      <w:r>
        <w:rPr>
          <w:rFonts w:hint="eastAsia" w:ascii="宋体" w:hAnsi="宋体" w:eastAsia="宋体" w:cs="宋体"/>
          <w:color w:val="auto"/>
          <w:lang w:val="en-US" w:eastAsia="zh-CN"/>
        </w:rPr>
        <w:t>”</w:t>
      </w:r>
      <w:r>
        <w:rPr>
          <w:rFonts w:hint="default"/>
          <w:color w:val="auto"/>
          <w:lang w:val="en-US" w:eastAsia="zh-CN"/>
        </w:rPr>
        <w:t>，</w:t>
      </w:r>
      <w:r>
        <w:rPr>
          <w:rFonts w:hint="default"/>
          <w:color w:val="FF0000"/>
          <w:lang w:val="en-US" w:eastAsia="zh-CN"/>
        </w:rPr>
        <w:t>一般项总分</w:t>
      </w:r>
      <w:r>
        <w:rPr>
          <w:rFonts w:hint="eastAsia"/>
          <w:color w:val="FF0000"/>
          <w:lang w:val="en-US" w:eastAsia="zh-CN"/>
        </w:rPr>
        <w:t>198</w:t>
      </w:r>
      <w:r>
        <w:rPr>
          <w:rFonts w:hint="default"/>
          <w:color w:val="FF0000"/>
          <w:lang w:val="en-US" w:eastAsia="zh-CN"/>
        </w:rPr>
        <w:t>分，</w:t>
      </w:r>
      <w:r>
        <w:rPr>
          <w:rFonts w:hint="eastAsia"/>
          <w:color w:val="FF0000"/>
          <w:lang w:val="en-US" w:eastAsia="zh-CN"/>
        </w:rPr>
        <w:t>得分190</w:t>
      </w:r>
      <w:r>
        <w:rPr>
          <w:rFonts w:hint="default"/>
          <w:color w:val="FF0000"/>
          <w:lang w:val="en-US" w:eastAsia="zh-CN"/>
        </w:rPr>
        <w:t>分，得分率为</w:t>
      </w:r>
      <w:r>
        <w:rPr>
          <w:rFonts w:hint="eastAsia"/>
          <w:color w:val="FF0000"/>
          <w:lang w:val="en-US" w:eastAsia="zh-CN"/>
        </w:rPr>
        <w:t>95.96</w:t>
      </w:r>
      <w:r>
        <w:rPr>
          <w:rFonts w:hint="default"/>
          <w:color w:val="FF0000"/>
          <w:lang w:val="en-US" w:eastAsia="zh-CN"/>
        </w:rPr>
        <w:t>%</w:t>
      </w:r>
      <w:r>
        <w:rPr>
          <w:rFonts w:hint="default"/>
          <w:color w:val="auto"/>
          <w:lang w:val="en-US" w:eastAsia="zh-CN"/>
        </w:rPr>
        <w:t>，说明</w:t>
      </w:r>
      <w:r>
        <w:rPr>
          <w:rFonts w:hint="eastAsia"/>
          <w:color w:val="auto"/>
          <w:lang w:val="en-US" w:eastAsia="zh-CN"/>
        </w:rPr>
        <w:t>曹溪二矿</w:t>
      </w:r>
      <w:r>
        <w:rPr>
          <w:rFonts w:hint="default"/>
          <w:color w:val="auto"/>
          <w:lang w:val="en-US" w:eastAsia="zh-CN"/>
        </w:rPr>
        <w:t>露天采场单元具备安全生产条件。</w:t>
      </w:r>
    </w:p>
    <w:p w14:paraId="2C6C2130">
      <w:pPr>
        <w:bidi w:val="0"/>
        <w:rPr>
          <w:rFonts w:hint="default"/>
          <w:color w:val="auto"/>
          <w:lang w:val="en-US" w:eastAsia="zh-CN"/>
        </w:rPr>
      </w:pPr>
      <w:r>
        <w:rPr>
          <w:rFonts w:hint="default"/>
          <w:color w:val="auto"/>
          <w:lang w:val="en-US" w:eastAsia="zh-CN"/>
        </w:rPr>
        <w:t>存在的主要问题</w:t>
      </w:r>
      <w:r>
        <w:rPr>
          <w:rFonts w:hint="eastAsia"/>
          <w:color w:val="auto"/>
          <w:lang w:val="en-US" w:eastAsia="zh-CN"/>
        </w:rPr>
        <w:t>：1）</w:t>
      </w:r>
      <w:r>
        <w:rPr>
          <w:rFonts w:hint="default"/>
          <w:color w:val="auto"/>
          <w:lang w:val="en-US" w:eastAsia="zh-CN"/>
        </w:rPr>
        <w:t>未设相邻采场边界围栏</w:t>
      </w:r>
      <w:r>
        <w:rPr>
          <w:rFonts w:hint="eastAsia" w:ascii="宋体" w:hAnsi="宋体" w:eastAsia="宋体" w:cs="宋体"/>
          <w:color w:val="auto"/>
          <w:lang w:val="en-US" w:eastAsia="zh-CN"/>
        </w:rPr>
        <w:t>；</w:t>
      </w:r>
      <w:r>
        <w:rPr>
          <w:rFonts w:hint="eastAsia"/>
          <w:color w:val="auto"/>
          <w:lang w:val="en-US" w:eastAsia="zh-CN"/>
        </w:rPr>
        <w:t>2）</w:t>
      </w:r>
      <w:r>
        <w:rPr>
          <w:rFonts w:hint="eastAsia"/>
          <w:color w:val="FF0000"/>
          <w:lang w:val="en-US" w:eastAsia="zh-CN"/>
        </w:rPr>
        <w:t>未见</w:t>
      </w:r>
      <w:r>
        <w:rPr>
          <w:rFonts w:hint="default"/>
          <w:color w:val="auto"/>
          <w:lang w:val="en-US" w:eastAsia="zh-CN"/>
        </w:rPr>
        <w:t>爆破后安全检查记录。</w:t>
      </w:r>
    </w:p>
    <w:p w14:paraId="3C4325A8">
      <w:pPr>
        <w:pStyle w:val="3"/>
        <w:bidi w:val="0"/>
        <w:rPr>
          <w:rFonts w:hint="default"/>
          <w:color w:val="auto"/>
          <w:lang w:val="en-US" w:eastAsia="zh-CN"/>
        </w:rPr>
      </w:pPr>
      <w:bookmarkStart w:id="319" w:name="_Toc21815"/>
      <w:bookmarkStart w:id="320" w:name="_Toc9064"/>
      <w:bookmarkStart w:id="321" w:name="_Toc4835"/>
      <w:bookmarkStart w:id="322" w:name="_Toc3738"/>
      <w:r>
        <w:rPr>
          <w:rFonts w:hint="default"/>
          <w:color w:val="auto"/>
          <w:lang w:val="en-US" w:eastAsia="zh-CN"/>
        </w:rPr>
        <w:t>5.3</w:t>
      </w:r>
      <w:r>
        <w:rPr>
          <w:rFonts w:hint="eastAsia"/>
          <w:color w:val="auto"/>
          <w:lang w:val="en-US" w:eastAsia="zh-CN"/>
        </w:rPr>
        <w:t xml:space="preserve"> </w:t>
      </w:r>
      <w:r>
        <w:rPr>
          <w:rFonts w:hint="default"/>
          <w:color w:val="auto"/>
          <w:lang w:val="en-US" w:eastAsia="zh-CN"/>
        </w:rPr>
        <w:t>边坡管理单元</w:t>
      </w:r>
      <w:bookmarkEnd w:id="319"/>
      <w:bookmarkEnd w:id="320"/>
      <w:bookmarkEnd w:id="321"/>
      <w:bookmarkEnd w:id="322"/>
    </w:p>
    <w:p w14:paraId="006AA7AC">
      <w:pPr>
        <w:pStyle w:val="4"/>
        <w:bidi w:val="0"/>
        <w:rPr>
          <w:rFonts w:hint="default"/>
          <w:color w:val="auto"/>
          <w:lang w:val="en-US" w:eastAsia="zh-CN"/>
        </w:rPr>
      </w:pPr>
      <w:bookmarkStart w:id="323" w:name="_Toc22400"/>
      <w:bookmarkStart w:id="324" w:name="_Toc19145"/>
      <w:bookmarkStart w:id="325" w:name="_Toc19589"/>
      <w:bookmarkStart w:id="326" w:name="_Toc17299"/>
      <w:r>
        <w:rPr>
          <w:rFonts w:hint="default"/>
          <w:color w:val="auto"/>
          <w:lang w:val="en-US" w:eastAsia="zh-CN"/>
        </w:rPr>
        <w:t>5.3.1</w:t>
      </w:r>
      <w:r>
        <w:rPr>
          <w:rFonts w:hint="eastAsia"/>
          <w:color w:val="auto"/>
          <w:lang w:val="en-US" w:eastAsia="zh-CN"/>
        </w:rPr>
        <w:t xml:space="preserve"> 边坡管理</w:t>
      </w:r>
      <w:r>
        <w:rPr>
          <w:rFonts w:hint="default"/>
          <w:color w:val="auto"/>
          <w:lang w:val="en-US" w:eastAsia="zh-CN"/>
        </w:rPr>
        <w:t>安全检查表</w:t>
      </w:r>
      <w:bookmarkEnd w:id="323"/>
      <w:bookmarkEnd w:id="324"/>
      <w:bookmarkEnd w:id="325"/>
      <w:bookmarkEnd w:id="326"/>
    </w:p>
    <w:p w14:paraId="2E03D02A">
      <w:pPr>
        <w:rPr>
          <w:rFonts w:hint="default"/>
          <w:color w:val="auto"/>
          <w:lang w:val="en-US" w:eastAsia="zh-CN"/>
        </w:rPr>
      </w:pPr>
      <w:r>
        <w:rPr>
          <w:rFonts w:hint="default"/>
          <w:color w:val="auto"/>
          <w:lang w:val="en-US" w:eastAsia="zh-CN"/>
        </w:rPr>
        <w:t>边坡管理安全检查表</w:t>
      </w:r>
      <w:r>
        <w:rPr>
          <w:rFonts w:hint="eastAsia"/>
          <w:color w:val="auto"/>
          <w:lang w:val="en-US" w:eastAsia="zh-CN"/>
        </w:rPr>
        <w:t>见</w:t>
      </w:r>
      <w:r>
        <w:rPr>
          <w:rFonts w:hint="default"/>
          <w:color w:val="auto"/>
          <w:lang w:val="en-US" w:eastAsia="zh-CN"/>
        </w:rPr>
        <w:t>表5.</w:t>
      </w:r>
      <w:r>
        <w:rPr>
          <w:rFonts w:hint="eastAsia"/>
          <w:color w:val="auto"/>
          <w:lang w:val="en-US" w:eastAsia="zh-CN"/>
        </w:rPr>
        <w:t>3</w:t>
      </w:r>
      <w:r>
        <w:rPr>
          <w:rFonts w:hint="default"/>
          <w:color w:val="auto"/>
          <w:lang w:val="en-US" w:eastAsia="zh-CN"/>
        </w:rPr>
        <w:t>-1所示。</w:t>
      </w:r>
    </w:p>
    <w:p w14:paraId="058F6A7D">
      <w:pPr>
        <w:ind w:left="0" w:leftChars="0" w:firstLine="0" w:firstLineChars="0"/>
        <w:jc w:val="center"/>
        <w:rPr>
          <w:rFonts w:hint="default"/>
          <w:color w:val="auto"/>
          <w:lang w:val="en-US" w:eastAsia="zh-CN"/>
        </w:rPr>
      </w:pPr>
      <w:r>
        <w:rPr>
          <w:rFonts w:hint="default"/>
          <w:color w:val="auto"/>
          <w:lang w:val="en-US" w:eastAsia="zh-CN"/>
        </w:rPr>
        <w:t>表5.</w:t>
      </w:r>
      <w:r>
        <w:rPr>
          <w:rFonts w:hint="eastAsia"/>
          <w:color w:val="auto"/>
          <w:lang w:val="en-US" w:eastAsia="zh-CN"/>
        </w:rPr>
        <w:t>3</w:t>
      </w:r>
      <w:r>
        <w:rPr>
          <w:rFonts w:hint="default"/>
          <w:color w:val="auto"/>
          <w:lang w:val="en-US" w:eastAsia="zh-CN"/>
        </w:rPr>
        <w:t>-1</w:t>
      </w:r>
      <w:r>
        <w:rPr>
          <w:rFonts w:hint="eastAsia"/>
          <w:color w:val="auto"/>
          <w:lang w:val="en-US" w:eastAsia="zh-CN"/>
        </w:rPr>
        <w:t xml:space="preserve"> 边坡管理安全检查表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498"/>
        <w:gridCol w:w="1537"/>
        <w:gridCol w:w="1267"/>
        <w:gridCol w:w="924"/>
        <w:gridCol w:w="750"/>
        <w:gridCol w:w="853"/>
        <w:gridCol w:w="501"/>
      </w:tblGrid>
      <w:tr w14:paraId="457CA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14:paraId="26902B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498" w:type="dxa"/>
            <w:vAlign w:val="center"/>
          </w:tcPr>
          <w:p w14:paraId="0829F6F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37" w:type="dxa"/>
            <w:vAlign w:val="center"/>
          </w:tcPr>
          <w:p w14:paraId="7D166D1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267" w:type="dxa"/>
            <w:vAlign w:val="center"/>
          </w:tcPr>
          <w:p w14:paraId="21B356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924" w:type="dxa"/>
            <w:vAlign w:val="center"/>
          </w:tcPr>
          <w:p w14:paraId="1CDF52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4D039F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750" w:type="dxa"/>
            <w:vAlign w:val="center"/>
          </w:tcPr>
          <w:p w14:paraId="6E3E593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0771478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853" w:type="dxa"/>
            <w:vAlign w:val="center"/>
          </w:tcPr>
          <w:p w14:paraId="65365FC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6F4F233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501" w:type="dxa"/>
            <w:vAlign w:val="center"/>
          </w:tcPr>
          <w:p w14:paraId="44EA1C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5364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958" w:type="dxa"/>
            <w:vAlign w:val="center"/>
          </w:tcPr>
          <w:p w14:paraId="56FF99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498" w:type="dxa"/>
            <w:vAlign w:val="center"/>
          </w:tcPr>
          <w:p w14:paraId="0B871A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露天边坡应符合设计要求，保证边坡整体的安全稳定。</w:t>
            </w:r>
          </w:p>
        </w:tc>
        <w:tc>
          <w:tcPr>
            <w:tcW w:w="1537" w:type="dxa"/>
            <w:vAlign w:val="center"/>
          </w:tcPr>
          <w:p w14:paraId="0D975C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21FAA9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5.2.4.1</w:t>
            </w:r>
          </w:p>
        </w:tc>
        <w:tc>
          <w:tcPr>
            <w:tcW w:w="1267" w:type="dxa"/>
            <w:vAlign w:val="center"/>
          </w:tcPr>
          <w:p w14:paraId="1DD271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对照设计查现场</w:t>
            </w:r>
          </w:p>
        </w:tc>
        <w:tc>
          <w:tcPr>
            <w:tcW w:w="924" w:type="dxa"/>
            <w:vAlign w:val="center"/>
          </w:tcPr>
          <w:p w14:paraId="141B0CA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042150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0F3601F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53" w:type="dxa"/>
            <w:vAlign w:val="center"/>
          </w:tcPr>
          <w:p w14:paraId="07ECC9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76D18A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r>
      <w:tr w14:paraId="5A7E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958" w:type="dxa"/>
            <w:vAlign w:val="center"/>
          </w:tcPr>
          <w:p w14:paraId="6B0897D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498" w:type="dxa"/>
            <w:vAlign w:val="center"/>
          </w:tcPr>
          <w:p w14:paraId="78A5DA7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邻近最终边坡作业应遵守下列规定：</w:t>
            </w:r>
          </w:p>
          <w:p w14:paraId="38C724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——控制爆破减震；</w:t>
            </w:r>
          </w:p>
          <w:p w14:paraId="204079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——保持台阶的安全坡面角，不应超挖坡底。</w:t>
            </w:r>
          </w:p>
        </w:tc>
        <w:tc>
          <w:tcPr>
            <w:tcW w:w="1537" w:type="dxa"/>
            <w:vAlign w:val="center"/>
          </w:tcPr>
          <w:p w14:paraId="65FC7E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BE45E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5.2.4.2</w:t>
            </w:r>
          </w:p>
        </w:tc>
        <w:tc>
          <w:tcPr>
            <w:tcW w:w="1267" w:type="dxa"/>
            <w:vAlign w:val="center"/>
          </w:tcPr>
          <w:p w14:paraId="7ABAE36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查看现场</w:t>
            </w:r>
          </w:p>
        </w:tc>
        <w:tc>
          <w:tcPr>
            <w:tcW w:w="924" w:type="dxa"/>
            <w:vAlign w:val="center"/>
          </w:tcPr>
          <w:p w14:paraId="4AF0B50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258DB6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5D84BBC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853" w:type="dxa"/>
            <w:vAlign w:val="center"/>
          </w:tcPr>
          <w:p w14:paraId="055CFD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501" w:type="dxa"/>
            <w:vAlign w:val="center"/>
          </w:tcPr>
          <w:p w14:paraId="62B4D2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0543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5" w:hRule="atLeast"/>
          <w:jc w:val="center"/>
        </w:trPr>
        <w:tc>
          <w:tcPr>
            <w:tcW w:w="958" w:type="dxa"/>
            <w:vAlign w:val="center"/>
          </w:tcPr>
          <w:p w14:paraId="3855D9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498" w:type="dxa"/>
            <w:vAlign w:val="center"/>
          </w:tcPr>
          <w:p w14:paraId="39766C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遇有下列情况时，应采取有效的安全措施：</w:t>
            </w:r>
          </w:p>
          <w:p w14:paraId="718976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——岩层内倾于采场，且设计边坡角大于岩层倾角；</w:t>
            </w:r>
          </w:p>
          <w:p w14:paraId="5FEB3C8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——有多组节理、裂隙空间组合结构面内倾于采场；</w:t>
            </w:r>
          </w:p>
          <w:p w14:paraId="400F63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——有较大软弱结构面切割边坡；</w:t>
            </w:r>
          </w:p>
          <w:p w14:paraId="160BC2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——构成不稳定的潜在滑坡体的边坡。</w:t>
            </w:r>
          </w:p>
        </w:tc>
        <w:tc>
          <w:tcPr>
            <w:tcW w:w="1537" w:type="dxa"/>
            <w:vAlign w:val="center"/>
          </w:tcPr>
          <w:p w14:paraId="72A709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143C7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5.2.4.3</w:t>
            </w:r>
          </w:p>
        </w:tc>
        <w:tc>
          <w:tcPr>
            <w:tcW w:w="1267" w:type="dxa"/>
            <w:vAlign w:val="center"/>
          </w:tcPr>
          <w:p w14:paraId="13440E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对照设计查现场</w:t>
            </w:r>
          </w:p>
        </w:tc>
        <w:tc>
          <w:tcPr>
            <w:tcW w:w="924" w:type="dxa"/>
            <w:vAlign w:val="center"/>
          </w:tcPr>
          <w:p w14:paraId="6CE12E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346811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252EDB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c>
          <w:tcPr>
            <w:tcW w:w="853" w:type="dxa"/>
            <w:vAlign w:val="center"/>
          </w:tcPr>
          <w:p w14:paraId="154FF2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501" w:type="dxa"/>
            <w:vAlign w:val="center"/>
          </w:tcPr>
          <w:p w14:paraId="57CC3B5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r>
      <w:tr w14:paraId="777D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958" w:type="dxa"/>
            <w:vAlign w:val="center"/>
          </w:tcPr>
          <w:p w14:paraId="696A90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498" w:type="dxa"/>
            <w:vAlign w:val="center"/>
          </w:tcPr>
          <w:p w14:paraId="3F06F5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边坡浮石清理完毕之前不应在边坡底部作业；人员和设备不应在边坡底部停留。</w:t>
            </w:r>
          </w:p>
        </w:tc>
        <w:tc>
          <w:tcPr>
            <w:tcW w:w="1537" w:type="dxa"/>
            <w:vAlign w:val="center"/>
          </w:tcPr>
          <w:p w14:paraId="3C0397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3CA4A0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5.2.4.4</w:t>
            </w:r>
          </w:p>
        </w:tc>
        <w:tc>
          <w:tcPr>
            <w:tcW w:w="1267" w:type="dxa"/>
            <w:vAlign w:val="center"/>
          </w:tcPr>
          <w:p w14:paraId="0BA7939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现场检查</w:t>
            </w:r>
          </w:p>
        </w:tc>
        <w:tc>
          <w:tcPr>
            <w:tcW w:w="924" w:type="dxa"/>
            <w:vAlign w:val="center"/>
          </w:tcPr>
          <w:p w14:paraId="5BDB75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1E5E00C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7B739A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6E0FCE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4CFECA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r>
      <w:tr w14:paraId="12F1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958" w:type="dxa"/>
            <w:vAlign w:val="center"/>
          </w:tcPr>
          <w:p w14:paraId="6FCB28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498" w:type="dxa"/>
            <w:vAlign w:val="center"/>
          </w:tcPr>
          <w:p w14:paraId="36F6FF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矿山应建立边坡安全管理制度和检查制度。每5年至少进行1次边坡稳定性分析。</w:t>
            </w:r>
          </w:p>
        </w:tc>
        <w:tc>
          <w:tcPr>
            <w:tcW w:w="1537" w:type="dxa"/>
            <w:vAlign w:val="center"/>
          </w:tcPr>
          <w:p w14:paraId="64E04D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96720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5.2.4.5</w:t>
            </w:r>
          </w:p>
        </w:tc>
        <w:tc>
          <w:tcPr>
            <w:tcW w:w="1267" w:type="dxa"/>
            <w:vAlign w:val="center"/>
          </w:tcPr>
          <w:p w14:paraId="261CEF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查看有关</w:t>
            </w:r>
          </w:p>
          <w:p w14:paraId="4CF0E3A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制度及稳</w:t>
            </w:r>
          </w:p>
          <w:p w14:paraId="0263F5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定性报告</w:t>
            </w:r>
          </w:p>
        </w:tc>
        <w:tc>
          <w:tcPr>
            <w:tcW w:w="924" w:type="dxa"/>
            <w:vAlign w:val="center"/>
          </w:tcPr>
          <w:p w14:paraId="3D778E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符合规</w:t>
            </w:r>
          </w:p>
          <w:p w14:paraId="7A3316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程要求</w:t>
            </w:r>
          </w:p>
        </w:tc>
        <w:tc>
          <w:tcPr>
            <w:tcW w:w="750" w:type="dxa"/>
            <w:vAlign w:val="center"/>
          </w:tcPr>
          <w:p w14:paraId="753D5A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786469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2CA67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r>
      <w:tr w14:paraId="0D47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958" w:type="dxa"/>
            <w:vAlign w:val="center"/>
          </w:tcPr>
          <w:p w14:paraId="31B66A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2498" w:type="dxa"/>
            <w:vAlign w:val="center"/>
          </w:tcPr>
          <w:p w14:paraId="797DBF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露天采场工作边坡应每季度检查1次，运输或行人的非工作边坡每半年检查1次。</w:t>
            </w:r>
          </w:p>
        </w:tc>
        <w:tc>
          <w:tcPr>
            <w:tcW w:w="1537" w:type="dxa"/>
            <w:vAlign w:val="center"/>
          </w:tcPr>
          <w:p w14:paraId="1D8F552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FA4FA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5.2.4.6</w:t>
            </w:r>
          </w:p>
        </w:tc>
        <w:tc>
          <w:tcPr>
            <w:tcW w:w="1267" w:type="dxa"/>
            <w:vAlign w:val="center"/>
          </w:tcPr>
          <w:p w14:paraId="5C81B8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查看有关</w:t>
            </w:r>
          </w:p>
          <w:p w14:paraId="66302B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记录</w:t>
            </w:r>
          </w:p>
        </w:tc>
        <w:tc>
          <w:tcPr>
            <w:tcW w:w="924" w:type="dxa"/>
            <w:vAlign w:val="center"/>
          </w:tcPr>
          <w:p w14:paraId="64753D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未见检查记录</w:t>
            </w:r>
          </w:p>
        </w:tc>
        <w:tc>
          <w:tcPr>
            <w:tcW w:w="750" w:type="dxa"/>
            <w:vAlign w:val="center"/>
          </w:tcPr>
          <w:p w14:paraId="6C51CB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7AF721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B0E92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w:t>
            </w:r>
          </w:p>
        </w:tc>
      </w:tr>
      <w:tr w14:paraId="5D8F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958" w:type="dxa"/>
            <w:vAlign w:val="center"/>
          </w:tcPr>
          <w:p w14:paraId="5A7AB5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2498" w:type="dxa"/>
            <w:vAlign w:val="center"/>
          </w:tcPr>
          <w:p w14:paraId="3E820B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所有正常生产建设的现状高度150米及以上的金属非金属露天矿山采场边坡应进行边坡监测系统</w:t>
            </w:r>
            <w:r>
              <w:rPr>
                <w:rFonts w:hint="eastAsia"/>
                <w:color w:val="auto"/>
                <w:sz w:val="21"/>
                <w:szCs w:val="21"/>
                <w:vertAlign w:val="baseline"/>
                <w:lang w:val="en-US" w:eastAsia="zh-CN"/>
              </w:rPr>
              <w:t>建设</w:t>
            </w:r>
            <w:r>
              <w:rPr>
                <w:rFonts w:hint="default"/>
                <w:color w:val="auto"/>
                <w:sz w:val="21"/>
                <w:szCs w:val="21"/>
                <w:vertAlign w:val="baseline"/>
                <w:lang w:val="en-US" w:eastAsia="zh-CN"/>
              </w:rPr>
              <w:t>。</w:t>
            </w:r>
          </w:p>
        </w:tc>
        <w:tc>
          <w:tcPr>
            <w:tcW w:w="1537" w:type="dxa"/>
            <w:vAlign w:val="center"/>
          </w:tcPr>
          <w:p w14:paraId="40FF174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矿安〔2023〕119号</w:t>
            </w:r>
          </w:p>
        </w:tc>
        <w:tc>
          <w:tcPr>
            <w:tcW w:w="1267" w:type="dxa"/>
            <w:vAlign w:val="center"/>
          </w:tcPr>
          <w:p w14:paraId="7CB3B0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现场检查</w:t>
            </w:r>
          </w:p>
        </w:tc>
        <w:tc>
          <w:tcPr>
            <w:tcW w:w="924" w:type="dxa"/>
            <w:vAlign w:val="center"/>
          </w:tcPr>
          <w:p w14:paraId="636DEA8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暂不涉及</w:t>
            </w:r>
          </w:p>
        </w:tc>
        <w:tc>
          <w:tcPr>
            <w:tcW w:w="750" w:type="dxa"/>
            <w:vAlign w:val="center"/>
          </w:tcPr>
          <w:p w14:paraId="54B893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56790B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4E53A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37D2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958" w:type="dxa"/>
            <w:vAlign w:val="center"/>
          </w:tcPr>
          <w:p w14:paraId="3D7BDDF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w:t>
            </w:r>
          </w:p>
        </w:tc>
        <w:tc>
          <w:tcPr>
            <w:tcW w:w="2498" w:type="dxa"/>
            <w:vAlign w:val="center"/>
          </w:tcPr>
          <w:p w14:paraId="75BF7B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现状高度100m及以上的边坡，应当每年进行一次边坡稳定性分析。</w:t>
            </w:r>
          </w:p>
        </w:tc>
        <w:tc>
          <w:tcPr>
            <w:tcW w:w="1537" w:type="dxa"/>
            <w:vAlign w:val="center"/>
          </w:tcPr>
          <w:p w14:paraId="308F60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矿安</w:t>
            </w:r>
            <w:r>
              <w:rPr>
                <w:rFonts w:hint="eastAsia" w:asciiTheme="minorEastAsia" w:hAnsiTheme="minorEastAsia" w:eastAsiaTheme="minorEastAsia" w:cstheme="minorEastAsia"/>
                <w:color w:val="auto"/>
                <w:sz w:val="21"/>
                <w:szCs w:val="21"/>
                <w:vertAlign w:val="baseline"/>
                <w:lang w:val="en-US" w:eastAsia="zh-CN"/>
              </w:rPr>
              <w:t>[</w:t>
            </w:r>
            <w:r>
              <w:rPr>
                <w:rFonts w:hint="eastAsia"/>
                <w:color w:val="auto"/>
                <w:sz w:val="21"/>
                <w:szCs w:val="21"/>
                <w:vertAlign w:val="baseline"/>
                <w:lang w:val="en-US" w:eastAsia="zh-CN"/>
              </w:rPr>
              <w:t>2022</w:t>
            </w:r>
            <w:r>
              <w:rPr>
                <w:rFonts w:hint="eastAsia" w:asciiTheme="minorEastAsia" w:hAnsiTheme="minorEastAsia" w:eastAsiaTheme="minorEastAsia" w:cstheme="minorEastAsia"/>
                <w:color w:val="auto"/>
                <w:sz w:val="21"/>
                <w:szCs w:val="21"/>
                <w:vertAlign w:val="baseline"/>
                <w:lang w:val="en-US" w:eastAsia="zh-CN"/>
              </w:rPr>
              <w:t>]</w:t>
            </w:r>
          </w:p>
          <w:p w14:paraId="223314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4号</w:t>
            </w:r>
          </w:p>
        </w:tc>
        <w:tc>
          <w:tcPr>
            <w:tcW w:w="1267" w:type="dxa"/>
            <w:vAlign w:val="center"/>
          </w:tcPr>
          <w:p w14:paraId="1C8AF8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查看稳</w:t>
            </w:r>
          </w:p>
          <w:p w14:paraId="36B6F7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定性报告</w:t>
            </w:r>
          </w:p>
        </w:tc>
        <w:tc>
          <w:tcPr>
            <w:tcW w:w="924" w:type="dxa"/>
            <w:vAlign w:val="center"/>
          </w:tcPr>
          <w:p w14:paraId="2C6954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暂不涉及</w:t>
            </w:r>
          </w:p>
        </w:tc>
        <w:tc>
          <w:tcPr>
            <w:tcW w:w="750" w:type="dxa"/>
            <w:vAlign w:val="center"/>
          </w:tcPr>
          <w:p w14:paraId="3F9DAC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w:t>
            </w:r>
          </w:p>
        </w:tc>
        <w:tc>
          <w:tcPr>
            <w:tcW w:w="853" w:type="dxa"/>
            <w:vAlign w:val="center"/>
          </w:tcPr>
          <w:p w14:paraId="197814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01" w:type="dxa"/>
            <w:vAlign w:val="center"/>
          </w:tcPr>
          <w:p w14:paraId="6756FE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5F42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58" w:type="dxa"/>
            <w:vAlign w:val="center"/>
          </w:tcPr>
          <w:p w14:paraId="1D0F44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9</w:t>
            </w:r>
          </w:p>
        </w:tc>
        <w:tc>
          <w:tcPr>
            <w:tcW w:w="2498" w:type="dxa"/>
            <w:vAlign w:val="center"/>
          </w:tcPr>
          <w:p w14:paraId="0F01D5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矿山应制定针对边坡滑塌事故的应急预案。</w:t>
            </w:r>
          </w:p>
        </w:tc>
        <w:tc>
          <w:tcPr>
            <w:tcW w:w="1537" w:type="dxa"/>
            <w:vAlign w:val="center"/>
          </w:tcPr>
          <w:p w14:paraId="60C0717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GB16423-2020</w:t>
            </w:r>
          </w:p>
          <w:p w14:paraId="47A571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5.2.4.7</w:t>
            </w:r>
          </w:p>
        </w:tc>
        <w:tc>
          <w:tcPr>
            <w:tcW w:w="1267" w:type="dxa"/>
            <w:vAlign w:val="center"/>
          </w:tcPr>
          <w:p w14:paraId="3404CEE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查看有关应急预案</w:t>
            </w:r>
          </w:p>
        </w:tc>
        <w:tc>
          <w:tcPr>
            <w:tcW w:w="924" w:type="dxa"/>
            <w:vAlign w:val="center"/>
          </w:tcPr>
          <w:p w14:paraId="06C13F8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符合规</w:t>
            </w:r>
          </w:p>
          <w:p w14:paraId="17FE0D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程要求</w:t>
            </w:r>
          </w:p>
        </w:tc>
        <w:tc>
          <w:tcPr>
            <w:tcW w:w="750" w:type="dxa"/>
            <w:vAlign w:val="center"/>
          </w:tcPr>
          <w:p w14:paraId="48A490C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853" w:type="dxa"/>
            <w:vAlign w:val="center"/>
          </w:tcPr>
          <w:p w14:paraId="3AA7C4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不符合不得分</w:t>
            </w:r>
          </w:p>
        </w:tc>
        <w:tc>
          <w:tcPr>
            <w:tcW w:w="501" w:type="dxa"/>
            <w:vAlign w:val="center"/>
          </w:tcPr>
          <w:p w14:paraId="16FBEC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r>
      <w:tr w14:paraId="3E2D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958" w:type="dxa"/>
            <w:shd w:val="clear" w:color="auto" w:fill="auto"/>
            <w:vAlign w:val="center"/>
          </w:tcPr>
          <w:p w14:paraId="08F4AEF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2498" w:type="dxa"/>
            <w:shd w:val="clear" w:color="auto" w:fill="auto"/>
            <w:vAlign w:val="center"/>
          </w:tcPr>
          <w:p w14:paraId="3E4296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537" w:type="dxa"/>
            <w:shd w:val="clear" w:color="auto" w:fill="auto"/>
            <w:vAlign w:val="center"/>
          </w:tcPr>
          <w:p w14:paraId="348946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1267" w:type="dxa"/>
            <w:shd w:val="clear" w:color="auto" w:fill="auto"/>
            <w:vAlign w:val="center"/>
          </w:tcPr>
          <w:p w14:paraId="51B5A9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924" w:type="dxa"/>
            <w:shd w:val="clear" w:color="auto" w:fill="auto"/>
            <w:vAlign w:val="center"/>
          </w:tcPr>
          <w:p w14:paraId="4484A2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50" w:type="dxa"/>
            <w:shd w:val="clear" w:color="auto" w:fill="auto"/>
            <w:vAlign w:val="center"/>
          </w:tcPr>
          <w:p w14:paraId="400C1A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30</w:t>
            </w:r>
          </w:p>
        </w:tc>
        <w:tc>
          <w:tcPr>
            <w:tcW w:w="853" w:type="dxa"/>
            <w:shd w:val="clear" w:color="auto" w:fill="auto"/>
            <w:vAlign w:val="center"/>
          </w:tcPr>
          <w:p w14:paraId="05B633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501" w:type="dxa"/>
            <w:shd w:val="clear" w:color="auto" w:fill="auto"/>
            <w:vAlign w:val="center"/>
          </w:tcPr>
          <w:p w14:paraId="266C35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25</w:t>
            </w:r>
          </w:p>
        </w:tc>
      </w:tr>
    </w:tbl>
    <w:p w14:paraId="27F43392">
      <w:pPr>
        <w:pStyle w:val="4"/>
        <w:bidi w:val="0"/>
        <w:rPr>
          <w:rFonts w:hint="default"/>
          <w:color w:val="auto"/>
          <w:lang w:val="en-US" w:eastAsia="zh-CN"/>
        </w:rPr>
      </w:pPr>
      <w:bookmarkStart w:id="327" w:name="_Toc17372"/>
      <w:bookmarkStart w:id="328" w:name="_Toc29026"/>
      <w:bookmarkStart w:id="329" w:name="_Toc28548"/>
      <w:bookmarkStart w:id="330" w:name="_Toc12640"/>
      <w:r>
        <w:rPr>
          <w:rFonts w:hint="default"/>
          <w:color w:val="auto"/>
          <w:lang w:val="en-US" w:eastAsia="zh-CN"/>
        </w:rPr>
        <w:t>5.</w:t>
      </w:r>
      <w:r>
        <w:rPr>
          <w:rFonts w:hint="eastAsia"/>
          <w:color w:val="auto"/>
          <w:lang w:val="en-US" w:eastAsia="zh-CN"/>
        </w:rPr>
        <w:t>3</w:t>
      </w:r>
      <w:r>
        <w:rPr>
          <w:rFonts w:hint="default"/>
          <w:color w:val="auto"/>
          <w:lang w:val="en-US" w:eastAsia="zh-CN"/>
        </w:rPr>
        <w:t>.2 评价小结</w:t>
      </w:r>
      <w:bookmarkEnd w:id="327"/>
      <w:bookmarkEnd w:id="328"/>
      <w:bookmarkEnd w:id="329"/>
      <w:bookmarkEnd w:id="330"/>
    </w:p>
    <w:p w14:paraId="135BFDE4">
      <w:pPr>
        <w:rPr>
          <w:rFonts w:hint="default"/>
          <w:color w:val="auto"/>
          <w:lang w:val="en-US" w:eastAsia="zh-CN"/>
        </w:rPr>
      </w:pPr>
      <w:r>
        <w:rPr>
          <w:rFonts w:hint="eastAsia"/>
          <w:color w:val="auto"/>
          <w:lang w:val="en-US" w:eastAsia="zh-CN"/>
        </w:rPr>
        <w:t>曹溪二矿</w:t>
      </w:r>
      <w:r>
        <w:rPr>
          <w:rFonts w:hint="default"/>
          <w:color w:val="auto"/>
          <w:lang w:val="en-US" w:eastAsia="zh-CN"/>
        </w:rPr>
        <w:t>边坡管理单元</w:t>
      </w:r>
      <w:r>
        <w:rPr>
          <w:rFonts w:hint="eastAsia"/>
          <w:color w:val="auto"/>
          <w:lang w:val="en-US" w:eastAsia="zh-CN"/>
        </w:rPr>
        <w:t>安全</w:t>
      </w:r>
      <w:r>
        <w:rPr>
          <w:rFonts w:hint="default"/>
          <w:color w:val="auto"/>
          <w:lang w:val="en-US" w:eastAsia="zh-CN"/>
        </w:rPr>
        <w:t>检查表中无否决项，一般项总分</w:t>
      </w:r>
      <w:r>
        <w:rPr>
          <w:rFonts w:hint="eastAsia"/>
          <w:color w:val="auto"/>
          <w:lang w:val="en-US" w:eastAsia="zh-CN"/>
        </w:rPr>
        <w:t>30</w:t>
      </w:r>
      <w:r>
        <w:rPr>
          <w:rFonts w:hint="default"/>
          <w:color w:val="auto"/>
          <w:lang w:val="en-US" w:eastAsia="zh-CN"/>
        </w:rPr>
        <w:t>分，</w:t>
      </w:r>
      <w:r>
        <w:rPr>
          <w:rFonts w:hint="eastAsia"/>
          <w:color w:val="auto"/>
          <w:lang w:val="en-US" w:eastAsia="zh-CN"/>
        </w:rPr>
        <w:t>得分25</w:t>
      </w:r>
      <w:r>
        <w:rPr>
          <w:rFonts w:hint="default"/>
          <w:color w:val="auto"/>
          <w:lang w:val="en-US" w:eastAsia="zh-CN"/>
        </w:rPr>
        <w:t>分，得分率为</w:t>
      </w:r>
      <w:r>
        <w:rPr>
          <w:rFonts w:hint="eastAsia"/>
          <w:color w:val="auto"/>
          <w:lang w:val="en-US" w:eastAsia="zh-CN"/>
        </w:rPr>
        <w:t>83.33</w:t>
      </w:r>
      <w:r>
        <w:rPr>
          <w:rFonts w:hint="default"/>
          <w:color w:val="auto"/>
          <w:lang w:val="en-US" w:eastAsia="zh-CN"/>
        </w:rPr>
        <w:t>%，说明</w:t>
      </w:r>
      <w:r>
        <w:rPr>
          <w:rFonts w:hint="eastAsia"/>
          <w:color w:val="auto"/>
          <w:lang w:val="en-US" w:eastAsia="zh-CN"/>
        </w:rPr>
        <w:t>曹溪二矿</w:t>
      </w:r>
      <w:r>
        <w:rPr>
          <w:rFonts w:hint="default"/>
          <w:color w:val="auto"/>
          <w:lang w:val="en-US" w:eastAsia="zh-CN"/>
        </w:rPr>
        <w:t>采场单元具备安全生产条件。</w:t>
      </w:r>
    </w:p>
    <w:p w14:paraId="467111DF">
      <w:pPr>
        <w:rPr>
          <w:rFonts w:hint="default"/>
          <w:color w:val="auto"/>
          <w:lang w:val="en-US" w:eastAsia="zh-CN"/>
        </w:rPr>
      </w:pPr>
      <w:r>
        <w:rPr>
          <w:rFonts w:hint="eastAsia"/>
          <w:color w:val="auto"/>
          <w:lang w:val="en-US" w:eastAsia="zh-CN"/>
        </w:rPr>
        <w:t>存在的主要问题：1）未见边坡检查记录。</w:t>
      </w:r>
    </w:p>
    <w:p w14:paraId="5A4EC953">
      <w:pPr>
        <w:pStyle w:val="3"/>
        <w:bidi w:val="0"/>
        <w:rPr>
          <w:rFonts w:hint="eastAsia"/>
          <w:color w:val="auto"/>
          <w:lang w:val="en-US" w:eastAsia="zh-CN"/>
        </w:rPr>
      </w:pPr>
      <w:bookmarkStart w:id="331" w:name="_Toc2849"/>
      <w:bookmarkStart w:id="332" w:name="_Toc23527"/>
      <w:bookmarkStart w:id="333" w:name="_Toc23888"/>
      <w:bookmarkStart w:id="334" w:name="_Toc31829"/>
      <w:r>
        <w:rPr>
          <w:rFonts w:hint="eastAsia"/>
          <w:color w:val="auto"/>
          <w:lang w:val="en-US" w:eastAsia="zh-CN"/>
        </w:rPr>
        <w:t>5.4 供配电设施单元</w:t>
      </w:r>
      <w:bookmarkEnd w:id="331"/>
      <w:bookmarkEnd w:id="332"/>
      <w:bookmarkEnd w:id="333"/>
      <w:bookmarkEnd w:id="334"/>
    </w:p>
    <w:p w14:paraId="32FC63CF">
      <w:pPr>
        <w:pStyle w:val="4"/>
        <w:bidi w:val="0"/>
        <w:rPr>
          <w:rFonts w:hint="default"/>
          <w:color w:val="auto"/>
          <w:lang w:val="en-US" w:eastAsia="zh-CN"/>
        </w:rPr>
      </w:pPr>
      <w:bookmarkStart w:id="335" w:name="_Toc8052"/>
      <w:bookmarkStart w:id="336" w:name="_Toc9211"/>
      <w:bookmarkStart w:id="337" w:name="_Toc31491"/>
      <w:bookmarkStart w:id="338" w:name="_Toc28343"/>
      <w:r>
        <w:rPr>
          <w:rFonts w:hint="eastAsia"/>
          <w:color w:val="auto"/>
          <w:lang w:val="en-US" w:eastAsia="zh-CN"/>
        </w:rPr>
        <w:t>5.4.1 供配电设施安全检查表</w:t>
      </w:r>
      <w:bookmarkEnd w:id="335"/>
      <w:bookmarkEnd w:id="336"/>
      <w:bookmarkEnd w:id="337"/>
      <w:bookmarkEnd w:id="338"/>
    </w:p>
    <w:p w14:paraId="68E9E8B7">
      <w:pPr>
        <w:rPr>
          <w:rFonts w:hint="eastAsia"/>
          <w:color w:val="auto"/>
          <w:lang w:val="en-US" w:eastAsia="zh-CN"/>
        </w:rPr>
      </w:pPr>
      <w:r>
        <w:rPr>
          <w:rFonts w:hint="default"/>
          <w:color w:val="auto"/>
          <w:lang w:val="en-US" w:eastAsia="zh-CN"/>
        </w:rPr>
        <w:t>供配电设施</w:t>
      </w:r>
      <w:r>
        <w:rPr>
          <w:rFonts w:hint="eastAsia"/>
          <w:color w:val="auto"/>
          <w:lang w:val="en-US" w:eastAsia="zh-CN"/>
        </w:rPr>
        <w:t>安全检查表见表5.4-1。</w:t>
      </w:r>
    </w:p>
    <w:p w14:paraId="613A75A7">
      <w:pPr>
        <w:ind w:left="0" w:leftChars="0" w:firstLine="0" w:firstLineChars="0"/>
        <w:jc w:val="center"/>
        <w:rPr>
          <w:rFonts w:hint="eastAsia"/>
          <w:color w:val="auto"/>
          <w:lang w:val="en-US" w:eastAsia="zh-CN"/>
        </w:rPr>
      </w:pPr>
      <w:r>
        <w:rPr>
          <w:rFonts w:hint="eastAsia"/>
          <w:color w:val="auto"/>
          <w:lang w:val="en-US" w:eastAsia="zh-CN"/>
        </w:rPr>
        <w:t>表5.4-1 供配电设施安全检查表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3507"/>
        <w:gridCol w:w="1080"/>
        <w:gridCol w:w="840"/>
        <w:gridCol w:w="734"/>
        <w:gridCol w:w="727"/>
        <w:gridCol w:w="809"/>
        <w:gridCol w:w="633"/>
      </w:tblGrid>
      <w:tr w14:paraId="2140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Align w:val="center"/>
          </w:tcPr>
          <w:p w14:paraId="442EE2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3507" w:type="dxa"/>
            <w:vAlign w:val="center"/>
          </w:tcPr>
          <w:p w14:paraId="72B2D2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080" w:type="dxa"/>
            <w:vAlign w:val="center"/>
          </w:tcPr>
          <w:p w14:paraId="309FD5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840" w:type="dxa"/>
            <w:vAlign w:val="center"/>
          </w:tcPr>
          <w:p w14:paraId="4D9EE3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734" w:type="dxa"/>
            <w:vAlign w:val="center"/>
          </w:tcPr>
          <w:p w14:paraId="661E2A1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5FB1F9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727" w:type="dxa"/>
            <w:vAlign w:val="center"/>
          </w:tcPr>
          <w:p w14:paraId="094EFE5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771647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809" w:type="dxa"/>
            <w:vAlign w:val="center"/>
          </w:tcPr>
          <w:p w14:paraId="43E4D7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7CBC08B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633" w:type="dxa"/>
            <w:vAlign w:val="center"/>
          </w:tcPr>
          <w:p w14:paraId="2175DA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309E3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restart"/>
            <w:vAlign w:val="center"/>
          </w:tcPr>
          <w:p w14:paraId="304505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 电源电压及供电系统</w:t>
            </w:r>
          </w:p>
        </w:tc>
        <w:tc>
          <w:tcPr>
            <w:tcW w:w="3507" w:type="dxa"/>
            <w:vAlign w:val="center"/>
          </w:tcPr>
          <w:p w14:paraId="2C8F677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 矿山企业电源的供电电压宜采用10kV~110kV。</w:t>
            </w:r>
          </w:p>
        </w:tc>
        <w:tc>
          <w:tcPr>
            <w:tcW w:w="1080" w:type="dxa"/>
            <w:vAlign w:val="center"/>
          </w:tcPr>
          <w:p w14:paraId="304E9C6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3C2E3070">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3.0.5</w:t>
            </w:r>
          </w:p>
        </w:tc>
        <w:tc>
          <w:tcPr>
            <w:tcW w:w="840" w:type="dxa"/>
            <w:vAlign w:val="center"/>
          </w:tcPr>
          <w:p w14:paraId="1A3DABC4">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474F74D3">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597F5BA9">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16957EA4">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9F8194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04BB841C">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164D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2D1076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49332E88">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1.2 采矿场和排废场低压电力网的配电电压可采用380/660V或220/380V，手持式电气设备的电压不得大于220V，照明电压宜采用220V或220/380V，行灯电压不应大于36V。</w:t>
            </w:r>
          </w:p>
        </w:tc>
        <w:tc>
          <w:tcPr>
            <w:tcW w:w="1080" w:type="dxa"/>
            <w:vAlign w:val="center"/>
          </w:tcPr>
          <w:p w14:paraId="280B6C7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64ECEA7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5.0.13</w:t>
            </w:r>
          </w:p>
        </w:tc>
        <w:tc>
          <w:tcPr>
            <w:tcW w:w="840" w:type="dxa"/>
            <w:vAlign w:val="center"/>
          </w:tcPr>
          <w:p w14:paraId="23C665C7">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71DADA88">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6E57E24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采矿场无需供电，不涉及</w:t>
            </w:r>
          </w:p>
        </w:tc>
        <w:tc>
          <w:tcPr>
            <w:tcW w:w="727" w:type="dxa"/>
            <w:vAlign w:val="center"/>
          </w:tcPr>
          <w:p w14:paraId="37C784D8">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09" w:type="dxa"/>
            <w:vAlign w:val="center"/>
          </w:tcPr>
          <w:p w14:paraId="22D5477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76713434">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68CC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7BD17F5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70B7FFD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1.3 矿山地面主变电所的主变压器台数，应符合下规定：</w:t>
            </w:r>
          </w:p>
          <w:p w14:paraId="44FD5A4D">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1、大、中型矿山宜采用2台以上；</w:t>
            </w:r>
          </w:p>
          <w:p w14:paraId="7F3A0A0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2、矿山一级负荷的两个电源均需经主变压器时，应采用2台变压器；</w:t>
            </w:r>
          </w:p>
          <w:p w14:paraId="581CFBC0">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3、主变压器为2台及以上时，若其中1台停止运行，其余变压器应至少保证一级负荷的供电；</w:t>
            </w:r>
          </w:p>
          <w:p w14:paraId="0C8DAD7C">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4、无一级负荷的小型矿山工程可采用1台。</w:t>
            </w:r>
          </w:p>
        </w:tc>
        <w:tc>
          <w:tcPr>
            <w:tcW w:w="1080" w:type="dxa"/>
            <w:vAlign w:val="center"/>
          </w:tcPr>
          <w:p w14:paraId="64753D7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6B0284A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5.6.1.2</w:t>
            </w:r>
          </w:p>
          <w:p w14:paraId="2BF810A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3CC4394B">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3.0.7</w:t>
            </w:r>
          </w:p>
        </w:tc>
        <w:tc>
          <w:tcPr>
            <w:tcW w:w="840" w:type="dxa"/>
            <w:vAlign w:val="center"/>
          </w:tcPr>
          <w:p w14:paraId="5B753CE3">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4AAAE26A">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37D4900E">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37DBD891">
            <w:pPr>
              <w:keepNext w:val="0"/>
              <w:keepLines w:val="0"/>
              <w:pageBreakBefore w:val="0"/>
              <w:widowControl w:val="0"/>
              <w:kinsoku/>
              <w:wordWrap/>
              <w:overflowPunct/>
              <w:topLinePunct w:val="0"/>
              <w:autoSpaceDE/>
              <w:autoSpaceDN/>
              <w:bidi w:val="0"/>
              <w:adjustRightInd/>
              <w:snapToGrid/>
              <w:spacing w:line="290" w:lineRule="exact"/>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809" w:type="dxa"/>
            <w:vAlign w:val="center"/>
          </w:tcPr>
          <w:p w14:paraId="6A89F692">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4CBF424C">
            <w:pPr>
              <w:keepNext w:val="0"/>
              <w:keepLines w:val="0"/>
              <w:pageBreakBefore w:val="0"/>
              <w:widowControl w:val="0"/>
              <w:kinsoku/>
              <w:wordWrap/>
              <w:overflowPunct/>
              <w:topLinePunct w:val="0"/>
              <w:autoSpaceDE/>
              <w:autoSpaceDN/>
              <w:bidi w:val="0"/>
              <w:adjustRightInd/>
              <w:snapToGrid/>
              <w:spacing w:line="290" w:lineRule="exact"/>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r>
      <w:tr w14:paraId="4EECD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23469A1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7911BA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1.4采矿场采用双回路供电时，每回路供电能力应均能供全负荷；采用三回路供电时，每个回路的供电能力不应小于全部负荷的50%。</w:t>
            </w:r>
          </w:p>
        </w:tc>
        <w:tc>
          <w:tcPr>
            <w:tcW w:w="1080" w:type="dxa"/>
            <w:vAlign w:val="center"/>
          </w:tcPr>
          <w:p w14:paraId="1E3EF8D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F938F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5.6.1.4</w:t>
            </w:r>
          </w:p>
          <w:p w14:paraId="776807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840" w:type="dxa"/>
            <w:vAlign w:val="center"/>
          </w:tcPr>
          <w:p w14:paraId="2A4C33B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1ECAA9E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70304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7D709C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57B0542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2D07EB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78BD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45F141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2F49E9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 露天采矿场的供电线路不宜少于两回路，两班生产的采矿场或小型采矿场可采用一回路；排废场的供电线路可采用一回路。</w:t>
            </w:r>
          </w:p>
        </w:tc>
        <w:tc>
          <w:tcPr>
            <w:tcW w:w="1080" w:type="dxa"/>
            <w:vAlign w:val="center"/>
          </w:tcPr>
          <w:p w14:paraId="2CE8FA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1401E0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5.0.1</w:t>
            </w:r>
          </w:p>
        </w:tc>
        <w:tc>
          <w:tcPr>
            <w:tcW w:w="840" w:type="dxa"/>
            <w:vAlign w:val="center"/>
          </w:tcPr>
          <w:p w14:paraId="70160B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3D8AE9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189693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009F5D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A9096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7D9CBA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8B4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35C219C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03FB15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1.6 当采用连续开采工艺时，移动式输送机的配电宜采用移动变电站或可移动的户外组合式配电装置。</w:t>
            </w:r>
          </w:p>
        </w:tc>
        <w:tc>
          <w:tcPr>
            <w:tcW w:w="1080" w:type="dxa"/>
            <w:vAlign w:val="center"/>
          </w:tcPr>
          <w:p w14:paraId="0E5CD7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557A47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5.0.3</w:t>
            </w:r>
          </w:p>
        </w:tc>
        <w:tc>
          <w:tcPr>
            <w:tcW w:w="840" w:type="dxa"/>
            <w:vAlign w:val="center"/>
          </w:tcPr>
          <w:p w14:paraId="54478A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4977A9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50FBAE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1F2A47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5AB2CD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5612D3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6459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506522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72A0AA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1.7 采矿场和排废场供电线路的架设方式宜符合下列规定：</w:t>
            </w:r>
          </w:p>
          <w:p w14:paraId="233FC0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1、沿采矿场边缘宜架设环形或半环形的供电线路；2、排废场可采用干线式供电线路；</w:t>
            </w:r>
          </w:p>
          <w:p w14:paraId="3A9AC34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3、固定式供电线路与采矿场最终边界之间的距离宜大于10m；</w:t>
            </w:r>
          </w:p>
          <w:p w14:paraId="37B45D3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4、当采矿场宽度较大且开采时间较长，架设在最终边界线以外不合理时，可架设在最终边界线以内。</w:t>
            </w:r>
          </w:p>
        </w:tc>
        <w:tc>
          <w:tcPr>
            <w:tcW w:w="1080" w:type="dxa"/>
            <w:vAlign w:val="center"/>
          </w:tcPr>
          <w:p w14:paraId="03E1D69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68E2B0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5.0.6</w:t>
            </w:r>
          </w:p>
        </w:tc>
        <w:tc>
          <w:tcPr>
            <w:tcW w:w="840" w:type="dxa"/>
            <w:vAlign w:val="center"/>
          </w:tcPr>
          <w:p w14:paraId="74884E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7F2D80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2D7FE4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w:t>
            </w:r>
          </w:p>
        </w:tc>
        <w:tc>
          <w:tcPr>
            <w:tcW w:w="809" w:type="dxa"/>
            <w:vAlign w:val="center"/>
          </w:tcPr>
          <w:p w14:paraId="587654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12ABD8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3192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220850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2450FB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1.8 采矿场内的架空线路宜采用钢芯铝绞线，其截面积不应小于35mm</w:t>
            </w:r>
            <w:r>
              <w:rPr>
                <w:rFonts w:hint="default"/>
                <w:color w:val="auto"/>
                <w:sz w:val="21"/>
                <w:szCs w:val="21"/>
                <w:vertAlign w:val="superscript"/>
                <w:lang w:val="en-US" w:eastAsia="zh-CN"/>
              </w:rPr>
              <w:t>2</w:t>
            </w:r>
            <w:r>
              <w:rPr>
                <w:rFonts w:hint="default"/>
                <w:color w:val="auto"/>
                <w:sz w:val="21"/>
                <w:szCs w:val="21"/>
                <w:vertAlign w:val="baseline"/>
                <w:lang w:val="en-US" w:eastAsia="zh-CN"/>
              </w:rPr>
              <w:t>。排废除场的架空线路宜采用铝绞线。</w:t>
            </w:r>
          </w:p>
        </w:tc>
        <w:tc>
          <w:tcPr>
            <w:tcW w:w="1080" w:type="dxa"/>
            <w:vAlign w:val="center"/>
          </w:tcPr>
          <w:p w14:paraId="676D425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4802586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5.0.9</w:t>
            </w:r>
          </w:p>
        </w:tc>
        <w:tc>
          <w:tcPr>
            <w:tcW w:w="840" w:type="dxa"/>
            <w:vAlign w:val="center"/>
          </w:tcPr>
          <w:p w14:paraId="5CB794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5C0C55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3C79D2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03755B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1项不符合扣1分</w:t>
            </w:r>
          </w:p>
        </w:tc>
        <w:tc>
          <w:tcPr>
            <w:tcW w:w="633" w:type="dxa"/>
            <w:vAlign w:val="center"/>
          </w:tcPr>
          <w:p w14:paraId="74A22D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2D83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70C4DAC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4266D22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1.9 固定式高压架空电力线路不应架设在爆破作业区和未稳定的排土区内。</w:t>
            </w:r>
          </w:p>
        </w:tc>
        <w:tc>
          <w:tcPr>
            <w:tcW w:w="1080" w:type="dxa"/>
            <w:vAlign w:val="center"/>
          </w:tcPr>
          <w:p w14:paraId="21FDC90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88896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5.6.1.8</w:t>
            </w:r>
          </w:p>
          <w:p w14:paraId="139AAE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p>
        </w:tc>
        <w:tc>
          <w:tcPr>
            <w:tcW w:w="840" w:type="dxa"/>
            <w:vAlign w:val="center"/>
          </w:tcPr>
          <w:p w14:paraId="51CE5E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现场检查</w:t>
            </w:r>
          </w:p>
        </w:tc>
        <w:tc>
          <w:tcPr>
            <w:tcW w:w="734" w:type="dxa"/>
            <w:vAlign w:val="center"/>
          </w:tcPr>
          <w:p w14:paraId="34288B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64FAC2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44270C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6ED6AE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2A09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62E3ED3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2F7910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1.10 移动式电气设备应使用矿用橡套软电缆。</w:t>
            </w:r>
          </w:p>
        </w:tc>
        <w:tc>
          <w:tcPr>
            <w:tcW w:w="1080" w:type="dxa"/>
            <w:vAlign w:val="center"/>
          </w:tcPr>
          <w:p w14:paraId="5A6DCBE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4D1D284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5.6.1.9</w:t>
            </w:r>
          </w:p>
        </w:tc>
        <w:tc>
          <w:tcPr>
            <w:tcW w:w="840" w:type="dxa"/>
            <w:vAlign w:val="center"/>
          </w:tcPr>
          <w:p w14:paraId="51547C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现场检查</w:t>
            </w:r>
          </w:p>
        </w:tc>
        <w:tc>
          <w:tcPr>
            <w:tcW w:w="734" w:type="dxa"/>
            <w:vAlign w:val="center"/>
          </w:tcPr>
          <w:p w14:paraId="575687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不涉及</w:t>
            </w:r>
          </w:p>
        </w:tc>
        <w:tc>
          <w:tcPr>
            <w:tcW w:w="727" w:type="dxa"/>
            <w:vAlign w:val="center"/>
          </w:tcPr>
          <w:p w14:paraId="7E1B5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D4576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7C25EC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387D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958" w:type="dxa"/>
            <w:vMerge w:val="restart"/>
            <w:vAlign w:val="center"/>
          </w:tcPr>
          <w:p w14:paraId="649BE20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 变配电室的安全设施</w:t>
            </w:r>
          </w:p>
        </w:tc>
        <w:tc>
          <w:tcPr>
            <w:tcW w:w="3507" w:type="dxa"/>
            <w:vAlign w:val="center"/>
          </w:tcPr>
          <w:p w14:paraId="1DF28F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r>
              <w:rPr>
                <w:rFonts w:hint="default"/>
                <w:color w:val="auto"/>
                <w:sz w:val="21"/>
                <w:szCs w:val="21"/>
                <w:vertAlign w:val="baseline"/>
                <w:lang w:val="en-US" w:eastAsia="zh-CN"/>
              </w:rPr>
              <w:t>.1 主变电所设置应符合下列规定：</w:t>
            </w:r>
          </w:p>
          <w:p w14:paraId="7C2A388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设置在爆破警戒线以外；距离准轨铁路不小于40m；远离污秽及火灾、爆炸危险环境和噪声、震动环境；避开断层、滑坡、沉陷区等不良地质地带以及受雪崩影响地带；地面标高应高于当地最高洪水位0.5m以上。</w:t>
            </w:r>
          </w:p>
        </w:tc>
        <w:tc>
          <w:tcPr>
            <w:tcW w:w="1080" w:type="dxa"/>
            <w:vAlign w:val="center"/>
          </w:tcPr>
          <w:p w14:paraId="59D6886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D4F38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5.6.1.1</w:t>
            </w:r>
          </w:p>
        </w:tc>
        <w:tc>
          <w:tcPr>
            <w:tcW w:w="840" w:type="dxa"/>
            <w:vAlign w:val="center"/>
          </w:tcPr>
          <w:p w14:paraId="705B0BF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67DF8F1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2E5D27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6D886B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7954FF9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5D9EC0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r>
      <w:tr w14:paraId="64C15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vAlign w:val="center"/>
          </w:tcPr>
          <w:p w14:paraId="7D2ECBD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3507" w:type="dxa"/>
            <w:vAlign w:val="center"/>
          </w:tcPr>
          <w:p w14:paraId="1877C4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r>
              <w:rPr>
                <w:rFonts w:hint="default"/>
                <w:color w:val="auto"/>
                <w:sz w:val="21"/>
                <w:szCs w:val="21"/>
                <w:vertAlign w:val="baseline"/>
                <w:lang w:val="en-US" w:eastAsia="zh-CN"/>
              </w:rPr>
              <w:t>.2 配电室的位置应靠近用电负荷中心，设置在尘埃少、腐蚀介质少、周围环境干燥和无剧烈震动的场所，并宜留有发展余地。</w:t>
            </w:r>
          </w:p>
        </w:tc>
        <w:tc>
          <w:tcPr>
            <w:tcW w:w="1080" w:type="dxa"/>
            <w:vAlign w:val="center"/>
          </w:tcPr>
          <w:p w14:paraId="5BFBB3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05E7338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4.1.1</w:t>
            </w:r>
          </w:p>
        </w:tc>
        <w:tc>
          <w:tcPr>
            <w:tcW w:w="840" w:type="dxa"/>
            <w:vAlign w:val="center"/>
          </w:tcPr>
          <w:p w14:paraId="5F1D035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6F8FC0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734" w:type="dxa"/>
            <w:vAlign w:val="center"/>
          </w:tcPr>
          <w:p w14:paraId="32F50C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符合</w:t>
            </w:r>
          </w:p>
        </w:tc>
        <w:tc>
          <w:tcPr>
            <w:tcW w:w="727" w:type="dxa"/>
            <w:vAlign w:val="center"/>
          </w:tcPr>
          <w:p w14:paraId="729BA6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c>
          <w:tcPr>
            <w:tcW w:w="809" w:type="dxa"/>
            <w:vAlign w:val="center"/>
          </w:tcPr>
          <w:p w14:paraId="3C6E8A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633" w:type="dxa"/>
            <w:vAlign w:val="center"/>
          </w:tcPr>
          <w:p w14:paraId="546BB5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2</w:t>
            </w:r>
          </w:p>
        </w:tc>
      </w:tr>
      <w:tr w14:paraId="65932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58" w:type="dxa"/>
            <w:vMerge w:val="continue"/>
            <w:shd w:val="clear" w:color="auto" w:fill="auto"/>
            <w:vAlign w:val="center"/>
          </w:tcPr>
          <w:p w14:paraId="402113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1245B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.3 配电室屋顶承重构件的耐火等级不应低于二级，其他部分不应低于三级。当配电室与其他场所毗邻时，门的耐火等级应按两者中耐火等级高的确定。</w:t>
            </w:r>
          </w:p>
        </w:tc>
        <w:tc>
          <w:tcPr>
            <w:tcW w:w="1080" w:type="dxa"/>
            <w:shd w:val="clear" w:color="auto" w:fill="auto"/>
            <w:vAlign w:val="center"/>
          </w:tcPr>
          <w:p w14:paraId="254069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6CFF57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4.3.1</w:t>
            </w:r>
          </w:p>
        </w:tc>
        <w:tc>
          <w:tcPr>
            <w:tcW w:w="840" w:type="dxa"/>
            <w:shd w:val="clear" w:color="auto" w:fill="auto"/>
            <w:vAlign w:val="center"/>
          </w:tcPr>
          <w:p w14:paraId="79C5B3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5B0808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检查现场</w:t>
            </w:r>
          </w:p>
        </w:tc>
        <w:tc>
          <w:tcPr>
            <w:tcW w:w="734" w:type="dxa"/>
            <w:shd w:val="clear" w:color="auto" w:fill="auto"/>
            <w:vAlign w:val="center"/>
          </w:tcPr>
          <w:p w14:paraId="58252FD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246F21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00B562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6C3F8C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6CA3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0BDA84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11D54AC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.4 配电室长度超过7m时，应设2个出口，并宜布置在配电室两端。当配电室双层布置时，楼上配电室的出口应至少设一个通向该层走廊或室外的安全出口。配电室的门均应向外开启，但通向高压配电室的门应为双向开启门。</w:t>
            </w:r>
          </w:p>
        </w:tc>
        <w:tc>
          <w:tcPr>
            <w:tcW w:w="1080" w:type="dxa"/>
            <w:shd w:val="clear" w:color="auto" w:fill="auto"/>
            <w:vAlign w:val="center"/>
          </w:tcPr>
          <w:p w14:paraId="48AA97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3985C4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4.3.2</w:t>
            </w:r>
          </w:p>
        </w:tc>
        <w:tc>
          <w:tcPr>
            <w:tcW w:w="840" w:type="dxa"/>
            <w:shd w:val="clear" w:color="auto" w:fill="auto"/>
            <w:vAlign w:val="center"/>
          </w:tcPr>
          <w:p w14:paraId="0BCE23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28143D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2296B8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6B5E99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02EAF9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6FF01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5BB4D45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20AEC0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.5 配电室内的电缆沟，应采取防水盒排水措施。配电室的地面宜高出本层地面50mm或设置防水门槛。</w:t>
            </w:r>
          </w:p>
        </w:tc>
        <w:tc>
          <w:tcPr>
            <w:tcW w:w="1080" w:type="dxa"/>
            <w:shd w:val="clear" w:color="auto" w:fill="auto"/>
            <w:vAlign w:val="center"/>
          </w:tcPr>
          <w:p w14:paraId="54581DD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79442A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4.3.4</w:t>
            </w:r>
          </w:p>
        </w:tc>
        <w:tc>
          <w:tcPr>
            <w:tcW w:w="840" w:type="dxa"/>
            <w:shd w:val="clear" w:color="auto" w:fill="auto"/>
            <w:vAlign w:val="center"/>
          </w:tcPr>
          <w:p w14:paraId="083D1F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4270CDB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0BA4C0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2FC929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0CC5E3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7475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2005CD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107A4FD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r>
              <w:rPr>
                <w:rFonts w:hint="default" w:ascii="Times New Roman" w:hAnsi="Times New Roman" w:eastAsia="宋体" w:cs="Times New Roman"/>
                <w:color w:val="auto"/>
                <w:kern w:val="2"/>
                <w:sz w:val="21"/>
                <w:szCs w:val="21"/>
                <w:vertAlign w:val="baseline"/>
                <w:lang w:val="en-US" w:eastAsia="zh-CN" w:bidi="ar-SA"/>
              </w:rPr>
              <w:t>.6 配电室的门、窗关闭应密合；与室外相通的洞、通风孔应设防止鼠、蛇类等小动物进入网罩。直接与室外露天相通的通风孔尚应采取防止雨雪飘入的措施。</w:t>
            </w:r>
          </w:p>
        </w:tc>
        <w:tc>
          <w:tcPr>
            <w:tcW w:w="1080" w:type="dxa"/>
            <w:shd w:val="clear" w:color="auto" w:fill="auto"/>
            <w:vAlign w:val="center"/>
          </w:tcPr>
          <w:p w14:paraId="2B8932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GB50054-2011</w:t>
            </w:r>
          </w:p>
          <w:p w14:paraId="739A38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4.3.7</w:t>
            </w:r>
          </w:p>
        </w:tc>
        <w:tc>
          <w:tcPr>
            <w:tcW w:w="840" w:type="dxa"/>
            <w:shd w:val="clear" w:color="auto" w:fill="auto"/>
            <w:vAlign w:val="center"/>
          </w:tcPr>
          <w:p w14:paraId="65A59F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448C2F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5691FB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443ABA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575689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2248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6CF859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06C98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3.7 露天矿户外安装的电气设备应采用户外型电气设备；室外配电装置的裸露导体应有安全防护，当电气设备外绝缘体最低部位距地小于2500mm时，应装设固定遮栏；高压设备周围应设置围栏；露天或半露天变电所的变压器四周应设高度不低于1.8m的固定围栏或围墙。</w:t>
            </w:r>
          </w:p>
        </w:tc>
        <w:tc>
          <w:tcPr>
            <w:tcW w:w="1080" w:type="dxa"/>
            <w:shd w:val="clear" w:color="auto" w:fill="auto"/>
            <w:vAlign w:val="center"/>
          </w:tcPr>
          <w:p w14:paraId="5294427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49684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5.6.1.7</w:t>
            </w:r>
          </w:p>
        </w:tc>
        <w:tc>
          <w:tcPr>
            <w:tcW w:w="840" w:type="dxa"/>
            <w:shd w:val="clear" w:color="auto" w:fill="auto"/>
            <w:vAlign w:val="center"/>
          </w:tcPr>
          <w:p w14:paraId="3CAC10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5897A7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5BB0B8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2D5A2E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不符合不得分，不完善扣1.5分</w:t>
            </w:r>
          </w:p>
        </w:tc>
        <w:tc>
          <w:tcPr>
            <w:tcW w:w="633" w:type="dxa"/>
            <w:shd w:val="clear" w:color="auto" w:fill="auto"/>
            <w:vAlign w:val="center"/>
          </w:tcPr>
          <w:p w14:paraId="024CBB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425B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restart"/>
            <w:shd w:val="clear" w:color="auto" w:fill="auto"/>
            <w:vAlign w:val="center"/>
          </w:tcPr>
          <w:p w14:paraId="2B2E2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 防雷与接地</w:t>
            </w:r>
          </w:p>
        </w:tc>
        <w:tc>
          <w:tcPr>
            <w:tcW w:w="3507" w:type="dxa"/>
            <w:shd w:val="clear" w:color="auto" w:fill="auto"/>
            <w:vAlign w:val="center"/>
          </w:tcPr>
          <w:p w14:paraId="0EF343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.1 露天采场、排土场的架空供电线路上设置开关设备时，应符合下列规定：1、环形或半环形线路的出口和联络处设置分段开关；</w:t>
            </w:r>
          </w:p>
          <w:p w14:paraId="7E55DE0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2、横跨线或纵架线与环形、半环形线或其它地面固定干线连接处设置开关；</w:t>
            </w:r>
          </w:p>
          <w:p w14:paraId="57A055D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3、高压电气设备或移动式变电站与横跨线或纵架线连接处设置开头；</w:t>
            </w:r>
          </w:p>
          <w:p w14:paraId="775894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4、移动式高压电力设备的供电线路设置具有单相接地保护的开关设备。</w:t>
            </w:r>
          </w:p>
        </w:tc>
        <w:tc>
          <w:tcPr>
            <w:tcW w:w="1080" w:type="dxa"/>
            <w:shd w:val="clear" w:color="auto" w:fill="auto"/>
            <w:vAlign w:val="center"/>
          </w:tcPr>
          <w:p w14:paraId="00825A2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73DFC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5.6.1.6</w:t>
            </w:r>
          </w:p>
        </w:tc>
        <w:tc>
          <w:tcPr>
            <w:tcW w:w="840" w:type="dxa"/>
            <w:shd w:val="clear" w:color="auto" w:fill="auto"/>
            <w:vAlign w:val="center"/>
          </w:tcPr>
          <w:p w14:paraId="60BBA1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17AA4C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12FB70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809" w:type="dxa"/>
            <w:shd w:val="clear" w:color="auto" w:fill="auto"/>
            <w:vAlign w:val="center"/>
          </w:tcPr>
          <w:p w14:paraId="2E959B4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1项不符合扣1分</w:t>
            </w:r>
          </w:p>
        </w:tc>
        <w:tc>
          <w:tcPr>
            <w:tcW w:w="633" w:type="dxa"/>
            <w:shd w:val="clear" w:color="auto" w:fill="auto"/>
            <w:vAlign w:val="center"/>
          </w:tcPr>
          <w:p w14:paraId="27CDE3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4523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4E069D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597507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.2 采场架空线路的下列位置应装设避雷装置：</w:t>
            </w:r>
          </w:p>
          <w:p w14:paraId="1AE4FA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1、采场供电线路或纵架线的连接处；</w:t>
            </w:r>
          </w:p>
          <w:p w14:paraId="3A2802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2、多雷地区的高压设备进线电缆与横跨线或纵架线的连接处；</w:t>
            </w:r>
          </w:p>
          <w:p w14:paraId="7CCCE1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3、排土场高压设备进线电缆与架空线的连接处。</w:t>
            </w:r>
          </w:p>
        </w:tc>
        <w:tc>
          <w:tcPr>
            <w:tcW w:w="1080" w:type="dxa"/>
            <w:shd w:val="clear" w:color="auto" w:fill="auto"/>
            <w:vAlign w:val="center"/>
          </w:tcPr>
          <w:p w14:paraId="22279F4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AE1DD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5.6.4.1</w:t>
            </w:r>
          </w:p>
        </w:tc>
        <w:tc>
          <w:tcPr>
            <w:tcW w:w="840" w:type="dxa"/>
            <w:shd w:val="clear" w:color="auto" w:fill="auto"/>
            <w:vAlign w:val="center"/>
          </w:tcPr>
          <w:p w14:paraId="2A39CC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7C34C7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c>
          <w:tcPr>
            <w:tcW w:w="727" w:type="dxa"/>
            <w:shd w:val="clear" w:color="auto" w:fill="auto"/>
            <w:vAlign w:val="center"/>
          </w:tcPr>
          <w:p w14:paraId="15A6C46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p>
        </w:tc>
        <w:tc>
          <w:tcPr>
            <w:tcW w:w="809" w:type="dxa"/>
            <w:shd w:val="clear" w:color="auto" w:fill="auto"/>
            <w:vAlign w:val="center"/>
          </w:tcPr>
          <w:p w14:paraId="3C4327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1项不符合扣1分</w:t>
            </w:r>
          </w:p>
        </w:tc>
        <w:tc>
          <w:tcPr>
            <w:tcW w:w="633" w:type="dxa"/>
            <w:shd w:val="clear" w:color="auto" w:fill="auto"/>
            <w:vAlign w:val="center"/>
          </w:tcPr>
          <w:p w14:paraId="09D3DF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w:t>
            </w:r>
          </w:p>
        </w:tc>
      </w:tr>
      <w:tr w14:paraId="1C2C9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5CC6242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57B7AF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.3 地面牵引网的下列位置应装设避雷装置：</w:t>
            </w:r>
          </w:p>
          <w:p w14:paraId="7398A4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1、馈电线与接触线连接处；</w:t>
            </w:r>
          </w:p>
          <w:p w14:paraId="7596AD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2、机车进口处；</w:t>
            </w:r>
          </w:p>
          <w:p w14:paraId="3F4DAD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3、运输平硐口；</w:t>
            </w:r>
          </w:p>
          <w:p w14:paraId="05D1E2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4、线路上每个独立区段内。</w:t>
            </w:r>
          </w:p>
        </w:tc>
        <w:tc>
          <w:tcPr>
            <w:tcW w:w="1080" w:type="dxa"/>
            <w:shd w:val="clear" w:color="auto" w:fill="auto"/>
            <w:vAlign w:val="center"/>
          </w:tcPr>
          <w:p w14:paraId="7D2FEBB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780D4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5.6.4.2</w:t>
            </w:r>
          </w:p>
        </w:tc>
        <w:tc>
          <w:tcPr>
            <w:tcW w:w="840" w:type="dxa"/>
            <w:shd w:val="clear" w:color="auto" w:fill="auto"/>
            <w:vAlign w:val="center"/>
          </w:tcPr>
          <w:p w14:paraId="4D8694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01AD60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1AAB66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c>
          <w:tcPr>
            <w:tcW w:w="809" w:type="dxa"/>
            <w:shd w:val="clear" w:color="auto" w:fill="auto"/>
            <w:vAlign w:val="center"/>
          </w:tcPr>
          <w:p w14:paraId="301097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1项不符合扣1分</w:t>
            </w:r>
          </w:p>
        </w:tc>
        <w:tc>
          <w:tcPr>
            <w:tcW w:w="633" w:type="dxa"/>
            <w:shd w:val="clear" w:color="auto" w:fill="auto"/>
            <w:vAlign w:val="center"/>
          </w:tcPr>
          <w:p w14:paraId="355062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4</w:t>
            </w:r>
          </w:p>
        </w:tc>
      </w:tr>
      <w:tr w14:paraId="576A8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6194CB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284877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3.4 地面直流牵引变电所母线上应装设直流避雷装置；750V及以上或多雷地区的地面牵引变电所，应在每回出线装设直流避雷装置。</w:t>
            </w:r>
          </w:p>
        </w:tc>
        <w:tc>
          <w:tcPr>
            <w:tcW w:w="1080" w:type="dxa"/>
            <w:shd w:val="clear" w:color="auto" w:fill="auto"/>
            <w:vAlign w:val="center"/>
          </w:tcPr>
          <w:p w14:paraId="246449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225539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5.6.4.3</w:t>
            </w:r>
          </w:p>
        </w:tc>
        <w:tc>
          <w:tcPr>
            <w:tcW w:w="840" w:type="dxa"/>
            <w:shd w:val="clear" w:color="auto" w:fill="auto"/>
            <w:vAlign w:val="center"/>
          </w:tcPr>
          <w:p w14:paraId="4ACCB29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现场检查</w:t>
            </w:r>
          </w:p>
        </w:tc>
        <w:tc>
          <w:tcPr>
            <w:tcW w:w="734" w:type="dxa"/>
            <w:shd w:val="clear" w:color="auto" w:fill="auto"/>
            <w:vAlign w:val="center"/>
          </w:tcPr>
          <w:p w14:paraId="4BE938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符合</w:t>
            </w:r>
          </w:p>
        </w:tc>
        <w:tc>
          <w:tcPr>
            <w:tcW w:w="727" w:type="dxa"/>
            <w:shd w:val="clear" w:color="auto" w:fill="auto"/>
            <w:vAlign w:val="center"/>
          </w:tcPr>
          <w:p w14:paraId="0876390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c>
          <w:tcPr>
            <w:tcW w:w="809" w:type="dxa"/>
            <w:shd w:val="clear" w:color="auto" w:fill="auto"/>
            <w:vAlign w:val="center"/>
          </w:tcPr>
          <w:p w14:paraId="093132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不符合</w:t>
            </w:r>
            <w:r>
              <w:rPr>
                <w:rFonts w:hint="eastAsia" w:cs="Times New Roman"/>
                <w:color w:val="auto"/>
                <w:kern w:val="2"/>
                <w:sz w:val="21"/>
                <w:szCs w:val="21"/>
                <w:vertAlign w:val="baseline"/>
                <w:lang w:val="en-US" w:eastAsia="zh-CN" w:bidi="ar-SA"/>
              </w:rPr>
              <w:t>不得分不完善扣1.5</w:t>
            </w:r>
          </w:p>
        </w:tc>
        <w:tc>
          <w:tcPr>
            <w:tcW w:w="633" w:type="dxa"/>
            <w:shd w:val="clear" w:color="auto" w:fill="auto"/>
            <w:vAlign w:val="center"/>
          </w:tcPr>
          <w:p w14:paraId="2B8FC9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3</w:t>
            </w:r>
          </w:p>
        </w:tc>
      </w:tr>
      <w:tr w14:paraId="0E3F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1FFC00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46DF3A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default" w:ascii="Times New Roman" w:hAnsi="Times New Roman" w:eastAsia="宋体"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 xml:space="preserve"> 主接地极的设置应符合下列规定：</w:t>
            </w:r>
          </w:p>
          <w:p w14:paraId="25E61E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1、采矿场的主接地极不应少于2组，排废场主接地极可设1组；</w:t>
            </w:r>
          </w:p>
          <w:p w14:paraId="396551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2、主接地极宜设在供电线路附近或其他土壤电阻率低的地方；</w:t>
            </w:r>
          </w:p>
          <w:p w14:paraId="5BD21A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3、有2组及以上主接地极时，当任一组主接地断开后，在架空接地线上任一点所测得的对地电阻值不应大于4Ω</w:t>
            </w:r>
            <w:r>
              <w:rPr>
                <w:rFonts w:hint="eastAsia"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移动式设备与架空接地线之间的接地线电阻值不应大于1Ω。</w:t>
            </w:r>
          </w:p>
        </w:tc>
        <w:tc>
          <w:tcPr>
            <w:tcW w:w="1080" w:type="dxa"/>
            <w:shd w:val="clear" w:color="auto" w:fill="auto"/>
            <w:vAlign w:val="center"/>
          </w:tcPr>
          <w:p w14:paraId="1DD312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3947B0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5.0.14</w:t>
            </w:r>
          </w:p>
        </w:tc>
        <w:tc>
          <w:tcPr>
            <w:tcW w:w="840" w:type="dxa"/>
            <w:shd w:val="clear" w:color="auto" w:fill="auto"/>
            <w:vAlign w:val="center"/>
          </w:tcPr>
          <w:p w14:paraId="44F6E8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查看资料，生产现场</w:t>
            </w:r>
          </w:p>
        </w:tc>
        <w:tc>
          <w:tcPr>
            <w:tcW w:w="734" w:type="dxa"/>
            <w:shd w:val="clear" w:color="auto" w:fill="auto"/>
            <w:vAlign w:val="center"/>
          </w:tcPr>
          <w:p w14:paraId="78AF423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暂不涉及</w:t>
            </w:r>
          </w:p>
        </w:tc>
        <w:tc>
          <w:tcPr>
            <w:tcW w:w="727" w:type="dxa"/>
            <w:shd w:val="clear" w:color="auto" w:fill="auto"/>
            <w:vAlign w:val="center"/>
          </w:tcPr>
          <w:p w14:paraId="23759B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6</w:t>
            </w:r>
          </w:p>
        </w:tc>
        <w:tc>
          <w:tcPr>
            <w:tcW w:w="809" w:type="dxa"/>
            <w:shd w:val="clear" w:color="auto" w:fill="auto"/>
            <w:vAlign w:val="center"/>
          </w:tcPr>
          <w:p w14:paraId="4601B8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1项不符合扣2分</w:t>
            </w:r>
          </w:p>
        </w:tc>
        <w:tc>
          <w:tcPr>
            <w:tcW w:w="633" w:type="dxa"/>
            <w:shd w:val="clear" w:color="auto" w:fill="auto"/>
            <w:vAlign w:val="center"/>
          </w:tcPr>
          <w:p w14:paraId="1B3DD5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w:t>
            </w:r>
          </w:p>
        </w:tc>
      </w:tr>
      <w:tr w14:paraId="43E2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7805C0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53D03C7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w:t>
            </w:r>
            <w:r>
              <w:rPr>
                <w:rFonts w:hint="eastAsia" w:ascii="Times New Roman" w:hAnsi="Times New Roman" w:eastAsia="宋体" w:cs="Times New Roman"/>
                <w:color w:val="auto"/>
                <w:kern w:val="2"/>
                <w:sz w:val="21"/>
                <w:szCs w:val="21"/>
                <w:vertAlign w:val="baseline"/>
                <w:lang w:val="en-US" w:eastAsia="zh-CN" w:bidi="ar-SA"/>
              </w:rPr>
              <w:t>.</w:t>
            </w:r>
            <w:r>
              <w:rPr>
                <w:rFonts w:hint="eastAsia" w:cs="Times New Roman"/>
                <w:color w:val="auto"/>
                <w:kern w:val="2"/>
                <w:sz w:val="21"/>
                <w:szCs w:val="21"/>
                <w:vertAlign w:val="baseline"/>
                <w:lang w:val="en-US" w:eastAsia="zh-CN" w:bidi="ar-SA"/>
              </w:rPr>
              <w:t>6</w:t>
            </w:r>
            <w:r>
              <w:rPr>
                <w:rFonts w:hint="eastAsia" w:ascii="Times New Roman" w:hAnsi="Times New Roman" w:eastAsia="宋体" w:cs="Times New Roman"/>
                <w:color w:val="auto"/>
                <w:kern w:val="2"/>
                <w:sz w:val="21"/>
                <w:szCs w:val="21"/>
                <w:vertAlign w:val="baseline"/>
                <w:lang w:val="en-US" w:eastAsia="zh-CN" w:bidi="ar-SA"/>
              </w:rPr>
              <w:t xml:space="preserve"> 接地电阻应每年测定1次，测定工作应在该地区最干燥、地下水位最低的季节进行。</w:t>
            </w:r>
          </w:p>
        </w:tc>
        <w:tc>
          <w:tcPr>
            <w:tcW w:w="1080" w:type="dxa"/>
            <w:shd w:val="clear" w:color="auto" w:fill="auto"/>
            <w:vAlign w:val="center"/>
          </w:tcPr>
          <w:p w14:paraId="6A42C2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676268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5.6.5.1</w:t>
            </w:r>
          </w:p>
        </w:tc>
        <w:tc>
          <w:tcPr>
            <w:tcW w:w="840" w:type="dxa"/>
            <w:shd w:val="clear" w:color="auto" w:fill="auto"/>
            <w:vAlign w:val="center"/>
          </w:tcPr>
          <w:p w14:paraId="1F6905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查阅检测报告</w:t>
            </w:r>
          </w:p>
        </w:tc>
        <w:tc>
          <w:tcPr>
            <w:tcW w:w="734" w:type="dxa"/>
            <w:shd w:val="clear" w:color="auto" w:fill="auto"/>
            <w:vAlign w:val="center"/>
          </w:tcPr>
          <w:p w14:paraId="301541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暂不涉及</w:t>
            </w:r>
          </w:p>
        </w:tc>
        <w:tc>
          <w:tcPr>
            <w:tcW w:w="727" w:type="dxa"/>
            <w:shd w:val="clear" w:color="auto" w:fill="auto"/>
            <w:vAlign w:val="center"/>
          </w:tcPr>
          <w:p w14:paraId="3B17B3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2</w:t>
            </w:r>
          </w:p>
        </w:tc>
        <w:tc>
          <w:tcPr>
            <w:tcW w:w="809" w:type="dxa"/>
            <w:shd w:val="clear" w:color="auto" w:fill="auto"/>
            <w:vAlign w:val="center"/>
          </w:tcPr>
          <w:p w14:paraId="3B04D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未检测不得分</w:t>
            </w:r>
          </w:p>
        </w:tc>
        <w:tc>
          <w:tcPr>
            <w:tcW w:w="633" w:type="dxa"/>
            <w:shd w:val="clear" w:color="auto" w:fill="auto"/>
            <w:vAlign w:val="center"/>
          </w:tcPr>
          <w:p w14:paraId="5264BD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w:t>
            </w:r>
          </w:p>
        </w:tc>
      </w:tr>
      <w:tr w14:paraId="4094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restart"/>
            <w:shd w:val="clear" w:color="auto" w:fill="auto"/>
            <w:vAlign w:val="center"/>
          </w:tcPr>
          <w:p w14:paraId="031E17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 照明</w:t>
            </w:r>
          </w:p>
        </w:tc>
        <w:tc>
          <w:tcPr>
            <w:tcW w:w="3507" w:type="dxa"/>
            <w:shd w:val="clear" w:color="auto" w:fill="auto"/>
            <w:vAlign w:val="center"/>
          </w:tcPr>
          <w:p w14:paraId="70BB5B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.1 夜间工作的采矿场和排废场，在下列地点应设置照明</w:t>
            </w:r>
            <w:r>
              <w:rPr>
                <w:rFonts w:hint="eastAsia" w:cs="Times New Roman"/>
                <w:color w:val="auto"/>
                <w:kern w:val="2"/>
                <w:sz w:val="21"/>
                <w:szCs w:val="21"/>
                <w:vertAlign w:val="baseline"/>
                <w:lang w:val="en-US" w:eastAsia="zh-CN" w:bidi="ar-SA"/>
              </w:rPr>
              <w:t>：</w:t>
            </w:r>
          </w:p>
          <w:p w14:paraId="10D7AA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1、凿岩机、移动式或固定式空气压缩机和水泵的工作地点；</w:t>
            </w:r>
          </w:p>
          <w:p w14:paraId="1E6A895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2、斜坡卷扬机道、人行梯和人行道；</w:t>
            </w:r>
          </w:p>
          <w:p w14:paraId="40A5AA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3、汽车运输的装卸车处、人工装卸车地点的排废场、卸车线；</w:t>
            </w:r>
          </w:p>
          <w:p w14:paraId="2A60BA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4、调车站、会让站。</w:t>
            </w:r>
          </w:p>
        </w:tc>
        <w:tc>
          <w:tcPr>
            <w:tcW w:w="1080" w:type="dxa"/>
            <w:shd w:val="clear" w:color="auto" w:fill="auto"/>
            <w:vAlign w:val="center"/>
          </w:tcPr>
          <w:p w14:paraId="4E61BA7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GB50070-2020</w:t>
            </w:r>
          </w:p>
          <w:p w14:paraId="230D6C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5.0.20</w:t>
            </w:r>
          </w:p>
        </w:tc>
        <w:tc>
          <w:tcPr>
            <w:tcW w:w="840" w:type="dxa"/>
            <w:shd w:val="clear" w:color="auto" w:fill="auto"/>
            <w:vAlign w:val="center"/>
          </w:tcPr>
          <w:p w14:paraId="6D4550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查看资料、生产现场</w:t>
            </w:r>
          </w:p>
        </w:tc>
        <w:tc>
          <w:tcPr>
            <w:tcW w:w="734" w:type="dxa"/>
            <w:shd w:val="clear" w:color="auto" w:fill="auto"/>
            <w:vAlign w:val="center"/>
          </w:tcPr>
          <w:p w14:paraId="481B34F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设有太阳能照明灯具</w:t>
            </w:r>
          </w:p>
        </w:tc>
        <w:tc>
          <w:tcPr>
            <w:tcW w:w="727" w:type="dxa"/>
            <w:shd w:val="clear" w:color="auto" w:fill="auto"/>
            <w:vAlign w:val="center"/>
          </w:tcPr>
          <w:p w14:paraId="0AFA0C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c>
          <w:tcPr>
            <w:tcW w:w="809" w:type="dxa"/>
            <w:shd w:val="clear" w:color="auto" w:fill="auto"/>
            <w:vAlign w:val="center"/>
          </w:tcPr>
          <w:p w14:paraId="139D1E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1项不符合扣2分</w:t>
            </w:r>
          </w:p>
        </w:tc>
        <w:tc>
          <w:tcPr>
            <w:tcW w:w="633" w:type="dxa"/>
            <w:shd w:val="clear" w:color="auto" w:fill="auto"/>
            <w:vAlign w:val="center"/>
          </w:tcPr>
          <w:p w14:paraId="48FB0E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8</w:t>
            </w:r>
          </w:p>
        </w:tc>
      </w:tr>
      <w:tr w14:paraId="7EDD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0492C0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5881919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.2 照明电压应符合下列规定：</w:t>
            </w:r>
          </w:p>
          <w:p w14:paraId="441DF5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1、固定式照明灯具，不高于220V；</w:t>
            </w:r>
          </w:p>
          <w:p w14:paraId="17095F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2、行灯或移动式灯具，不高于36V，并经安全隔离变压器供电；</w:t>
            </w:r>
          </w:p>
          <w:p w14:paraId="52614DA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3、在金属容器内或潮湿地点作业时，不高于12V。</w:t>
            </w:r>
          </w:p>
        </w:tc>
        <w:tc>
          <w:tcPr>
            <w:tcW w:w="1080" w:type="dxa"/>
            <w:shd w:val="clear" w:color="auto" w:fill="auto"/>
            <w:vAlign w:val="center"/>
          </w:tcPr>
          <w:p w14:paraId="4AFF8E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214C60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5.6.3.2</w:t>
            </w:r>
          </w:p>
        </w:tc>
        <w:tc>
          <w:tcPr>
            <w:tcW w:w="840" w:type="dxa"/>
            <w:shd w:val="clear" w:color="auto" w:fill="auto"/>
            <w:vAlign w:val="center"/>
          </w:tcPr>
          <w:p w14:paraId="0E09F2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7A6247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5E8CBCC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09" w:type="dxa"/>
            <w:shd w:val="clear" w:color="auto" w:fill="auto"/>
            <w:vAlign w:val="center"/>
          </w:tcPr>
          <w:p w14:paraId="5892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1项不符合扣2分</w:t>
            </w:r>
          </w:p>
        </w:tc>
        <w:tc>
          <w:tcPr>
            <w:tcW w:w="633" w:type="dxa"/>
            <w:shd w:val="clear" w:color="auto" w:fill="auto"/>
            <w:vAlign w:val="center"/>
          </w:tcPr>
          <w:p w14:paraId="559453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48E9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0" w:hRule="atLeast"/>
          <w:jc w:val="center"/>
        </w:trPr>
        <w:tc>
          <w:tcPr>
            <w:tcW w:w="958" w:type="dxa"/>
            <w:vMerge w:val="continue"/>
            <w:shd w:val="clear" w:color="auto" w:fill="auto"/>
            <w:vAlign w:val="center"/>
          </w:tcPr>
          <w:p w14:paraId="2B4879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4A3764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.3 下列场所应设置应急照明：</w:t>
            </w:r>
          </w:p>
          <w:p w14:paraId="3760C21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1、变配电所；</w:t>
            </w:r>
          </w:p>
          <w:p w14:paraId="408D74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2、监控室、生产调度室、通信站和网络中心；</w:t>
            </w:r>
          </w:p>
          <w:p w14:paraId="480ABF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kern w:val="2"/>
                <w:sz w:val="21"/>
                <w:szCs w:val="21"/>
                <w:vertAlign w:val="baseline"/>
                <w:lang w:val="en-US" w:eastAsia="zh-CN" w:bidi="ar-SA"/>
              </w:rPr>
              <w:t>3、矿山救护值班室。</w:t>
            </w:r>
          </w:p>
        </w:tc>
        <w:tc>
          <w:tcPr>
            <w:tcW w:w="1080" w:type="dxa"/>
            <w:shd w:val="clear" w:color="auto" w:fill="auto"/>
            <w:vAlign w:val="center"/>
          </w:tcPr>
          <w:p w14:paraId="0ADA2EC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98F19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5.6.3.3</w:t>
            </w:r>
          </w:p>
        </w:tc>
        <w:tc>
          <w:tcPr>
            <w:tcW w:w="840" w:type="dxa"/>
            <w:shd w:val="clear" w:color="auto" w:fill="auto"/>
            <w:vAlign w:val="center"/>
          </w:tcPr>
          <w:p w14:paraId="06C3BA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17D589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6BEEAA6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c>
          <w:tcPr>
            <w:tcW w:w="809" w:type="dxa"/>
            <w:shd w:val="clear" w:color="auto" w:fill="auto"/>
            <w:vAlign w:val="center"/>
          </w:tcPr>
          <w:p w14:paraId="77C0CD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1项不符合扣2分</w:t>
            </w:r>
          </w:p>
        </w:tc>
        <w:tc>
          <w:tcPr>
            <w:tcW w:w="633" w:type="dxa"/>
            <w:shd w:val="clear" w:color="auto" w:fill="auto"/>
            <w:vAlign w:val="center"/>
          </w:tcPr>
          <w:p w14:paraId="7EB57B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6</w:t>
            </w:r>
          </w:p>
        </w:tc>
      </w:tr>
      <w:tr w14:paraId="1C10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958" w:type="dxa"/>
            <w:vMerge w:val="continue"/>
            <w:shd w:val="clear" w:color="auto" w:fill="auto"/>
            <w:vAlign w:val="center"/>
          </w:tcPr>
          <w:p w14:paraId="3074BD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36F8E2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r>
              <w:rPr>
                <w:rFonts w:hint="default" w:ascii="Times New Roman" w:hAnsi="Times New Roman" w:eastAsia="宋体" w:cs="Times New Roman"/>
                <w:color w:val="auto"/>
                <w:kern w:val="2"/>
                <w:sz w:val="21"/>
                <w:szCs w:val="21"/>
                <w:vertAlign w:val="baseline"/>
                <w:lang w:val="en-US" w:eastAsia="zh-CN" w:bidi="ar-SA"/>
              </w:rPr>
              <w:t>.4 移动式非架空照明线路应采用橡套软电缆。</w:t>
            </w:r>
          </w:p>
        </w:tc>
        <w:tc>
          <w:tcPr>
            <w:tcW w:w="1080" w:type="dxa"/>
            <w:shd w:val="clear" w:color="auto" w:fill="auto"/>
            <w:vAlign w:val="center"/>
          </w:tcPr>
          <w:p w14:paraId="25CE0D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350B32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5.6.3.4</w:t>
            </w:r>
          </w:p>
        </w:tc>
        <w:tc>
          <w:tcPr>
            <w:tcW w:w="840" w:type="dxa"/>
            <w:shd w:val="clear" w:color="auto" w:fill="auto"/>
            <w:vAlign w:val="center"/>
          </w:tcPr>
          <w:p w14:paraId="582A857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7D4EC6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4FE7853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c>
          <w:tcPr>
            <w:tcW w:w="809" w:type="dxa"/>
            <w:shd w:val="clear" w:color="auto" w:fill="auto"/>
            <w:vAlign w:val="center"/>
          </w:tcPr>
          <w:p w14:paraId="06574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olor w:val="auto"/>
                <w:sz w:val="21"/>
                <w:szCs w:val="21"/>
                <w:vertAlign w:val="baseline"/>
                <w:lang w:val="en-US" w:eastAsia="zh-CN"/>
              </w:rPr>
              <w:t>不符合不得分</w:t>
            </w:r>
          </w:p>
        </w:tc>
        <w:tc>
          <w:tcPr>
            <w:tcW w:w="633" w:type="dxa"/>
            <w:shd w:val="clear" w:color="auto" w:fill="auto"/>
            <w:vAlign w:val="center"/>
          </w:tcPr>
          <w:p w14:paraId="57AE2A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2</w:t>
            </w:r>
          </w:p>
        </w:tc>
      </w:tr>
      <w:tr w14:paraId="54EF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restart"/>
            <w:shd w:val="clear" w:color="auto" w:fill="auto"/>
            <w:vAlign w:val="center"/>
          </w:tcPr>
          <w:p w14:paraId="249B1F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 运行检查和维修</w:t>
            </w:r>
          </w:p>
        </w:tc>
        <w:tc>
          <w:tcPr>
            <w:tcW w:w="3507" w:type="dxa"/>
            <w:shd w:val="clear" w:color="auto" w:fill="auto"/>
            <w:vAlign w:val="center"/>
          </w:tcPr>
          <w:p w14:paraId="6CFA7A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.1 矿山应建立电气作业安全制度，规定工作票、工作许可、监护、间断、转移和终结等工作程序。停电检修时，所有已切断的电源的开关把手均应加锁，并验电、放电、将线路接地，悬挂</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有人作业，禁止送电</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的警示牌。</w:t>
            </w:r>
          </w:p>
        </w:tc>
        <w:tc>
          <w:tcPr>
            <w:tcW w:w="1080" w:type="dxa"/>
            <w:shd w:val="clear" w:color="auto" w:fill="auto"/>
            <w:vAlign w:val="center"/>
          </w:tcPr>
          <w:p w14:paraId="3B53D3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GB16423-2020</w:t>
            </w:r>
          </w:p>
          <w:p w14:paraId="6ED029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5.6.5.1</w:t>
            </w:r>
          </w:p>
        </w:tc>
        <w:tc>
          <w:tcPr>
            <w:tcW w:w="840" w:type="dxa"/>
            <w:shd w:val="clear" w:color="auto" w:fill="auto"/>
            <w:vAlign w:val="center"/>
          </w:tcPr>
          <w:p w14:paraId="07AA1C4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查阅制度</w:t>
            </w: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06F9C6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未建立电气作业安全制度</w:t>
            </w:r>
          </w:p>
        </w:tc>
        <w:tc>
          <w:tcPr>
            <w:tcW w:w="727" w:type="dxa"/>
            <w:shd w:val="clear" w:color="auto" w:fill="auto"/>
            <w:vAlign w:val="center"/>
          </w:tcPr>
          <w:p w14:paraId="732E4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809" w:type="dxa"/>
            <w:shd w:val="clear" w:color="auto" w:fill="auto"/>
            <w:vAlign w:val="center"/>
          </w:tcPr>
          <w:p w14:paraId="2CBBF3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不符合</w:t>
            </w:r>
            <w:r>
              <w:rPr>
                <w:rFonts w:hint="eastAsia" w:cs="Times New Roman"/>
                <w:color w:val="auto"/>
                <w:kern w:val="2"/>
                <w:sz w:val="21"/>
                <w:szCs w:val="21"/>
                <w:vertAlign w:val="baseline"/>
                <w:lang w:val="en-US" w:eastAsia="zh-CN" w:bidi="ar-SA"/>
              </w:rPr>
              <w:t>不得分不完善扣2分</w:t>
            </w:r>
          </w:p>
        </w:tc>
        <w:tc>
          <w:tcPr>
            <w:tcW w:w="633" w:type="dxa"/>
            <w:shd w:val="clear" w:color="auto" w:fill="auto"/>
            <w:vAlign w:val="center"/>
          </w:tcPr>
          <w:p w14:paraId="620C364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0</w:t>
            </w:r>
          </w:p>
        </w:tc>
      </w:tr>
      <w:tr w14:paraId="3600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8" w:type="dxa"/>
            <w:vMerge w:val="continue"/>
            <w:shd w:val="clear" w:color="auto" w:fill="auto"/>
            <w:vAlign w:val="center"/>
          </w:tcPr>
          <w:p w14:paraId="6D8B19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3507" w:type="dxa"/>
            <w:shd w:val="clear" w:color="auto" w:fill="auto"/>
            <w:vAlign w:val="center"/>
          </w:tcPr>
          <w:p w14:paraId="700930D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5</w:t>
            </w:r>
            <w:r>
              <w:rPr>
                <w:rFonts w:hint="default" w:ascii="Times New Roman" w:hAnsi="Times New Roman" w:eastAsia="宋体" w:cs="Times New Roman"/>
                <w:color w:val="auto"/>
                <w:kern w:val="2"/>
                <w:sz w:val="21"/>
                <w:szCs w:val="21"/>
                <w:vertAlign w:val="baseline"/>
                <w:lang w:val="en-US" w:eastAsia="zh-CN" w:bidi="ar-SA"/>
              </w:rPr>
              <w:t>.2 电气室内的各种电气设备控制装置上应注明编号和用途，并有停送电标志；电气室入口应悬挂</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非工作人员禁止入内</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的标志牌，高压电气设备应悬挂</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高压危险</w:t>
            </w:r>
            <w:r>
              <w:rPr>
                <w:rFonts w:hint="eastAsia" w:ascii="宋体" w:hAnsi="宋体" w:eastAsia="宋体" w:cs="宋体"/>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的标志牌，并应有照明。</w:t>
            </w:r>
          </w:p>
        </w:tc>
        <w:tc>
          <w:tcPr>
            <w:tcW w:w="1080" w:type="dxa"/>
            <w:shd w:val="clear" w:color="auto" w:fill="auto"/>
            <w:vAlign w:val="center"/>
          </w:tcPr>
          <w:p w14:paraId="6132E5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GB16423-2020</w:t>
            </w:r>
          </w:p>
          <w:p w14:paraId="374741E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5.6.5.3</w:t>
            </w:r>
          </w:p>
        </w:tc>
        <w:tc>
          <w:tcPr>
            <w:tcW w:w="840" w:type="dxa"/>
            <w:shd w:val="clear" w:color="auto" w:fill="auto"/>
            <w:vAlign w:val="center"/>
          </w:tcPr>
          <w:p w14:paraId="0A3C73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现场检查</w:t>
            </w:r>
          </w:p>
        </w:tc>
        <w:tc>
          <w:tcPr>
            <w:tcW w:w="734" w:type="dxa"/>
            <w:shd w:val="clear" w:color="auto" w:fill="auto"/>
            <w:vAlign w:val="center"/>
          </w:tcPr>
          <w:p w14:paraId="71CCD1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符合</w:t>
            </w:r>
          </w:p>
        </w:tc>
        <w:tc>
          <w:tcPr>
            <w:tcW w:w="727" w:type="dxa"/>
            <w:shd w:val="clear" w:color="auto" w:fill="auto"/>
            <w:vAlign w:val="center"/>
          </w:tcPr>
          <w:p w14:paraId="469CFD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c>
          <w:tcPr>
            <w:tcW w:w="809" w:type="dxa"/>
            <w:shd w:val="clear" w:color="auto" w:fill="auto"/>
            <w:vAlign w:val="center"/>
          </w:tcPr>
          <w:p w14:paraId="008B51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vertAlign w:val="baseline"/>
                <w:lang w:val="en-US" w:eastAsia="zh-CN" w:bidi="ar-SA"/>
              </w:rPr>
              <w:t>1项不符合扣</w:t>
            </w:r>
            <w:r>
              <w:rPr>
                <w:rFonts w:hint="eastAsia" w:cs="Times New Roman"/>
                <w:color w:val="auto"/>
                <w:kern w:val="2"/>
                <w:sz w:val="21"/>
                <w:szCs w:val="21"/>
                <w:vertAlign w:val="baseline"/>
                <w:lang w:val="en-US" w:eastAsia="zh-CN" w:bidi="ar-SA"/>
              </w:rPr>
              <w:t>2</w:t>
            </w:r>
            <w:r>
              <w:rPr>
                <w:rFonts w:hint="eastAsia" w:ascii="Times New Roman" w:hAnsi="Times New Roman" w:eastAsia="宋体" w:cs="Times New Roman"/>
                <w:color w:val="auto"/>
                <w:kern w:val="2"/>
                <w:sz w:val="21"/>
                <w:szCs w:val="21"/>
                <w:vertAlign w:val="baseline"/>
                <w:lang w:val="en-US" w:eastAsia="zh-CN" w:bidi="ar-SA"/>
              </w:rPr>
              <w:t>分</w:t>
            </w:r>
          </w:p>
        </w:tc>
        <w:tc>
          <w:tcPr>
            <w:tcW w:w="633" w:type="dxa"/>
            <w:shd w:val="clear" w:color="auto" w:fill="auto"/>
            <w:vAlign w:val="center"/>
          </w:tcPr>
          <w:p w14:paraId="491B6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w:t>
            </w:r>
          </w:p>
        </w:tc>
      </w:tr>
      <w:tr w14:paraId="3F92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auto"/>
            <w:vAlign w:val="center"/>
          </w:tcPr>
          <w:p w14:paraId="12EE0C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小计</w:t>
            </w:r>
          </w:p>
        </w:tc>
        <w:tc>
          <w:tcPr>
            <w:tcW w:w="3507" w:type="dxa"/>
            <w:shd w:val="clear" w:color="auto" w:fill="auto"/>
            <w:vAlign w:val="center"/>
          </w:tcPr>
          <w:p w14:paraId="391586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vertAlign w:val="baseline"/>
                <w:lang w:val="en-US" w:eastAsia="zh-CN" w:bidi="ar-SA"/>
              </w:rPr>
            </w:pPr>
          </w:p>
        </w:tc>
        <w:tc>
          <w:tcPr>
            <w:tcW w:w="1080" w:type="dxa"/>
            <w:shd w:val="clear" w:color="auto" w:fill="auto"/>
            <w:vAlign w:val="center"/>
          </w:tcPr>
          <w:p w14:paraId="577592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840" w:type="dxa"/>
            <w:shd w:val="clear" w:color="auto" w:fill="auto"/>
            <w:vAlign w:val="center"/>
          </w:tcPr>
          <w:p w14:paraId="289129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34" w:type="dxa"/>
            <w:shd w:val="clear" w:color="auto" w:fill="auto"/>
            <w:vAlign w:val="center"/>
          </w:tcPr>
          <w:p w14:paraId="44126F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27" w:type="dxa"/>
            <w:shd w:val="clear" w:color="auto" w:fill="auto"/>
            <w:vAlign w:val="center"/>
          </w:tcPr>
          <w:p w14:paraId="35FF07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64</w:t>
            </w:r>
          </w:p>
        </w:tc>
        <w:tc>
          <w:tcPr>
            <w:tcW w:w="809" w:type="dxa"/>
            <w:shd w:val="clear" w:color="auto" w:fill="auto"/>
            <w:vAlign w:val="center"/>
          </w:tcPr>
          <w:p w14:paraId="7C5EBA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color w:val="FF0000"/>
                <w:kern w:val="2"/>
                <w:sz w:val="21"/>
                <w:szCs w:val="21"/>
                <w:vertAlign w:val="baseline"/>
                <w:lang w:val="en-US" w:eastAsia="zh-CN" w:bidi="ar-SA"/>
              </w:rPr>
            </w:pPr>
          </w:p>
        </w:tc>
        <w:tc>
          <w:tcPr>
            <w:tcW w:w="633" w:type="dxa"/>
            <w:shd w:val="clear" w:color="auto" w:fill="auto"/>
            <w:vAlign w:val="center"/>
          </w:tcPr>
          <w:p w14:paraId="4C94A5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FF0000"/>
                <w:kern w:val="2"/>
                <w:sz w:val="21"/>
                <w:szCs w:val="21"/>
                <w:vertAlign w:val="baseline"/>
                <w:lang w:val="en-US" w:eastAsia="zh-CN" w:bidi="ar-SA"/>
              </w:rPr>
            </w:pPr>
            <w:r>
              <w:rPr>
                <w:rFonts w:hint="eastAsia" w:cs="Times New Roman"/>
                <w:color w:val="FF0000"/>
                <w:kern w:val="2"/>
                <w:sz w:val="21"/>
                <w:szCs w:val="21"/>
                <w:vertAlign w:val="baseline"/>
                <w:lang w:val="en-US" w:eastAsia="zh-CN" w:bidi="ar-SA"/>
              </w:rPr>
              <w:t>60</w:t>
            </w:r>
          </w:p>
        </w:tc>
      </w:tr>
    </w:tbl>
    <w:p w14:paraId="26D98DB3">
      <w:pPr>
        <w:pStyle w:val="4"/>
        <w:bidi w:val="0"/>
        <w:rPr>
          <w:rFonts w:hint="default"/>
          <w:color w:val="auto"/>
          <w:lang w:val="en-US" w:eastAsia="zh-CN"/>
        </w:rPr>
      </w:pPr>
      <w:bookmarkStart w:id="339" w:name="_Toc30937"/>
      <w:bookmarkStart w:id="340" w:name="_Toc15352"/>
      <w:bookmarkStart w:id="341" w:name="_Toc13958"/>
      <w:bookmarkStart w:id="342" w:name="_Toc28567"/>
      <w:r>
        <w:rPr>
          <w:rFonts w:hint="eastAsia"/>
          <w:color w:val="auto"/>
          <w:lang w:val="en-US" w:eastAsia="zh-CN"/>
        </w:rPr>
        <w:t>5.4.2 评价小结</w:t>
      </w:r>
      <w:bookmarkEnd w:id="339"/>
      <w:bookmarkEnd w:id="340"/>
      <w:bookmarkEnd w:id="341"/>
      <w:bookmarkEnd w:id="342"/>
    </w:p>
    <w:p w14:paraId="3FE7AF81">
      <w:pPr>
        <w:bidi w:val="0"/>
        <w:rPr>
          <w:rFonts w:hint="default"/>
          <w:color w:val="auto"/>
          <w:lang w:val="en-US" w:eastAsia="zh-CN"/>
        </w:rPr>
      </w:pPr>
      <w:r>
        <w:rPr>
          <w:rFonts w:hint="eastAsia"/>
          <w:color w:val="auto"/>
          <w:lang w:val="en-US" w:eastAsia="zh-CN"/>
        </w:rPr>
        <w:t>曹溪二矿</w:t>
      </w:r>
      <w:r>
        <w:rPr>
          <w:rFonts w:hint="default"/>
          <w:color w:val="auto"/>
          <w:lang w:val="en-US" w:eastAsia="zh-CN"/>
        </w:rPr>
        <w:t>供配电设施单元</w:t>
      </w:r>
      <w:r>
        <w:rPr>
          <w:rFonts w:hint="eastAsia"/>
          <w:color w:val="auto"/>
          <w:lang w:val="en-US" w:eastAsia="zh-CN"/>
        </w:rPr>
        <w:t>安全</w:t>
      </w:r>
      <w:r>
        <w:rPr>
          <w:rFonts w:hint="default"/>
          <w:color w:val="auto"/>
          <w:lang w:val="en-US" w:eastAsia="zh-CN"/>
        </w:rPr>
        <w:t>检查表中无否决项，</w:t>
      </w:r>
      <w:r>
        <w:rPr>
          <w:rFonts w:hint="default"/>
          <w:color w:val="FF0000"/>
          <w:lang w:val="en-US" w:eastAsia="zh-CN"/>
        </w:rPr>
        <w:t>一般项总分</w:t>
      </w:r>
      <w:r>
        <w:rPr>
          <w:rFonts w:hint="eastAsia"/>
          <w:color w:val="FF0000"/>
          <w:lang w:val="en-US" w:eastAsia="zh-CN"/>
        </w:rPr>
        <w:t>64</w:t>
      </w:r>
      <w:r>
        <w:rPr>
          <w:rFonts w:hint="default"/>
          <w:color w:val="FF0000"/>
          <w:lang w:val="en-US" w:eastAsia="zh-CN"/>
        </w:rPr>
        <w:t>分</w:t>
      </w:r>
      <w:r>
        <w:rPr>
          <w:rFonts w:hint="eastAsia"/>
          <w:color w:val="FF0000"/>
          <w:lang w:val="en-US" w:eastAsia="zh-CN"/>
        </w:rPr>
        <w:t>，得分60</w:t>
      </w:r>
      <w:r>
        <w:rPr>
          <w:rFonts w:hint="default"/>
          <w:color w:val="FF0000"/>
          <w:lang w:val="en-US" w:eastAsia="zh-CN"/>
        </w:rPr>
        <w:t>分，得分率为</w:t>
      </w:r>
      <w:r>
        <w:rPr>
          <w:rFonts w:hint="eastAsia"/>
          <w:color w:val="FF0000"/>
          <w:lang w:val="en-US" w:eastAsia="zh-CN"/>
        </w:rPr>
        <w:t>93.75</w:t>
      </w:r>
      <w:r>
        <w:rPr>
          <w:rFonts w:hint="default"/>
          <w:color w:val="FF0000"/>
          <w:lang w:val="en-US" w:eastAsia="zh-CN"/>
        </w:rPr>
        <w:t>%</w:t>
      </w:r>
      <w:r>
        <w:rPr>
          <w:rFonts w:hint="default"/>
          <w:color w:val="auto"/>
          <w:lang w:val="en-US" w:eastAsia="zh-CN"/>
        </w:rPr>
        <w:t>，说明</w:t>
      </w:r>
      <w:r>
        <w:rPr>
          <w:rFonts w:hint="eastAsia"/>
          <w:color w:val="auto"/>
          <w:lang w:val="en-US" w:eastAsia="zh-CN"/>
        </w:rPr>
        <w:t>曹溪二矿</w:t>
      </w:r>
      <w:r>
        <w:rPr>
          <w:rFonts w:hint="default"/>
          <w:color w:val="auto"/>
          <w:lang w:val="en-US" w:eastAsia="zh-CN"/>
        </w:rPr>
        <w:t>供配电设施单元具备安全生产条件。</w:t>
      </w:r>
    </w:p>
    <w:p w14:paraId="13E771D0">
      <w:pPr>
        <w:bidi w:val="0"/>
        <w:rPr>
          <w:rFonts w:hint="default"/>
          <w:color w:val="auto"/>
          <w:lang w:val="en-US" w:eastAsia="zh-CN"/>
        </w:rPr>
      </w:pPr>
      <w:r>
        <w:rPr>
          <w:rFonts w:hint="default"/>
          <w:color w:val="auto"/>
          <w:lang w:val="en-US" w:eastAsia="zh-CN"/>
        </w:rPr>
        <w:t>存在的主要问题</w:t>
      </w:r>
      <w:r>
        <w:rPr>
          <w:rFonts w:hint="eastAsia"/>
          <w:color w:val="auto"/>
          <w:lang w:val="en-US" w:eastAsia="zh-CN"/>
        </w:rPr>
        <w:t>：1</w:t>
      </w:r>
      <w:r>
        <w:rPr>
          <w:rFonts w:hint="eastAsia" w:ascii="宋体" w:hAnsi="宋体" w:eastAsia="宋体" w:cs="宋体"/>
          <w:color w:val="auto"/>
          <w:lang w:val="en-US" w:eastAsia="zh-CN"/>
        </w:rPr>
        <w:t>）</w:t>
      </w:r>
      <w:r>
        <w:rPr>
          <w:rFonts w:hint="default"/>
          <w:color w:val="auto"/>
          <w:lang w:val="en-US" w:eastAsia="zh-CN"/>
        </w:rPr>
        <w:t>未建立电气作业安全制度。</w:t>
      </w:r>
    </w:p>
    <w:p w14:paraId="779E41D2">
      <w:pPr>
        <w:pStyle w:val="3"/>
        <w:bidi w:val="0"/>
        <w:rPr>
          <w:rFonts w:hint="default"/>
          <w:color w:val="auto"/>
          <w:lang w:val="en-US" w:eastAsia="zh-CN"/>
        </w:rPr>
      </w:pPr>
      <w:bookmarkStart w:id="343" w:name="_Toc28628"/>
      <w:bookmarkStart w:id="344" w:name="_Toc3529"/>
      <w:bookmarkStart w:id="345" w:name="_Toc5623"/>
      <w:bookmarkStart w:id="346" w:name="_Toc32224"/>
      <w:r>
        <w:rPr>
          <w:rFonts w:hint="eastAsia"/>
          <w:color w:val="auto"/>
          <w:lang w:val="en-US" w:eastAsia="zh-CN"/>
        </w:rPr>
        <w:t>5.5 防排水单元</w:t>
      </w:r>
      <w:bookmarkEnd w:id="343"/>
      <w:bookmarkEnd w:id="344"/>
      <w:bookmarkEnd w:id="345"/>
      <w:bookmarkEnd w:id="346"/>
    </w:p>
    <w:p w14:paraId="6AF09323">
      <w:pPr>
        <w:pStyle w:val="4"/>
        <w:bidi w:val="0"/>
        <w:rPr>
          <w:rFonts w:hint="default"/>
          <w:color w:val="auto"/>
          <w:lang w:val="en-US" w:eastAsia="zh-CN"/>
        </w:rPr>
      </w:pPr>
      <w:bookmarkStart w:id="347" w:name="_Toc10255"/>
      <w:bookmarkStart w:id="348" w:name="_Toc26734"/>
      <w:bookmarkStart w:id="349" w:name="_Toc1457"/>
      <w:bookmarkStart w:id="350" w:name="_Toc19372"/>
      <w:r>
        <w:rPr>
          <w:rFonts w:hint="eastAsia"/>
          <w:color w:val="auto"/>
          <w:lang w:val="en-US" w:eastAsia="zh-CN"/>
        </w:rPr>
        <w:t>5.5.1 防排水安全检查表</w:t>
      </w:r>
      <w:bookmarkEnd w:id="347"/>
      <w:bookmarkEnd w:id="348"/>
      <w:bookmarkEnd w:id="349"/>
      <w:bookmarkEnd w:id="350"/>
    </w:p>
    <w:p w14:paraId="2D7DC325">
      <w:pPr>
        <w:rPr>
          <w:rFonts w:hint="default"/>
          <w:color w:val="auto"/>
          <w:lang w:val="en-US" w:eastAsia="zh-CN"/>
        </w:rPr>
      </w:pPr>
      <w:r>
        <w:rPr>
          <w:rFonts w:hint="default"/>
          <w:color w:val="auto"/>
          <w:lang w:val="en-US" w:eastAsia="zh-CN"/>
        </w:rPr>
        <w:t>防排水安全检查表见表5.</w:t>
      </w:r>
      <w:r>
        <w:rPr>
          <w:rFonts w:hint="eastAsia"/>
          <w:color w:val="auto"/>
          <w:lang w:val="en-US" w:eastAsia="zh-CN"/>
        </w:rPr>
        <w:t>5</w:t>
      </w:r>
      <w:r>
        <w:rPr>
          <w:rFonts w:hint="default"/>
          <w:color w:val="auto"/>
          <w:lang w:val="en-US" w:eastAsia="zh-CN"/>
        </w:rPr>
        <w:t>-1。</w:t>
      </w:r>
    </w:p>
    <w:p w14:paraId="16362AC8">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5</w:t>
      </w:r>
      <w:r>
        <w:rPr>
          <w:rFonts w:hint="default"/>
          <w:color w:val="auto"/>
          <w:lang w:val="en-US" w:eastAsia="zh-CN"/>
        </w:rPr>
        <w:t>-1</w:t>
      </w:r>
      <w:r>
        <w:rPr>
          <w:rFonts w:hint="eastAsia"/>
          <w:color w:val="auto"/>
          <w:lang w:val="en-US" w:eastAsia="zh-CN"/>
        </w:rPr>
        <w:t xml:space="preserve"> 防排水安全检查表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2874"/>
        <w:gridCol w:w="1581"/>
        <w:gridCol w:w="1107"/>
        <w:gridCol w:w="1085"/>
        <w:gridCol w:w="738"/>
        <w:gridCol w:w="681"/>
        <w:gridCol w:w="530"/>
      </w:tblGrid>
      <w:tr w14:paraId="3E9A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692" w:type="dxa"/>
            <w:vAlign w:val="center"/>
          </w:tcPr>
          <w:p w14:paraId="2BCA1C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874" w:type="dxa"/>
            <w:vAlign w:val="center"/>
          </w:tcPr>
          <w:p w14:paraId="1C0341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81" w:type="dxa"/>
            <w:vAlign w:val="center"/>
          </w:tcPr>
          <w:p w14:paraId="2D897B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107" w:type="dxa"/>
            <w:vAlign w:val="center"/>
          </w:tcPr>
          <w:p w14:paraId="6C22C0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1085" w:type="dxa"/>
            <w:vAlign w:val="center"/>
          </w:tcPr>
          <w:p w14:paraId="19572D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3529CE1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738" w:type="dxa"/>
            <w:vAlign w:val="center"/>
          </w:tcPr>
          <w:p w14:paraId="17A6BC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479EFFD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681" w:type="dxa"/>
            <w:vAlign w:val="center"/>
          </w:tcPr>
          <w:p w14:paraId="6A640FA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7179BF8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530" w:type="dxa"/>
            <w:vAlign w:val="center"/>
          </w:tcPr>
          <w:p w14:paraId="15CB116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44CA5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4" w:hRule="atLeast"/>
          <w:jc w:val="center"/>
        </w:trPr>
        <w:tc>
          <w:tcPr>
            <w:tcW w:w="692" w:type="dxa"/>
            <w:vAlign w:val="center"/>
          </w:tcPr>
          <w:p w14:paraId="0149698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874" w:type="dxa"/>
            <w:vAlign w:val="center"/>
          </w:tcPr>
          <w:p w14:paraId="30469A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露天矿山应建立水文地质资料档案；有洪水或地下水威胁的应设置防、排水机构；水文地质条件复杂或有洪水淹没危险的应配备专职水文地质人员。</w:t>
            </w:r>
          </w:p>
        </w:tc>
        <w:tc>
          <w:tcPr>
            <w:tcW w:w="1581" w:type="dxa"/>
            <w:vAlign w:val="center"/>
          </w:tcPr>
          <w:p w14:paraId="63BA6D0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A4E6C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5.7.1.1</w:t>
            </w:r>
          </w:p>
        </w:tc>
        <w:tc>
          <w:tcPr>
            <w:tcW w:w="1107" w:type="dxa"/>
            <w:vAlign w:val="center"/>
          </w:tcPr>
          <w:p w14:paraId="629019D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6E782D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检查现场</w:t>
            </w:r>
          </w:p>
        </w:tc>
        <w:tc>
          <w:tcPr>
            <w:tcW w:w="1085" w:type="dxa"/>
            <w:vAlign w:val="center"/>
          </w:tcPr>
          <w:p w14:paraId="3D2A84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已建立水文地质资料档案，无洪水或地下水威胁，水文地质条件简单</w:t>
            </w:r>
          </w:p>
        </w:tc>
        <w:tc>
          <w:tcPr>
            <w:tcW w:w="738" w:type="dxa"/>
            <w:vAlign w:val="center"/>
          </w:tcPr>
          <w:p w14:paraId="7ED195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681" w:type="dxa"/>
            <w:vAlign w:val="center"/>
          </w:tcPr>
          <w:p w14:paraId="0096AE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30" w:type="dxa"/>
            <w:vAlign w:val="center"/>
          </w:tcPr>
          <w:p w14:paraId="4D2BB6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r>
      <w:tr w14:paraId="3930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2" w:hRule="atLeast"/>
          <w:jc w:val="center"/>
        </w:trPr>
        <w:tc>
          <w:tcPr>
            <w:tcW w:w="692" w:type="dxa"/>
            <w:vAlign w:val="center"/>
          </w:tcPr>
          <w:p w14:paraId="122B5AD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874" w:type="dxa"/>
            <w:vAlign w:val="center"/>
          </w:tcPr>
          <w:p w14:paraId="6B51FE6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露天采场的总出入沟口、平硐口、排水井口和工业场地应不受洪水威胁。</w:t>
            </w:r>
          </w:p>
        </w:tc>
        <w:tc>
          <w:tcPr>
            <w:tcW w:w="1581" w:type="dxa"/>
            <w:vAlign w:val="center"/>
          </w:tcPr>
          <w:p w14:paraId="25B1DD6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021FC34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5.7.1.2</w:t>
            </w:r>
          </w:p>
        </w:tc>
        <w:tc>
          <w:tcPr>
            <w:tcW w:w="1107" w:type="dxa"/>
            <w:vAlign w:val="center"/>
          </w:tcPr>
          <w:p w14:paraId="45DAEF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16BEFB8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085" w:type="dxa"/>
            <w:vAlign w:val="center"/>
          </w:tcPr>
          <w:p w14:paraId="0DA257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区内最低侵蚀基准面标高+</w:t>
            </w:r>
            <w:r>
              <w:rPr>
                <w:rFonts w:hint="default"/>
                <w:color w:val="auto"/>
                <w:sz w:val="21"/>
                <w:szCs w:val="21"/>
                <w:vertAlign w:val="baseline"/>
                <w:lang w:val="en-US" w:eastAsia="zh-CN"/>
              </w:rPr>
              <w:t>44.00m</w:t>
            </w:r>
            <w:r>
              <w:rPr>
                <w:rFonts w:hint="eastAsia"/>
                <w:color w:val="auto"/>
                <w:sz w:val="21"/>
                <w:szCs w:val="21"/>
                <w:vertAlign w:val="baseline"/>
                <w:lang w:val="en-US" w:eastAsia="zh-CN"/>
              </w:rPr>
              <w:t>，不受洪水威胁</w:t>
            </w:r>
          </w:p>
        </w:tc>
        <w:tc>
          <w:tcPr>
            <w:tcW w:w="738" w:type="dxa"/>
            <w:vAlign w:val="center"/>
          </w:tcPr>
          <w:p w14:paraId="405A01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w:t>
            </w:r>
          </w:p>
        </w:tc>
        <w:tc>
          <w:tcPr>
            <w:tcW w:w="681" w:type="dxa"/>
            <w:vAlign w:val="center"/>
          </w:tcPr>
          <w:p w14:paraId="0A29B2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不符合不得分</w:t>
            </w:r>
          </w:p>
        </w:tc>
        <w:tc>
          <w:tcPr>
            <w:tcW w:w="530" w:type="dxa"/>
            <w:vAlign w:val="center"/>
          </w:tcPr>
          <w:p w14:paraId="6BCCDE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6</w:t>
            </w:r>
          </w:p>
        </w:tc>
      </w:tr>
      <w:tr w14:paraId="1579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692" w:type="dxa"/>
            <w:vAlign w:val="center"/>
          </w:tcPr>
          <w:p w14:paraId="66F326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874" w:type="dxa"/>
            <w:vAlign w:val="center"/>
          </w:tcPr>
          <w:p w14:paraId="7A81132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露天矿山应采取下列措施证采场安全：</w:t>
            </w:r>
          </w:p>
          <w:p w14:paraId="44BCDC6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1、</w:t>
            </w:r>
            <w:r>
              <w:rPr>
                <w:rFonts w:hint="default"/>
                <w:color w:val="auto"/>
                <w:sz w:val="21"/>
                <w:szCs w:val="21"/>
                <w:vertAlign w:val="baseline"/>
                <w:lang w:val="en-US" w:eastAsia="zh-CN"/>
              </w:rPr>
              <w:t>在采场边坡台阶设置排水沟；</w:t>
            </w:r>
          </w:p>
          <w:p w14:paraId="7F43EBB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2、地下水影响露天采场的安全生产时，应采取疏干等防治措施。</w:t>
            </w:r>
          </w:p>
        </w:tc>
        <w:tc>
          <w:tcPr>
            <w:tcW w:w="1581" w:type="dxa"/>
            <w:vAlign w:val="center"/>
          </w:tcPr>
          <w:p w14:paraId="277C925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068D3D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5.7.1.3</w:t>
            </w:r>
          </w:p>
        </w:tc>
        <w:tc>
          <w:tcPr>
            <w:tcW w:w="1107" w:type="dxa"/>
            <w:vAlign w:val="center"/>
          </w:tcPr>
          <w:p w14:paraId="68C79D0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0B11BB7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085" w:type="dxa"/>
            <w:vAlign w:val="center"/>
          </w:tcPr>
          <w:p w14:paraId="0A0A0E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暂不涉及</w:t>
            </w:r>
          </w:p>
        </w:tc>
        <w:tc>
          <w:tcPr>
            <w:tcW w:w="738" w:type="dxa"/>
            <w:vAlign w:val="center"/>
          </w:tcPr>
          <w:p w14:paraId="4E48F1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681" w:type="dxa"/>
            <w:vAlign w:val="center"/>
          </w:tcPr>
          <w:p w14:paraId="09D46E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ascii="Times New Roman" w:hAnsi="Times New Roman" w:eastAsia="宋体" w:cs="Times New Roman"/>
                <w:color w:val="auto"/>
                <w:kern w:val="2"/>
                <w:sz w:val="21"/>
                <w:szCs w:val="21"/>
                <w:vertAlign w:val="baseline"/>
                <w:lang w:val="en-US" w:eastAsia="zh-CN" w:bidi="ar-SA"/>
              </w:rPr>
              <w:t>1项不符合扣2分</w:t>
            </w:r>
          </w:p>
        </w:tc>
        <w:tc>
          <w:tcPr>
            <w:tcW w:w="530" w:type="dxa"/>
            <w:vAlign w:val="center"/>
          </w:tcPr>
          <w:p w14:paraId="248AD7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w:t>
            </w:r>
          </w:p>
        </w:tc>
      </w:tr>
      <w:tr w14:paraId="4BED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8" w:hRule="atLeast"/>
          <w:jc w:val="center"/>
        </w:trPr>
        <w:tc>
          <w:tcPr>
            <w:tcW w:w="692" w:type="dxa"/>
            <w:vAlign w:val="center"/>
          </w:tcPr>
          <w:p w14:paraId="51BB30E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874" w:type="dxa"/>
            <w:vAlign w:val="center"/>
          </w:tcPr>
          <w:p w14:paraId="5A622A8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露天矿山应按照下列要求建立防排水系统：</w:t>
            </w:r>
          </w:p>
          <w:p w14:paraId="4151A91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ascii="Times New Roman" w:hAnsi="Times New Roman" w:eastAsia="宋体" w:cs="Times New Roman"/>
                <w:color w:val="auto"/>
                <w:kern w:val="2"/>
                <w:sz w:val="21"/>
                <w:szCs w:val="21"/>
                <w:vertAlign w:val="baseline"/>
                <w:lang w:val="en-US" w:eastAsia="zh-CN" w:bidi="ar-SA"/>
              </w:rPr>
              <w:t>1、</w:t>
            </w:r>
            <w:r>
              <w:rPr>
                <w:rFonts w:hint="default"/>
                <w:color w:val="auto"/>
                <w:sz w:val="21"/>
                <w:szCs w:val="21"/>
                <w:vertAlign w:val="baseline"/>
                <w:lang w:val="en-US" w:eastAsia="zh-CN"/>
              </w:rPr>
              <w:t>受洪水威胁的露天采场应按设置地面防洪工程、</w:t>
            </w:r>
          </w:p>
          <w:p w14:paraId="4A2ED00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2、不具备自然外排条件的山坡露天矿，境界外应设截水沟排水；</w:t>
            </w:r>
          </w:p>
          <w:p w14:paraId="71E5774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3、凹陷露天矿坑应设机械排水或自流排水设施；</w:t>
            </w:r>
          </w:p>
          <w:p w14:paraId="4C4FB3D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4、遇设计防洪频率的暴雨时，最低台阶淹没时间不应超过7d，淹没前应撤出人员和重要设备。</w:t>
            </w:r>
          </w:p>
        </w:tc>
        <w:tc>
          <w:tcPr>
            <w:tcW w:w="1581" w:type="dxa"/>
            <w:vAlign w:val="center"/>
          </w:tcPr>
          <w:p w14:paraId="2A21FD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E0D0E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5.7.1.4</w:t>
            </w:r>
          </w:p>
        </w:tc>
        <w:tc>
          <w:tcPr>
            <w:tcW w:w="1107" w:type="dxa"/>
            <w:vAlign w:val="center"/>
          </w:tcPr>
          <w:p w14:paraId="7D1AA18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076A1D8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085" w:type="dxa"/>
            <w:vAlign w:val="center"/>
          </w:tcPr>
          <w:p w14:paraId="4156A0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已设置截水沟排水</w:t>
            </w:r>
          </w:p>
        </w:tc>
        <w:tc>
          <w:tcPr>
            <w:tcW w:w="738" w:type="dxa"/>
            <w:vAlign w:val="center"/>
          </w:tcPr>
          <w:p w14:paraId="2445FF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8</w:t>
            </w:r>
          </w:p>
        </w:tc>
        <w:tc>
          <w:tcPr>
            <w:tcW w:w="681" w:type="dxa"/>
            <w:vAlign w:val="center"/>
          </w:tcPr>
          <w:p w14:paraId="252FB4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1项不符合扣2分</w:t>
            </w:r>
          </w:p>
        </w:tc>
        <w:tc>
          <w:tcPr>
            <w:tcW w:w="530" w:type="dxa"/>
            <w:vAlign w:val="center"/>
          </w:tcPr>
          <w:p w14:paraId="23DFE6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8</w:t>
            </w:r>
          </w:p>
        </w:tc>
      </w:tr>
      <w:tr w14:paraId="5230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0" w:hRule="atLeast"/>
          <w:jc w:val="center"/>
        </w:trPr>
        <w:tc>
          <w:tcPr>
            <w:tcW w:w="692" w:type="dxa"/>
            <w:vAlign w:val="center"/>
          </w:tcPr>
          <w:p w14:paraId="7F4C4A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874" w:type="dxa"/>
            <w:vAlign w:val="center"/>
          </w:tcPr>
          <w:p w14:paraId="19DDD0A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机械排水设施应符合下列规定：</w:t>
            </w:r>
          </w:p>
          <w:p w14:paraId="52AD085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1、应设工作水泵和备用水泵；工作水泵就能在20h内排出一昼夜正常涌水量，全部水泵应能在20h内排出一昼夜的设计最大排水量；</w:t>
            </w:r>
          </w:p>
          <w:p w14:paraId="67DA970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2、应高性能工作排水管路和备用排水管路。工作排水管 路应能配合工作水泵在20h内排出一昼夜正常涌水量；全部排水管路应能配合工作水泵和备用水泵在20h内排出一昼夜正常涌水量。任意一条排水管路检修时，其他排水管路应能完成正常排水任务。</w:t>
            </w:r>
          </w:p>
        </w:tc>
        <w:tc>
          <w:tcPr>
            <w:tcW w:w="1581" w:type="dxa"/>
            <w:vAlign w:val="center"/>
          </w:tcPr>
          <w:p w14:paraId="735E51E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BA588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5.7.1.5</w:t>
            </w:r>
          </w:p>
        </w:tc>
        <w:tc>
          <w:tcPr>
            <w:tcW w:w="1107" w:type="dxa"/>
            <w:vAlign w:val="center"/>
          </w:tcPr>
          <w:p w14:paraId="1435AB1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对照设计</w:t>
            </w:r>
          </w:p>
          <w:p w14:paraId="03DA9A7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检查现场</w:t>
            </w:r>
          </w:p>
        </w:tc>
        <w:tc>
          <w:tcPr>
            <w:tcW w:w="1085" w:type="dxa"/>
            <w:vAlign w:val="center"/>
          </w:tcPr>
          <w:p w14:paraId="05B267F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FF0000"/>
                <w:sz w:val="21"/>
                <w:szCs w:val="21"/>
                <w:vertAlign w:val="baseline"/>
                <w:lang w:val="en-US" w:eastAsia="zh-CN"/>
              </w:rPr>
              <w:t>暂</w:t>
            </w:r>
            <w:r>
              <w:rPr>
                <w:rFonts w:hint="eastAsia"/>
                <w:color w:val="auto"/>
                <w:sz w:val="21"/>
                <w:szCs w:val="21"/>
                <w:vertAlign w:val="baseline"/>
                <w:lang w:val="en-US" w:eastAsia="zh-CN"/>
              </w:rPr>
              <w:t>不涉及</w:t>
            </w:r>
          </w:p>
        </w:tc>
        <w:tc>
          <w:tcPr>
            <w:tcW w:w="738" w:type="dxa"/>
            <w:vAlign w:val="center"/>
          </w:tcPr>
          <w:p w14:paraId="36C062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681" w:type="dxa"/>
            <w:vAlign w:val="center"/>
          </w:tcPr>
          <w:p w14:paraId="56DC05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1项不符合扣2分</w:t>
            </w:r>
          </w:p>
        </w:tc>
        <w:tc>
          <w:tcPr>
            <w:tcW w:w="530" w:type="dxa"/>
            <w:vAlign w:val="center"/>
          </w:tcPr>
          <w:p w14:paraId="53D940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6F86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692" w:type="dxa"/>
            <w:vAlign w:val="center"/>
          </w:tcPr>
          <w:p w14:paraId="22DDB19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小计</w:t>
            </w:r>
          </w:p>
        </w:tc>
        <w:tc>
          <w:tcPr>
            <w:tcW w:w="2874" w:type="dxa"/>
            <w:vAlign w:val="center"/>
          </w:tcPr>
          <w:p w14:paraId="3097CDB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color w:val="auto"/>
                <w:sz w:val="21"/>
                <w:szCs w:val="21"/>
                <w:vertAlign w:val="baseline"/>
                <w:lang w:val="en-US" w:eastAsia="zh-CN"/>
              </w:rPr>
            </w:pPr>
          </w:p>
        </w:tc>
        <w:tc>
          <w:tcPr>
            <w:tcW w:w="1581" w:type="dxa"/>
            <w:vAlign w:val="center"/>
          </w:tcPr>
          <w:p w14:paraId="54DDCC7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107" w:type="dxa"/>
            <w:vAlign w:val="center"/>
          </w:tcPr>
          <w:p w14:paraId="560440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085" w:type="dxa"/>
            <w:vAlign w:val="center"/>
          </w:tcPr>
          <w:p w14:paraId="27DA999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p>
        </w:tc>
        <w:tc>
          <w:tcPr>
            <w:tcW w:w="738" w:type="dxa"/>
            <w:vAlign w:val="center"/>
          </w:tcPr>
          <w:p w14:paraId="0B7B59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c>
          <w:tcPr>
            <w:tcW w:w="681" w:type="dxa"/>
            <w:vAlign w:val="center"/>
          </w:tcPr>
          <w:p w14:paraId="6013C5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1"/>
                <w:szCs w:val="21"/>
                <w:vertAlign w:val="baseline"/>
                <w:lang w:val="en-US" w:eastAsia="zh-CN"/>
              </w:rPr>
            </w:pPr>
          </w:p>
        </w:tc>
        <w:tc>
          <w:tcPr>
            <w:tcW w:w="530" w:type="dxa"/>
            <w:vAlign w:val="center"/>
          </w:tcPr>
          <w:p w14:paraId="502FE4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r>
    </w:tbl>
    <w:p w14:paraId="5C465D69">
      <w:pPr>
        <w:pStyle w:val="4"/>
        <w:bidi w:val="0"/>
        <w:rPr>
          <w:rFonts w:hint="default"/>
          <w:color w:val="auto"/>
          <w:lang w:val="en-US" w:eastAsia="zh-CN"/>
        </w:rPr>
      </w:pPr>
      <w:bookmarkStart w:id="351" w:name="_Toc13805"/>
      <w:bookmarkStart w:id="352" w:name="_Toc30458"/>
      <w:bookmarkStart w:id="353" w:name="_Toc25288"/>
      <w:bookmarkStart w:id="354" w:name="_Toc27269"/>
      <w:r>
        <w:rPr>
          <w:rFonts w:hint="eastAsia"/>
          <w:color w:val="auto"/>
          <w:lang w:val="en-US" w:eastAsia="zh-CN"/>
        </w:rPr>
        <w:t>5.5.2 评价小结</w:t>
      </w:r>
      <w:bookmarkEnd w:id="351"/>
      <w:bookmarkEnd w:id="352"/>
      <w:bookmarkEnd w:id="353"/>
      <w:bookmarkEnd w:id="354"/>
    </w:p>
    <w:p w14:paraId="468BC94E">
      <w:pPr>
        <w:rPr>
          <w:rFonts w:hint="default"/>
          <w:color w:val="auto"/>
          <w:lang w:val="en-US" w:eastAsia="zh-CN"/>
        </w:rPr>
      </w:pPr>
      <w:r>
        <w:rPr>
          <w:rFonts w:hint="eastAsia"/>
          <w:color w:val="auto"/>
          <w:lang w:val="en-US" w:eastAsia="zh-CN"/>
        </w:rPr>
        <w:t>曹溪二矿</w:t>
      </w:r>
      <w:r>
        <w:rPr>
          <w:rFonts w:hint="default"/>
          <w:color w:val="auto"/>
          <w:lang w:val="en-US" w:eastAsia="zh-CN"/>
        </w:rPr>
        <w:t>防排水单元检查表中无否决项，一般项总分2</w:t>
      </w:r>
      <w:r>
        <w:rPr>
          <w:rFonts w:hint="eastAsia"/>
          <w:color w:val="auto"/>
          <w:lang w:val="en-US" w:eastAsia="zh-CN"/>
        </w:rPr>
        <w:t>0</w:t>
      </w:r>
      <w:r>
        <w:rPr>
          <w:rFonts w:hint="default"/>
          <w:color w:val="auto"/>
          <w:lang w:val="en-US" w:eastAsia="zh-CN"/>
        </w:rPr>
        <w:t>分，</w:t>
      </w:r>
      <w:r>
        <w:rPr>
          <w:rFonts w:hint="eastAsia"/>
          <w:color w:val="auto"/>
          <w:lang w:val="en-US" w:eastAsia="zh-CN"/>
        </w:rPr>
        <w:t>得分</w:t>
      </w:r>
      <w:r>
        <w:rPr>
          <w:rFonts w:hint="default"/>
          <w:color w:val="auto"/>
          <w:lang w:val="en-US" w:eastAsia="zh-CN"/>
        </w:rPr>
        <w:t>2</w:t>
      </w:r>
      <w:r>
        <w:rPr>
          <w:rFonts w:hint="eastAsia"/>
          <w:color w:val="auto"/>
          <w:lang w:val="en-US" w:eastAsia="zh-CN"/>
        </w:rPr>
        <w:t>0</w:t>
      </w:r>
      <w:r>
        <w:rPr>
          <w:rFonts w:hint="default"/>
          <w:color w:val="auto"/>
          <w:lang w:val="en-US" w:eastAsia="zh-CN"/>
        </w:rPr>
        <w:t>分，得分率为</w:t>
      </w:r>
      <w:r>
        <w:rPr>
          <w:rFonts w:hint="eastAsia"/>
          <w:color w:val="auto"/>
          <w:lang w:val="en-US" w:eastAsia="zh-CN"/>
        </w:rPr>
        <w:t>100</w:t>
      </w:r>
      <w:r>
        <w:rPr>
          <w:rFonts w:hint="default"/>
          <w:color w:val="auto"/>
          <w:lang w:val="en-US" w:eastAsia="zh-CN"/>
        </w:rPr>
        <w:t>%，说明</w:t>
      </w:r>
      <w:r>
        <w:rPr>
          <w:rFonts w:hint="eastAsia"/>
          <w:color w:val="auto"/>
          <w:lang w:val="en-US" w:eastAsia="zh-CN"/>
        </w:rPr>
        <w:t>曹溪二矿</w:t>
      </w:r>
      <w:r>
        <w:rPr>
          <w:rFonts w:hint="default"/>
          <w:color w:val="auto"/>
          <w:lang w:val="en-US" w:eastAsia="zh-CN"/>
        </w:rPr>
        <w:t>防排水单元具备安全生产条件。</w:t>
      </w:r>
    </w:p>
    <w:p w14:paraId="0FECE6E9">
      <w:pPr>
        <w:pStyle w:val="3"/>
        <w:bidi w:val="0"/>
        <w:rPr>
          <w:rFonts w:hint="default"/>
          <w:color w:val="auto"/>
          <w:lang w:val="en-US" w:eastAsia="zh-CN"/>
        </w:rPr>
      </w:pPr>
      <w:bookmarkStart w:id="355" w:name="_Toc21240"/>
      <w:bookmarkStart w:id="356" w:name="_Toc2088"/>
      <w:bookmarkStart w:id="357" w:name="_Toc4503"/>
      <w:bookmarkStart w:id="358" w:name="_Toc30532"/>
      <w:r>
        <w:rPr>
          <w:rFonts w:hint="eastAsia"/>
          <w:color w:val="auto"/>
          <w:lang w:val="en-US" w:eastAsia="zh-CN"/>
        </w:rPr>
        <w:t>5.6 防灭火单元</w:t>
      </w:r>
      <w:bookmarkEnd w:id="355"/>
      <w:bookmarkEnd w:id="356"/>
      <w:bookmarkEnd w:id="357"/>
      <w:bookmarkEnd w:id="358"/>
    </w:p>
    <w:p w14:paraId="0E8E5C0C">
      <w:pPr>
        <w:pStyle w:val="4"/>
        <w:bidi w:val="0"/>
        <w:rPr>
          <w:rFonts w:hint="default"/>
          <w:color w:val="auto"/>
          <w:lang w:val="en-US" w:eastAsia="zh-CN"/>
        </w:rPr>
      </w:pPr>
      <w:bookmarkStart w:id="359" w:name="_Toc23749"/>
      <w:bookmarkStart w:id="360" w:name="_Toc31717"/>
      <w:bookmarkStart w:id="361" w:name="_Toc22539"/>
      <w:bookmarkStart w:id="362" w:name="_Toc28403"/>
      <w:r>
        <w:rPr>
          <w:rFonts w:hint="eastAsia"/>
          <w:color w:val="auto"/>
          <w:lang w:val="en-US" w:eastAsia="zh-CN"/>
        </w:rPr>
        <w:t>5.6.1 防灭火安全检查表</w:t>
      </w:r>
      <w:bookmarkEnd w:id="359"/>
      <w:bookmarkEnd w:id="360"/>
      <w:bookmarkEnd w:id="361"/>
      <w:bookmarkEnd w:id="362"/>
    </w:p>
    <w:p w14:paraId="545B163D">
      <w:pPr>
        <w:rPr>
          <w:rFonts w:hint="default"/>
          <w:color w:val="auto"/>
          <w:lang w:val="en-US" w:eastAsia="zh-CN"/>
        </w:rPr>
      </w:pPr>
      <w:r>
        <w:rPr>
          <w:rFonts w:hint="default"/>
          <w:color w:val="auto"/>
          <w:lang w:val="en-US" w:eastAsia="zh-CN"/>
        </w:rPr>
        <w:t>防灭火安全检查表见表5.</w:t>
      </w:r>
      <w:r>
        <w:rPr>
          <w:rFonts w:hint="eastAsia"/>
          <w:color w:val="auto"/>
          <w:lang w:val="en-US" w:eastAsia="zh-CN"/>
        </w:rPr>
        <w:t>6</w:t>
      </w:r>
      <w:r>
        <w:rPr>
          <w:rFonts w:hint="default"/>
          <w:color w:val="auto"/>
          <w:lang w:val="en-US" w:eastAsia="zh-CN"/>
        </w:rPr>
        <w:t>-1。</w:t>
      </w:r>
    </w:p>
    <w:p w14:paraId="67190945">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6</w:t>
      </w:r>
      <w:r>
        <w:rPr>
          <w:rFonts w:hint="default"/>
          <w:color w:val="auto"/>
          <w:lang w:val="en-US" w:eastAsia="zh-CN"/>
        </w:rPr>
        <w:t>-1</w:t>
      </w:r>
      <w:r>
        <w:rPr>
          <w:rFonts w:hint="eastAsia"/>
          <w:color w:val="auto"/>
          <w:lang w:val="en-US" w:eastAsia="zh-CN"/>
        </w:rPr>
        <w:t xml:space="preserve"> 防</w:t>
      </w:r>
      <w:r>
        <w:rPr>
          <w:rFonts w:hint="default"/>
          <w:color w:val="auto"/>
          <w:lang w:val="en-US" w:eastAsia="zh-CN"/>
        </w:rPr>
        <w:t>灭火</w:t>
      </w:r>
      <w:r>
        <w:rPr>
          <w:rFonts w:hint="eastAsia"/>
          <w:color w:val="auto"/>
          <w:lang w:val="en-US" w:eastAsia="zh-CN"/>
        </w:rPr>
        <w:t>安全检查表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377"/>
        <w:gridCol w:w="1547"/>
        <w:gridCol w:w="1084"/>
        <w:gridCol w:w="1385"/>
        <w:gridCol w:w="669"/>
        <w:gridCol w:w="738"/>
        <w:gridCol w:w="530"/>
      </w:tblGrid>
      <w:tr w14:paraId="084F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14:paraId="7AB6BF4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序号</w:t>
            </w:r>
          </w:p>
        </w:tc>
        <w:tc>
          <w:tcPr>
            <w:tcW w:w="2377" w:type="dxa"/>
            <w:vAlign w:val="center"/>
          </w:tcPr>
          <w:p w14:paraId="3360DD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检查内容</w:t>
            </w:r>
          </w:p>
        </w:tc>
        <w:tc>
          <w:tcPr>
            <w:tcW w:w="1547" w:type="dxa"/>
            <w:vAlign w:val="center"/>
          </w:tcPr>
          <w:p w14:paraId="4B95F7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检查依据</w:t>
            </w:r>
          </w:p>
        </w:tc>
        <w:tc>
          <w:tcPr>
            <w:tcW w:w="1084" w:type="dxa"/>
            <w:vAlign w:val="center"/>
          </w:tcPr>
          <w:p w14:paraId="4B2105B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检查方法及地点</w:t>
            </w:r>
          </w:p>
        </w:tc>
        <w:tc>
          <w:tcPr>
            <w:tcW w:w="1385" w:type="dxa"/>
            <w:vAlign w:val="center"/>
          </w:tcPr>
          <w:p w14:paraId="6AB02D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检查</w:t>
            </w:r>
          </w:p>
          <w:p w14:paraId="016797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记录</w:t>
            </w:r>
          </w:p>
        </w:tc>
        <w:tc>
          <w:tcPr>
            <w:tcW w:w="669" w:type="dxa"/>
            <w:vAlign w:val="center"/>
          </w:tcPr>
          <w:p w14:paraId="1F8FBDB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p w14:paraId="59A484B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分值</w:t>
            </w:r>
          </w:p>
        </w:tc>
        <w:tc>
          <w:tcPr>
            <w:tcW w:w="738" w:type="dxa"/>
            <w:vAlign w:val="center"/>
          </w:tcPr>
          <w:p w14:paraId="254130A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评分</w:t>
            </w:r>
          </w:p>
          <w:p w14:paraId="0E4EC9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标准</w:t>
            </w:r>
          </w:p>
        </w:tc>
        <w:tc>
          <w:tcPr>
            <w:tcW w:w="530" w:type="dxa"/>
            <w:vAlign w:val="center"/>
          </w:tcPr>
          <w:p w14:paraId="51F9163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得分</w:t>
            </w:r>
          </w:p>
        </w:tc>
      </w:tr>
      <w:tr w14:paraId="7EA2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958" w:type="dxa"/>
            <w:vAlign w:val="center"/>
          </w:tcPr>
          <w:p w14:paraId="2CC3C4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w:t>
            </w:r>
          </w:p>
        </w:tc>
        <w:tc>
          <w:tcPr>
            <w:tcW w:w="2377" w:type="dxa"/>
            <w:vAlign w:val="center"/>
          </w:tcPr>
          <w:p w14:paraId="4FE58B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矿山建构筑物应建立消防设施，设置消防器材。</w:t>
            </w:r>
          </w:p>
        </w:tc>
        <w:tc>
          <w:tcPr>
            <w:tcW w:w="1547" w:type="dxa"/>
            <w:vAlign w:val="center"/>
          </w:tcPr>
          <w:p w14:paraId="332E936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A93AC9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5.7.1.1</w:t>
            </w:r>
          </w:p>
        </w:tc>
        <w:tc>
          <w:tcPr>
            <w:tcW w:w="1084" w:type="dxa"/>
            <w:vAlign w:val="center"/>
          </w:tcPr>
          <w:p w14:paraId="4DE302A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3EE3BD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建构筑物</w:t>
            </w:r>
            <w:r>
              <w:rPr>
                <w:rFonts w:hint="eastAsia"/>
                <w:color w:val="auto"/>
                <w:sz w:val="21"/>
                <w:szCs w:val="21"/>
                <w:vertAlign w:val="baseline"/>
                <w:lang w:val="en-US" w:eastAsia="zh-CN"/>
              </w:rPr>
              <w:t>已</w:t>
            </w:r>
            <w:r>
              <w:rPr>
                <w:rFonts w:hint="default"/>
                <w:color w:val="auto"/>
                <w:sz w:val="21"/>
                <w:szCs w:val="21"/>
                <w:vertAlign w:val="baseline"/>
                <w:lang w:val="en-US" w:eastAsia="zh-CN"/>
              </w:rPr>
              <w:t>建立消防设施，设置</w:t>
            </w:r>
            <w:r>
              <w:rPr>
                <w:rFonts w:hint="eastAsia"/>
                <w:color w:val="auto"/>
                <w:sz w:val="21"/>
                <w:szCs w:val="21"/>
                <w:vertAlign w:val="baseline"/>
                <w:lang w:val="en-US" w:eastAsia="zh-CN"/>
              </w:rPr>
              <w:t>了</w:t>
            </w:r>
            <w:r>
              <w:rPr>
                <w:rFonts w:hint="default"/>
                <w:color w:val="auto"/>
                <w:sz w:val="21"/>
                <w:szCs w:val="21"/>
                <w:vertAlign w:val="baseline"/>
                <w:lang w:val="en-US" w:eastAsia="zh-CN"/>
              </w:rPr>
              <w:t>消防器材。</w:t>
            </w:r>
          </w:p>
        </w:tc>
        <w:tc>
          <w:tcPr>
            <w:tcW w:w="669" w:type="dxa"/>
            <w:vAlign w:val="center"/>
          </w:tcPr>
          <w:p w14:paraId="230A5F7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714EFE4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6C8206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313FB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958" w:type="dxa"/>
            <w:vAlign w:val="center"/>
          </w:tcPr>
          <w:p w14:paraId="0AF74AF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2377" w:type="dxa"/>
            <w:vAlign w:val="center"/>
          </w:tcPr>
          <w:p w14:paraId="25E3294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露天矿用设备应配备灭火器。</w:t>
            </w:r>
          </w:p>
        </w:tc>
        <w:tc>
          <w:tcPr>
            <w:tcW w:w="1547" w:type="dxa"/>
            <w:vAlign w:val="center"/>
          </w:tcPr>
          <w:p w14:paraId="31561B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04072F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5.7.1.2</w:t>
            </w:r>
          </w:p>
        </w:tc>
        <w:tc>
          <w:tcPr>
            <w:tcW w:w="1084" w:type="dxa"/>
            <w:vAlign w:val="center"/>
          </w:tcPr>
          <w:p w14:paraId="65F8B2D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016F5F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露天矿用设备均配备了灭火器</w:t>
            </w:r>
          </w:p>
        </w:tc>
        <w:tc>
          <w:tcPr>
            <w:tcW w:w="669" w:type="dxa"/>
            <w:vAlign w:val="center"/>
          </w:tcPr>
          <w:p w14:paraId="5BD3DE5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77F930F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4252D52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1BB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958" w:type="dxa"/>
            <w:vAlign w:val="center"/>
          </w:tcPr>
          <w:p w14:paraId="458947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2377" w:type="dxa"/>
            <w:vAlign w:val="center"/>
          </w:tcPr>
          <w:p w14:paraId="3866CF9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设备加油时严禁吸烟和明火。</w:t>
            </w:r>
          </w:p>
        </w:tc>
        <w:tc>
          <w:tcPr>
            <w:tcW w:w="1547" w:type="dxa"/>
            <w:vAlign w:val="center"/>
          </w:tcPr>
          <w:p w14:paraId="15B7ED2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635111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5.7.1.3</w:t>
            </w:r>
          </w:p>
        </w:tc>
        <w:tc>
          <w:tcPr>
            <w:tcW w:w="1084" w:type="dxa"/>
            <w:vAlign w:val="center"/>
          </w:tcPr>
          <w:p w14:paraId="3BC430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6FC8335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69" w:type="dxa"/>
            <w:vAlign w:val="center"/>
          </w:tcPr>
          <w:p w14:paraId="2170EB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0487B947">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2141CA9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210D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jc w:val="center"/>
        </w:trPr>
        <w:tc>
          <w:tcPr>
            <w:tcW w:w="958" w:type="dxa"/>
            <w:vAlign w:val="center"/>
          </w:tcPr>
          <w:p w14:paraId="2439871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w:t>
            </w:r>
          </w:p>
        </w:tc>
        <w:tc>
          <w:tcPr>
            <w:tcW w:w="2377" w:type="dxa"/>
            <w:vAlign w:val="center"/>
          </w:tcPr>
          <w:p w14:paraId="7431042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露天矿用设备上严禁存放汽油和其他易燃易爆品</w:t>
            </w:r>
            <w:r>
              <w:rPr>
                <w:rFonts w:hint="eastAsia"/>
                <w:color w:val="auto"/>
                <w:sz w:val="21"/>
                <w:szCs w:val="21"/>
                <w:vertAlign w:val="baseline"/>
                <w:lang w:val="en-US" w:eastAsia="zh-CN"/>
              </w:rPr>
              <w:t>。</w:t>
            </w:r>
          </w:p>
        </w:tc>
        <w:tc>
          <w:tcPr>
            <w:tcW w:w="1547" w:type="dxa"/>
            <w:vAlign w:val="center"/>
          </w:tcPr>
          <w:p w14:paraId="72C0780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A94281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5.7.1.4</w:t>
            </w:r>
          </w:p>
        </w:tc>
        <w:tc>
          <w:tcPr>
            <w:tcW w:w="1084" w:type="dxa"/>
            <w:vAlign w:val="center"/>
          </w:tcPr>
          <w:p w14:paraId="2F600EA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5541D4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未存放汽油和易燃易爆品</w:t>
            </w:r>
          </w:p>
        </w:tc>
        <w:tc>
          <w:tcPr>
            <w:tcW w:w="669" w:type="dxa"/>
            <w:vAlign w:val="center"/>
          </w:tcPr>
          <w:p w14:paraId="011A804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4DCB29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2CF4730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6BE2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958" w:type="dxa"/>
            <w:vAlign w:val="center"/>
          </w:tcPr>
          <w:p w14:paraId="0B4368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w:t>
            </w:r>
          </w:p>
        </w:tc>
        <w:tc>
          <w:tcPr>
            <w:tcW w:w="2377" w:type="dxa"/>
            <w:vAlign w:val="center"/>
          </w:tcPr>
          <w:p w14:paraId="46B967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严禁用汽油擦洗设备</w:t>
            </w:r>
            <w:r>
              <w:rPr>
                <w:rFonts w:hint="eastAsia"/>
                <w:color w:val="auto"/>
                <w:sz w:val="21"/>
                <w:szCs w:val="21"/>
                <w:vertAlign w:val="baseline"/>
                <w:lang w:val="en-US" w:eastAsia="zh-CN"/>
              </w:rPr>
              <w:t>。</w:t>
            </w:r>
          </w:p>
        </w:tc>
        <w:tc>
          <w:tcPr>
            <w:tcW w:w="1547" w:type="dxa"/>
            <w:vAlign w:val="center"/>
          </w:tcPr>
          <w:p w14:paraId="5B8CD3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17DA26E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5.7.1.5</w:t>
            </w:r>
          </w:p>
        </w:tc>
        <w:tc>
          <w:tcPr>
            <w:tcW w:w="1084" w:type="dxa"/>
            <w:vAlign w:val="center"/>
          </w:tcPr>
          <w:p w14:paraId="62C552B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4CF56DC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未使用</w:t>
            </w:r>
          </w:p>
        </w:tc>
        <w:tc>
          <w:tcPr>
            <w:tcW w:w="669" w:type="dxa"/>
            <w:vAlign w:val="center"/>
          </w:tcPr>
          <w:p w14:paraId="6A7CC5C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73418B0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08AB83F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6498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3" w:hRule="atLeast"/>
          <w:jc w:val="center"/>
        </w:trPr>
        <w:tc>
          <w:tcPr>
            <w:tcW w:w="958" w:type="dxa"/>
            <w:vAlign w:val="center"/>
          </w:tcPr>
          <w:p w14:paraId="06D7FD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6</w:t>
            </w:r>
          </w:p>
        </w:tc>
        <w:tc>
          <w:tcPr>
            <w:tcW w:w="2377" w:type="dxa"/>
            <w:vAlign w:val="center"/>
          </w:tcPr>
          <w:p w14:paraId="6158538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易燃易爆物品不应放在轨道接头、电缆接头或接地极附近。废弃的油料、棉纱和易燃物应妥善管理。</w:t>
            </w:r>
          </w:p>
        </w:tc>
        <w:tc>
          <w:tcPr>
            <w:tcW w:w="1547" w:type="dxa"/>
            <w:vAlign w:val="center"/>
          </w:tcPr>
          <w:p w14:paraId="68D7C8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5B92DDB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5.7.1.6</w:t>
            </w:r>
          </w:p>
        </w:tc>
        <w:tc>
          <w:tcPr>
            <w:tcW w:w="1084" w:type="dxa"/>
            <w:vAlign w:val="center"/>
          </w:tcPr>
          <w:p w14:paraId="710E75D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734A714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未发现上述现象</w:t>
            </w:r>
          </w:p>
        </w:tc>
        <w:tc>
          <w:tcPr>
            <w:tcW w:w="669" w:type="dxa"/>
            <w:vAlign w:val="center"/>
          </w:tcPr>
          <w:p w14:paraId="08ABA7A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339259A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78F7D0F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r>
      <w:tr w14:paraId="730B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58" w:type="dxa"/>
            <w:vAlign w:val="center"/>
          </w:tcPr>
          <w:p w14:paraId="52DADFA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7</w:t>
            </w:r>
          </w:p>
        </w:tc>
        <w:tc>
          <w:tcPr>
            <w:tcW w:w="2377" w:type="dxa"/>
            <w:vAlign w:val="center"/>
          </w:tcPr>
          <w:p w14:paraId="575BA4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木材场、防护用品仓库、民用爆炸物品储存库、氢和乙炔瓶库、石油液化气站和油库等重要场所，应建立防火制度，采取防火、防爆措施，备足消防器材。</w:t>
            </w:r>
          </w:p>
        </w:tc>
        <w:tc>
          <w:tcPr>
            <w:tcW w:w="1547" w:type="dxa"/>
            <w:vAlign w:val="center"/>
          </w:tcPr>
          <w:p w14:paraId="6D86A1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GB16423-2020</w:t>
            </w:r>
          </w:p>
          <w:p w14:paraId="7C3974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5.7.1.7</w:t>
            </w:r>
          </w:p>
        </w:tc>
        <w:tc>
          <w:tcPr>
            <w:tcW w:w="1084" w:type="dxa"/>
            <w:vAlign w:val="center"/>
          </w:tcPr>
          <w:p w14:paraId="302AAF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查看资料、生产现场</w:t>
            </w:r>
          </w:p>
        </w:tc>
        <w:tc>
          <w:tcPr>
            <w:tcW w:w="1385" w:type="dxa"/>
            <w:vAlign w:val="center"/>
          </w:tcPr>
          <w:p w14:paraId="296D286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不涉及</w:t>
            </w:r>
          </w:p>
        </w:tc>
        <w:tc>
          <w:tcPr>
            <w:tcW w:w="669" w:type="dxa"/>
            <w:vAlign w:val="center"/>
          </w:tcPr>
          <w:p w14:paraId="67B3D3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w:t>
            </w:r>
          </w:p>
        </w:tc>
        <w:tc>
          <w:tcPr>
            <w:tcW w:w="738" w:type="dxa"/>
            <w:vAlign w:val="center"/>
          </w:tcPr>
          <w:p w14:paraId="6DF43BB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r>
              <w:rPr>
                <w:rFonts w:hint="eastAsia"/>
                <w:color w:val="auto"/>
                <w:sz w:val="21"/>
                <w:szCs w:val="21"/>
                <w:vertAlign w:val="baseline"/>
                <w:lang w:val="en-US" w:eastAsia="zh-CN"/>
              </w:rPr>
              <w:t>不符合扣2分</w:t>
            </w:r>
          </w:p>
        </w:tc>
        <w:tc>
          <w:tcPr>
            <w:tcW w:w="530" w:type="dxa"/>
            <w:vAlign w:val="center"/>
          </w:tcPr>
          <w:p w14:paraId="5A5D976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r>
      <w:tr w14:paraId="158D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958" w:type="dxa"/>
            <w:vAlign w:val="center"/>
          </w:tcPr>
          <w:p w14:paraId="5F6345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小计</w:t>
            </w:r>
          </w:p>
        </w:tc>
        <w:tc>
          <w:tcPr>
            <w:tcW w:w="2377" w:type="dxa"/>
            <w:vAlign w:val="center"/>
          </w:tcPr>
          <w:p w14:paraId="39F35F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left"/>
              <w:textAlignment w:val="auto"/>
              <w:rPr>
                <w:rFonts w:hint="default"/>
                <w:color w:val="auto"/>
                <w:sz w:val="21"/>
                <w:szCs w:val="21"/>
                <w:vertAlign w:val="baseline"/>
                <w:lang w:val="en-US" w:eastAsia="zh-CN"/>
              </w:rPr>
            </w:pPr>
          </w:p>
        </w:tc>
        <w:tc>
          <w:tcPr>
            <w:tcW w:w="1547" w:type="dxa"/>
            <w:vAlign w:val="center"/>
          </w:tcPr>
          <w:p w14:paraId="354A480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084" w:type="dxa"/>
            <w:vAlign w:val="center"/>
          </w:tcPr>
          <w:p w14:paraId="5CF445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1385" w:type="dxa"/>
            <w:vAlign w:val="center"/>
          </w:tcPr>
          <w:p w14:paraId="15583B6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669" w:type="dxa"/>
            <w:vAlign w:val="center"/>
          </w:tcPr>
          <w:p w14:paraId="19037C3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c>
          <w:tcPr>
            <w:tcW w:w="738" w:type="dxa"/>
            <w:vAlign w:val="center"/>
          </w:tcPr>
          <w:p w14:paraId="69B1A50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color w:val="auto"/>
                <w:sz w:val="21"/>
                <w:szCs w:val="21"/>
                <w:vertAlign w:val="baseline"/>
                <w:lang w:val="en-US" w:eastAsia="zh-CN"/>
              </w:rPr>
            </w:pPr>
          </w:p>
        </w:tc>
        <w:tc>
          <w:tcPr>
            <w:tcW w:w="530" w:type="dxa"/>
            <w:vAlign w:val="center"/>
          </w:tcPr>
          <w:p w14:paraId="67A2AC5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10</w:t>
            </w:r>
          </w:p>
        </w:tc>
      </w:tr>
    </w:tbl>
    <w:p w14:paraId="0AA3AC49">
      <w:pPr>
        <w:pStyle w:val="4"/>
        <w:bidi w:val="0"/>
        <w:rPr>
          <w:rFonts w:hint="default"/>
          <w:color w:val="auto"/>
          <w:lang w:val="en-US" w:eastAsia="zh-CN"/>
        </w:rPr>
      </w:pPr>
      <w:bookmarkStart w:id="363" w:name="_Toc6252"/>
      <w:bookmarkStart w:id="364" w:name="_Toc3840"/>
      <w:bookmarkStart w:id="365" w:name="_Toc1677"/>
      <w:bookmarkStart w:id="366" w:name="_Toc7986"/>
      <w:r>
        <w:rPr>
          <w:rFonts w:hint="eastAsia"/>
          <w:color w:val="auto"/>
          <w:lang w:val="en-US" w:eastAsia="zh-CN"/>
        </w:rPr>
        <w:t>5.6.2 评价小结</w:t>
      </w:r>
      <w:bookmarkEnd w:id="363"/>
      <w:bookmarkEnd w:id="364"/>
      <w:bookmarkEnd w:id="365"/>
      <w:bookmarkEnd w:id="366"/>
    </w:p>
    <w:p w14:paraId="72AA2866">
      <w:pPr>
        <w:rPr>
          <w:rFonts w:hint="default"/>
          <w:color w:val="auto"/>
          <w:lang w:val="en-US" w:eastAsia="zh-CN"/>
        </w:rPr>
      </w:pPr>
      <w:r>
        <w:rPr>
          <w:rFonts w:hint="eastAsia"/>
          <w:color w:val="auto"/>
          <w:lang w:val="en-US" w:eastAsia="zh-CN"/>
        </w:rPr>
        <w:t>曹溪二矿</w:t>
      </w:r>
      <w:r>
        <w:rPr>
          <w:rFonts w:hint="default"/>
          <w:color w:val="auto"/>
          <w:lang w:val="en-US" w:eastAsia="zh-CN"/>
        </w:rPr>
        <w:t>防</w:t>
      </w:r>
      <w:r>
        <w:rPr>
          <w:rFonts w:hint="eastAsia"/>
          <w:color w:val="auto"/>
          <w:lang w:val="en-US" w:eastAsia="zh-CN"/>
        </w:rPr>
        <w:t>灭火</w:t>
      </w:r>
      <w:r>
        <w:rPr>
          <w:rFonts w:hint="default"/>
          <w:color w:val="auto"/>
          <w:lang w:val="en-US" w:eastAsia="zh-CN"/>
        </w:rPr>
        <w:t>单元检查表中无否决项，一般项总分</w:t>
      </w:r>
      <w:r>
        <w:rPr>
          <w:rFonts w:hint="eastAsia"/>
          <w:color w:val="auto"/>
          <w:lang w:val="en-US" w:eastAsia="zh-CN"/>
        </w:rPr>
        <w:t>10</w:t>
      </w:r>
      <w:r>
        <w:rPr>
          <w:rFonts w:hint="default"/>
          <w:color w:val="auto"/>
          <w:lang w:val="en-US" w:eastAsia="zh-CN"/>
        </w:rPr>
        <w:t>分，得分</w:t>
      </w:r>
      <w:r>
        <w:rPr>
          <w:rFonts w:hint="eastAsia"/>
          <w:color w:val="auto"/>
          <w:lang w:val="en-US" w:eastAsia="zh-CN"/>
        </w:rPr>
        <w:t>10</w:t>
      </w:r>
      <w:r>
        <w:rPr>
          <w:rFonts w:hint="default"/>
          <w:color w:val="auto"/>
          <w:lang w:val="en-US" w:eastAsia="zh-CN"/>
        </w:rPr>
        <w:t>分，得分率为100%，说明</w:t>
      </w:r>
      <w:r>
        <w:rPr>
          <w:rFonts w:hint="eastAsia"/>
          <w:color w:val="auto"/>
          <w:lang w:val="en-US" w:eastAsia="zh-CN"/>
        </w:rPr>
        <w:t>曹溪二矿</w:t>
      </w:r>
      <w:r>
        <w:rPr>
          <w:rFonts w:hint="default"/>
          <w:color w:val="auto"/>
          <w:lang w:val="en-US" w:eastAsia="zh-CN"/>
        </w:rPr>
        <w:t>防</w:t>
      </w:r>
      <w:r>
        <w:rPr>
          <w:rFonts w:hint="eastAsia"/>
          <w:color w:val="auto"/>
          <w:lang w:val="en-US" w:eastAsia="zh-CN"/>
        </w:rPr>
        <w:t>灭火</w:t>
      </w:r>
      <w:r>
        <w:rPr>
          <w:rFonts w:hint="default"/>
          <w:color w:val="auto"/>
          <w:lang w:val="en-US" w:eastAsia="zh-CN"/>
        </w:rPr>
        <w:t>单元具备安全生产条件。</w:t>
      </w:r>
    </w:p>
    <w:p w14:paraId="77CFC334">
      <w:pPr>
        <w:pStyle w:val="3"/>
        <w:bidi w:val="0"/>
        <w:rPr>
          <w:rFonts w:hint="default"/>
          <w:color w:val="auto"/>
          <w:lang w:val="en-US" w:eastAsia="zh-CN"/>
        </w:rPr>
      </w:pPr>
      <w:bookmarkStart w:id="367" w:name="_Toc9939"/>
      <w:bookmarkStart w:id="368" w:name="_Toc1468"/>
      <w:bookmarkStart w:id="369" w:name="_Toc17912"/>
      <w:bookmarkStart w:id="370" w:name="_Toc19967"/>
      <w:r>
        <w:rPr>
          <w:rFonts w:hint="eastAsia"/>
          <w:color w:val="auto"/>
          <w:lang w:val="en-US" w:eastAsia="zh-CN"/>
        </w:rPr>
        <w:t>5.7 重大生产安全事故隐患判定</w:t>
      </w:r>
      <w:bookmarkEnd w:id="367"/>
      <w:bookmarkEnd w:id="368"/>
      <w:bookmarkEnd w:id="369"/>
      <w:bookmarkEnd w:id="370"/>
    </w:p>
    <w:p w14:paraId="4D9D88A6">
      <w:pPr>
        <w:rPr>
          <w:rFonts w:hint="default"/>
          <w:color w:val="auto"/>
          <w:lang w:val="en-US" w:eastAsia="zh-CN"/>
        </w:rPr>
      </w:pPr>
      <w:r>
        <w:rPr>
          <w:rFonts w:hint="default"/>
          <w:color w:val="auto"/>
          <w:lang w:val="en-US" w:eastAsia="zh-CN"/>
        </w:rPr>
        <w:t>根据《国家矿山安全监察局关于印发〈金属非金属矿山重大事故隐患判定标准〉的通知》（矿安〔2022〕88号）和《国家矿山安全监察局关于印发&lt;金属非金属矿山重大事故隐患判定标准补充情形&gt;的通知》（矿安〔2024〕41号），对</w:t>
      </w:r>
      <w:r>
        <w:rPr>
          <w:rFonts w:hint="eastAsia"/>
          <w:color w:val="auto"/>
          <w:lang w:val="en-US" w:eastAsia="zh-CN"/>
        </w:rPr>
        <w:t>曹溪二矿</w:t>
      </w:r>
      <w:r>
        <w:rPr>
          <w:rFonts w:hint="default"/>
          <w:color w:val="auto"/>
          <w:lang w:val="en-US" w:eastAsia="zh-CN"/>
        </w:rPr>
        <w:t>进行重大生产安全事故隐患判定，判定情况见表</w:t>
      </w:r>
      <w:r>
        <w:rPr>
          <w:rFonts w:hint="eastAsia"/>
          <w:color w:val="auto"/>
          <w:lang w:val="en-US" w:eastAsia="zh-CN"/>
        </w:rPr>
        <w:t>5.7</w:t>
      </w:r>
      <w:r>
        <w:rPr>
          <w:rFonts w:hint="default"/>
          <w:color w:val="auto"/>
          <w:lang w:val="en-US" w:eastAsia="zh-CN"/>
        </w:rPr>
        <w:t>-</w:t>
      </w:r>
      <w:r>
        <w:rPr>
          <w:rFonts w:hint="eastAsia"/>
          <w:color w:val="auto"/>
          <w:lang w:val="en-US" w:eastAsia="zh-CN"/>
        </w:rPr>
        <w:t>1</w:t>
      </w:r>
      <w:r>
        <w:rPr>
          <w:rFonts w:hint="default"/>
          <w:color w:val="auto"/>
          <w:lang w:val="en-US" w:eastAsia="zh-CN"/>
        </w:rPr>
        <w:t>。</w:t>
      </w:r>
    </w:p>
    <w:p w14:paraId="4BFDD25A">
      <w:pPr>
        <w:ind w:left="0" w:leftChars="0" w:firstLine="0" w:firstLineChars="0"/>
        <w:jc w:val="center"/>
        <w:rPr>
          <w:rFonts w:hint="eastAsia"/>
          <w:color w:val="auto"/>
          <w:lang w:val="en-US" w:eastAsia="zh-CN"/>
        </w:rPr>
      </w:pPr>
      <w:r>
        <w:rPr>
          <w:rFonts w:hint="default"/>
          <w:color w:val="auto"/>
          <w:lang w:val="en-US" w:eastAsia="zh-CN"/>
        </w:rPr>
        <w:t>表</w:t>
      </w:r>
      <w:r>
        <w:rPr>
          <w:rFonts w:hint="eastAsia"/>
          <w:color w:val="auto"/>
          <w:lang w:val="en-US" w:eastAsia="zh-CN"/>
        </w:rPr>
        <w:t>5.7</w:t>
      </w:r>
      <w:r>
        <w:rPr>
          <w:rFonts w:hint="default"/>
          <w:color w:val="auto"/>
          <w:lang w:val="en-US" w:eastAsia="zh-CN"/>
        </w:rPr>
        <w:t>-</w:t>
      </w:r>
      <w:r>
        <w:rPr>
          <w:rFonts w:hint="eastAsia"/>
          <w:color w:val="auto"/>
          <w:lang w:val="en-US" w:eastAsia="zh-CN"/>
        </w:rPr>
        <w:t>1 重大事故隐患判定检查表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5107"/>
        <w:gridCol w:w="2336"/>
        <w:gridCol w:w="1161"/>
      </w:tblGrid>
      <w:tr w14:paraId="2E96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65" w:type="pct"/>
            <w:noWrap w:val="0"/>
            <w:vAlign w:val="center"/>
          </w:tcPr>
          <w:p w14:paraId="276A089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序号</w:t>
            </w:r>
          </w:p>
        </w:tc>
        <w:tc>
          <w:tcPr>
            <w:tcW w:w="2750" w:type="pct"/>
            <w:noWrap w:val="0"/>
            <w:vAlign w:val="center"/>
          </w:tcPr>
          <w:p w14:paraId="70D41E6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判定标准</w:t>
            </w:r>
          </w:p>
        </w:tc>
        <w:tc>
          <w:tcPr>
            <w:tcW w:w="1258" w:type="pct"/>
            <w:noWrap w:val="0"/>
            <w:vAlign w:val="center"/>
          </w:tcPr>
          <w:p w14:paraId="141BF47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检查情况</w:t>
            </w:r>
          </w:p>
        </w:tc>
        <w:tc>
          <w:tcPr>
            <w:tcW w:w="625" w:type="pct"/>
            <w:noWrap w:val="0"/>
            <w:vAlign w:val="center"/>
          </w:tcPr>
          <w:p w14:paraId="1CD7B33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判定结果</w:t>
            </w:r>
          </w:p>
        </w:tc>
      </w:tr>
      <w:tr w14:paraId="63CC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5" w:type="pct"/>
            <w:noWrap w:val="0"/>
            <w:vAlign w:val="center"/>
          </w:tcPr>
          <w:p w14:paraId="7F2D6E4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w:t>
            </w:r>
          </w:p>
        </w:tc>
        <w:tc>
          <w:tcPr>
            <w:tcW w:w="2750" w:type="pct"/>
            <w:noWrap w:val="0"/>
            <w:vAlign w:val="center"/>
          </w:tcPr>
          <w:p w14:paraId="04FFD61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地下开采转露天开采前，未探明采空区和溶洞，或者未按设计处理对露天开采安全有威胁的采空区和溶洞。</w:t>
            </w:r>
          </w:p>
        </w:tc>
        <w:tc>
          <w:tcPr>
            <w:tcW w:w="1258" w:type="pct"/>
            <w:noWrap w:val="0"/>
            <w:vAlign w:val="center"/>
          </w:tcPr>
          <w:p w14:paraId="04EDFD9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不存在上述情况</w:t>
            </w:r>
          </w:p>
        </w:tc>
        <w:tc>
          <w:tcPr>
            <w:tcW w:w="625" w:type="pct"/>
            <w:noWrap w:val="0"/>
            <w:vAlign w:val="center"/>
          </w:tcPr>
          <w:p w14:paraId="470C6CE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4AFD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65" w:type="pct"/>
            <w:noWrap w:val="0"/>
            <w:vAlign w:val="center"/>
          </w:tcPr>
          <w:p w14:paraId="52CB2C0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w:t>
            </w:r>
          </w:p>
        </w:tc>
        <w:tc>
          <w:tcPr>
            <w:tcW w:w="2750" w:type="pct"/>
            <w:noWrap w:val="0"/>
            <w:vAlign w:val="center"/>
          </w:tcPr>
          <w:p w14:paraId="76C6F45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使用国家明令禁止使用的设备、材料</w:t>
            </w:r>
            <w:r>
              <w:rPr>
                <w:rFonts w:hint="eastAsia" w:ascii="Times New Roman" w:hAnsi="宋体" w:eastAsia="宋体" w:cs="Times New Roman"/>
                <w:color w:val="auto"/>
                <w:kern w:val="0"/>
                <w:sz w:val="21"/>
                <w:szCs w:val="21"/>
                <w:lang w:val="en-US" w:eastAsia="zh-CN" w:bidi="ar-SA"/>
              </w:rPr>
              <w:t>或者</w:t>
            </w:r>
            <w:r>
              <w:rPr>
                <w:rFonts w:ascii="Times New Roman" w:hAnsi="宋体" w:eastAsia="宋体" w:cs="Times New Roman"/>
                <w:color w:val="auto"/>
                <w:kern w:val="0"/>
                <w:sz w:val="21"/>
                <w:szCs w:val="21"/>
                <w:lang w:val="en-US" w:eastAsia="zh-CN" w:bidi="ar-SA"/>
              </w:rPr>
              <w:t>工艺。</w:t>
            </w:r>
          </w:p>
        </w:tc>
        <w:tc>
          <w:tcPr>
            <w:tcW w:w="1258" w:type="pct"/>
            <w:noWrap w:val="0"/>
            <w:vAlign w:val="center"/>
          </w:tcPr>
          <w:p w14:paraId="6B3711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未使用</w:t>
            </w:r>
          </w:p>
        </w:tc>
        <w:tc>
          <w:tcPr>
            <w:tcW w:w="625" w:type="pct"/>
            <w:noWrap w:val="0"/>
            <w:vAlign w:val="center"/>
          </w:tcPr>
          <w:p w14:paraId="6A90546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8374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5" w:type="pct"/>
            <w:noWrap w:val="0"/>
            <w:vAlign w:val="center"/>
          </w:tcPr>
          <w:p w14:paraId="4E164AB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w:t>
            </w:r>
          </w:p>
        </w:tc>
        <w:tc>
          <w:tcPr>
            <w:tcW w:w="2750" w:type="pct"/>
            <w:noWrap w:val="0"/>
            <w:vAlign w:val="center"/>
          </w:tcPr>
          <w:p w14:paraId="78C10DA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未采用自上而下的开采顺序分台阶或者分层开采。</w:t>
            </w:r>
          </w:p>
        </w:tc>
        <w:tc>
          <w:tcPr>
            <w:tcW w:w="1258" w:type="pct"/>
            <w:noWrap w:val="0"/>
            <w:vAlign w:val="center"/>
          </w:tcPr>
          <w:p w14:paraId="005C003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自上而下，分台阶</w:t>
            </w:r>
            <w:r>
              <w:rPr>
                <w:rFonts w:hint="eastAsia" w:ascii="Times New Roman" w:hAnsi="宋体" w:eastAsia="宋体" w:cs="Times New Roman"/>
                <w:color w:val="auto"/>
                <w:kern w:val="0"/>
                <w:sz w:val="21"/>
                <w:szCs w:val="21"/>
                <w:lang w:val="en-US" w:eastAsia="zh-CN" w:bidi="ar-SA"/>
              </w:rPr>
              <w:t>逐层</w:t>
            </w:r>
            <w:r>
              <w:rPr>
                <w:rFonts w:ascii="Times New Roman" w:hAnsi="宋体" w:eastAsia="宋体" w:cs="Times New Roman"/>
                <w:color w:val="auto"/>
                <w:kern w:val="0"/>
                <w:sz w:val="21"/>
                <w:szCs w:val="21"/>
                <w:lang w:val="en-US" w:eastAsia="zh-CN" w:bidi="ar-SA"/>
              </w:rPr>
              <w:t>开采</w:t>
            </w:r>
          </w:p>
        </w:tc>
        <w:tc>
          <w:tcPr>
            <w:tcW w:w="625" w:type="pct"/>
            <w:noWrap w:val="0"/>
            <w:vAlign w:val="center"/>
          </w:tcPr>
          <w:p w14:paraId="490F741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5891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5" w:type="pct"/>
            <w:noWrap w:val="0"/>
            <w:vAlign w:val="center"/>
          </w:tcPr>
          <w:p w14:paraId="71A1B11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4</w:t>
            </w:r>
          </w:p>
        </w:tc>
        <w:tc>
          <w:tcPr>
            <w:tcW w:w="2750" w:type="pct"/>
            <w:noWrap w:val="0"/>
            <w:vAlign w:val="center"/>
          </w:tcPr>
          <w:p w14:paraId="38A8AF1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工作帮坡角大于设计工作帮坡角，或者最终边坡台阶高度超过设计高度</w:t>
            </w:r>
            <w:r>
              <w:rPr>
                <w:rFonts w:hint="eastAsia" w:ascii="Times New Roman" w:hAnsi="宋体" w:eastAsia="宋体" w:cs="Times New Roman"/>
                <w:color w:val="auto"/>
                <w:kern w:val="0"/>
                <w:sz w:val="21"/>
                <w:szCs w:val="21"/>
                <w:lang w:val="en-US" w:eastAsia="zh-CN" w:bidi="ar-SA"/>
              </w:rPr>
              <w:t>。</w:t>
            </w:r>
          </w:p>
        </w:tc>
        <w:tc>
          <w:tcPr>
            <w:tcW w:w="1258" w:type="pct"/>
            <w:noWrap w:val="0"/>
            <w:vAlign w:val="center"/>
          </w:tcPr>
          <w:p w14:paraId="39DEF1B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FF0000"/>
                <w:kern w:val="0"/>
                <w:sz w:val="21"/>
                <w:szCs w:val="21"/>
                <w:lang w:val="en-US" w:eastAsia="zh-CN" w:bidi="ar-SA"/>
              </w:rPr>
              <w:t>工作帮坡角符合要求</w:t>
            </w:r>
          </w:p>
        </w:tc>
        <w:tc>
          <w:tcPr>
            <w:tcW w:w="625" w:type="pct"/>
            <w:noWrap w:val="0"/>
            <w:vAlign w:val="center"/>
          </w:tcPr>
          <w:p w14:paraId="532781C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03A2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65" w:type="pct"/>
            <w:noWrap w:val="0"/>
            <w:vAlign w:val="center"/>
          </w:tcPr>
          <w:p w14:paraId="70D52EC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5</w:t>
            </w:r>
          </w:p>
        </w:tc>
        <w:tc>
          <w:tcPr>
            <w:tcW w:w="2750" w:type="pct"/>
            <w:noWrap w:val="0"/>
            <w:vAlign w:val="center"/>
          </w:tcPr>
          <w:p w14:paraId="1D14983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开采或者破坏设计要求保留的矿（岩）柱或者挂帮矿体。</w:t>
            </w:r>
          </w:p>
        </w:tc>
        <w:tc>
          <w:tcPr>
            <w:tcW w:w="1258" w:type="pct"/>
            <w:noWrap w:val="0"/>
            <w:vAlign w:val="center"/>
          </w:tcPr>
          <w:p w14:paraId="5C68B96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无此现象</w:t>
            </w:r>
          </w:p>
        </w:tc>
        <w:tc>
          <w:tcPr>
            <w:tcW w:w="625" w:type="pct"/>
            <w:noWrap w:val="0"/>
            <w:vAlign w:val="center"/>
          </w:tcPr>
          <w:p w14:paraId="475450F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6D4D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65" w:type="pct"/>
            <w:noWrap w:val="0"/>
            <w:vAlign w:val="center"/>
          </w:tcPr>
          <w:p w14:paraId="2A7E48F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6</w:t>
            </w:r>
          </w:p>
        </w:tc>
        <w:tc>
          <w:tcPr>
            <w:tcW w:w="2750" w:type="pct"/>
            <w:noWrap w:val="0"/>
            <w:vAlign w:val="center"/>
          </w:tcPr>
          <w:p w14:paraId="1DB2A9B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未按有关国家标准或者行业标准对采场边坡、排土场边坡进行稳定性分析。</w:t>
            </w:r>
          </w:p>
        </w:tc>
        <w:tc>
          <w:tcPr>
            <w:tcW w:w="1258" w:type="pct"/>
            <w:noWrap w:val="0"/>
            <w:vAlign w:val="center"/>
          </w:tcPr>
          <w:p w14:paraId="36B9A47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FF0000"/>
                <w:kern w:val="0"/>
                <w:sz w:val="21"/>
                <w:szCs w:val="21"/>
                <w:lang w:val="en-US" w:eastAsia="zh-CN" w:bidi="ar-SA"/>
              </w:rPr>
              <w:t>2023年6月</w:t>
            </w:r>
            <w:r>
              <w:rPr>
                <w:rFonts w:hint="eastAsia" w:hAnsi="宋体" w:cs="Times New Roman"/>
                <w:color w:val="FF0000"/>
                <w:kern w:val="0"/>
                <w:sz w:val="21"/>
                <w:szCs w:val="21"/>
                <w:lang w:val="en-US" w:eastAsia="zh-CN" w:bidi="ar-SA"/>
              </w:rPr>
              <w:t>委托</w:t>
            </w:r>
            <w:r>
              <w:rPr>
                <w:rFonts w:hint="eastAsia" w:ascii="Times New Roman" w:hAnsi="宋体" w:eastAsia="宋体" w:cs="Times New Roman"/>
                <w:color w:val="FF0000"/>
                <w:kern w:val="0"/>
                <w:sz w:val="21"/>
                <w:szCs w:val="21"/>
                <w:lang w:val="en-US" w:eastAsia="zh-CN" w:bidi="ar-SA"/>
              </w:rPr>
              <w:t>南昌程华工程设计咨询有限公司</w:t>
            </w:r>
            <w:r>
              <w:rPr>
                <w:rFonts w:hint="eastAsia" w:hAnsi="宋体" w:cs="Times New Roman"/>
                <w:color w:val="FF0000"/>
                <w:kern w:val="0"/>
                <w:sz w:val="21"/>
                <w:szCs w:val="21"/>
                <w:lang w:val="en-US" w:eastAsia="zh-CN" w:bidi="ar-SA"/>
              </w:rPr>
              <w:t>编制了</w:t>
            </w:r>
            <w:r>
              <w:rPr>
                <w:rFonts w:hint="eastAsia" w:ascii="Times New Roman" w:hAnsi="宋体" w:eastAsia="宋体" w:cs="Times New Roman"/>
                <w:color w:val="FF0000"/>
                <w:kern w:val="0"/>
                <w:sz w:val="21"/>
                <w:szCs w:val="21"/>
                <w:lang w:val="en-US" w:eastAsia="zh-CN" w:bidi="ar-SA"/>
              </w:rPr>
              <w:t>《弋阳海螺水泥有限责任公司江西省弋阳县曹溪二矿区制碱用灰岩矿露天开采工程边坡稳定性分析报告》</w:t>
            </w:r>
          </w:p>
        </w:tc>
        <w:tc>
          <w:tcPr>
            <w:tcW w:w="625" w:type="pct"/>
            <w:noWrap w:val="0"/>
            <w:vAlign w:val="center"/>
          </w:tcPr>
          <w:p w14:paraId="343609F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1D95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5" w:type="pct"/>
            <w:noWrap w:val="0"/>
            <w:vAlign w:val="center"/>
          </w:tcPr>
          <w:p w14:paraId="6FC8D0B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7</w:t>
            </w:r>
          </w:p>
        </w:tc>
        <w:tc>
          <w:tcPr>
            <w:tcW w:w="2750" w:type="pct"/>
            <w:noWrap w:val="0"/>
            <w:vAlign w:val="center"/>
          </w:tcPr>
          <w:p w14:paraId="5A09170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边坡存在下列情形之一的：</w:t>
            </w:r>
          </w:p>
          <w:p w14:paraId="2443B8D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1.高度200米及以上的采场边坡未进行在线监测；</w:t>
            </w:r>
          </w:p>
          <w:p w14:paraId="146FC02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2.高度200米及以上的排土场边坡未建立边坡稳定监测系统；</w:t>
            </w:r>
          </w:p>
          <w:p w14:paraId="3A4EE75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3.关闭、破坏监测系统或者隐瞒、篡改、销毁其相关数据、信息。</w:t>
            </w:r>
          </w:p>
        </w:tc>
        <w:tc>
          <w:tcPr>
            <w:tcW w:w="1258" w:type="pct"/>
            <w:noWrap w:val="0"/>
            <w:vAlign w:val="center"/>
          </w:tcPr>
          <w:p w14:paraId="6803C38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不涉及</w:t>
            </w:r>
          </w:p>
        </w:tc>
        <w:tc>
          <w:tcPr>
            <w:tcW w:w="625" w:type="pct"/>
            <w:noWrap w:val="0"/>
            <w:vAlign w:val="center"/>
          </w:tcPr>
          <w:p w14:paraId="785A557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1D5F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5" w:type="pct"/>
            <w:noWrap w:val="0"/>
            <w:vAlign w:val="center"/>
          </w:tcPr>
          <w:p w14:paraId="3C4609C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8</w:t>
            </w:r>
          </w:p>
        </w:tc>
        <w:tc>
          <w:tcPr>
            <w:tcW w:w="2750" w:type="pct"/>
            <w:noWrap w:val="0"/>
            <w:vAlign w:val="center"/>
          </w:tcPr>
          <w:p w14:paraId="12DEAFF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边坡出现滑移现象，存在下列情形之一的：</w:t>
            </w:r>
          </w:p>
          <w:p w14:paraId="5903BE8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1.边坡出现横向及纵向放射状裂缝；</w:t>
            </w:r>
          </w:p>
          <w:p w14:paraId="3C3597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2.坡体前缘坡脚处出现上隆（凸起）现象，后缘的裂缝急剧扩展；</w:t>
            </w:r>
          </w:p>
          <w:p w14:paraId="30BF5D6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3.位移观测资料显示的水平位移量或者垂直位移量出现加速变化的趋势。</w:t>
            </w:r>
          </w:p>
        </w:tc>
        <w:tc>
          <w:tcPr>
            <w:tcW w:w="1258" w:type="pct"/>
            <w:noWrap w:val="0"/>
            <w:vAlign w:val="center"/>
          </w:tcPr>
          <w:p w14:paraId="6B218F3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未出现上述情况</w:t>
            </w:r>
          </w:p>
        </w:tc>
        <w:tc>
          <w:tcPr>
            <w:tcW w:w="625" w:type="pct"/>
            <w:noWrap w:val="0"/>
            <w:vAlign w:val="center"/>
          </w:tcPr>
          <w:p w14:paraId="2FB5CD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6A31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65" w:type="pct"/>
            <w:noWrap w:val="0"/>
            <w:vAlign w:val="center"/>
          </w:tcPr>
          <w:p w14:paraId="6912CAF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9</w:t>
            </w:r>
          </w:p>
        </w:tc>
        <w:tc>
          <w:tcPr>
            <w:tcW w:w="2750" w:type="pct"/>
            <w:noWrap w:val="0"/>
            <w:vAlign w:val="center"/>
          </w:tcPr>
          <w:p w14:paraId="525200F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运输道路坡度大于设计坡度10%以上。</w:t>
            </w:r>
          </w:p>
        </w:tc>
        <w:tc>
          <w:tcPr>
            <w:tcW w:w="1258" w:type="pct"/>
            <w:noWrap w:val="0"/>
            <w:vAlign w:val="center"/>
          </w:tcPr>
          <w:p w14:paraId="0E2532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运输道路坡度满足要求</w:t>
            </w:r>
          </w:p>
        </w:tc>
        <w:tc>
          <w:tcPr>
            <w:tcW w:w="625" w:type="pct"/>
            <w:noWrap w:val="0"/>
            <w:vAlign w:val="center"/>
          </w:tcPr>
          <w:p w14:paraId="36038F7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2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910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365" w:type="pct"/>
            <w:noWrap w:val="0"/>
            <w:vAlign w:val="center"/>
          </w:tcPr>
          <w:p w14:paraId="078CE8B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10</w:t>
            </w:r>
          </w:p>
        </w:tc>
        <w:tc>
          <w:tcPr>
            <w:tcW w:w="2750" w:type="pct"/>
            <w:noWrap w:val="0"/>
            <w:vAlign w:val="center"/>
          </w:tcPr>
          <w:p w14:paraId="6CB2387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凹陷露天矿山未按设计建设防洪、排洪设施。</w:t>
            </w:r>
          </w:p>
        </w:tc>
        <w:tc>
          <w:tcPr>
            <w:tcW w:w="1258" w:type="pct"/>
            <w:noWrap w:val="0"/>
            <w:vAlign w:val="center"/>
          </w:tcPr>
          <w:p w14:paraId="3B10B6F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暂</w:t>
            </w:r>
            <w:r>
              <w:rPr>
                <w:rFonts w:hint="eastAsia" w:ascii="Times New Roman" w:hAnsi="宋体" w:eastAsia="宋体" w:cs="Times New Roman"/>
                <w:color w:val="auto"/>
                <w:kern w:val="0"/>
                <w:sz w:val="21"/>
                <w:szCs w:val="21"/>
                <w:lang w:val="en-US" w:eastAsia="zh-CN" w:bidi="ar-SA"/>
              </w:rPr>
              <w:t>不涉及凹陷</w:t>
            </w:r>
            <w:r>
              <w:rPr>
                <w:rFonts w:hint="eastAsia" w:hAnsi="宋体" w:cs="Times New Roman"/>
                <w:color w:val="auto"/>
                <w:kern w:val="0"/>
                <w:sz w:val="21"/>
                <w:szCs w:val="21"/>
                <w:lang w:val="en-US" w:eastAsia="zh-CN" w:bidi="ar-SA"/>
              </w:rPr>
              <w:t>开采</w:t>
            </w:r>
          </w:p>
        </w:tc>
        <w:tc>
          <w:tcPr>
            <w:tcW w:w="625" w:type="pct"/>
            <w:noWrap w:val="0"/>
            <w:vAlign w:val="center"/>
          </w:tcPr>
          <w:p w14:paraId="1EEE797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7CB5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365" w:type="pct"/>
            <w:noWrap w:val="0"/>
            <w:vAlign w:val="center"/>
          </w:tcPr>
          <w:p w14:paraId="7CD9822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11</w:t>
            </w:r>
          </w:p>
        </w:tc>
        <w:tc>
          <w:tcPr>
            <w:tcW w:w="2750" w:type="pct"/>
            <w:noWrap w:val="0"/>
            <w:vAlign w:val="center"/>
          </w:tcPr>
          <w:p w14:paraId="485A8AA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排土场存在下列情形之一的：</w:t>
            </w:r>
          </w:p>
          <w:p w14:paraId="5D1745C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1.在平均坡度大于1</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5的地基上顺坡排土，未按设计采取安全措施；</w:t>
            </w:r>
          </w:p>
          <w:p w14:paraId="744210B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2.排土场总堆置高度2倍范围以内有人员密集场所，未按设计采取安全措施；</w:t>
            </w:r>
          </w:p>
          <w:p w14:paraId="10E1239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3.山坡排土场周围未按设计修筑截、排水设施。</w:t>
            </w:r>
          </w:p>
        </w:tc>
        <w:tc>
          <w:tcPr>
            <w:tcW w:w="1258" w:type="pct"/>
            <w:noWrap w:val="0"/>
            <w:vAlign w:val="center"/>
          </w:tcPr>
          <w:p w14:paraId="3CD5576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无排土场，不涉及</w:t>
            </w:r>
          </w:p>
        </w:tc>
        <w:tc>
          <w:tcPr>
            <w:tcW w:w="625" w:type="pct"/>
            <w:noWrap w:val="0"/>
            <w:vAlign w:val="center"/>
          </w:tcPr>
          <w:p w14:paraId="1FC3EEE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3F5C0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5" w:type="pct"/>
            <w:noWrap w:val="0"/>
            <w:vAlign w:val="center"/>
          </w:tcPr>
          <w:p w14:paraId="3F3212F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12</w:t>
            </w:r>
          </w:p>
        </w:tc>
        <w:tc>
          <w:tcPr>
            <w:tcW w:w="2750" w:type="pct"/>
            <w:noWrap w:val="0"/>
            <w:vAlign w:val="center"/>
          </w:tcPr>
          <w:p w14:paraId="70AC577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露天采场未按设计设置安全平台和清扫平台。</w:t>
            </w:r>
          </w:p>
        </w:tc>
        <w:tc>
          <w:tcPr>
            <w:tcW w:w="1258" w:type="pct"/>
            <w:noWrap w:val="0"/>
            <w:vAlign w:val="center"/>
          </w:tcPr>
          <w:p w14:paraId="2E56013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暂未形成</w:t>
            </w:r>
            <w:r>
              <w:rPr>
                <w:rFonts w:ascii="Times New Roman" w:hAnsi="宋体" w:eastAsia="宋体" w:cs="Times New Roman"/>
                <w:color w:val="auto"/>
                <w:kern w:val="0"/>
                <w:sz w:val="21"/>
                <w:szCs w:val="21"/>
                <w:lang w:val="en-US" w:eastAsia="zh-CN" w:bidi="ar-SA"/>
              </w:rPr>
              <w:t>安全平台和清扫平台</w:t>
            </w:r>
          </w:p>
        </w:tc>
        <w:tc>
          <w:tcPr>
            <w:tcW w:w="625" w:type="pct"/>
            <w:noWrap w:val="0"/>
            <w:vAlign w:val="center"/>
          </w:tcPr>
          <w:p w14:paraId="4328391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1073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65" w:type="pct"/>
            <w:noWrap w:val="0"/>
            <w:vAlign w:val="center"/>
          </w:tcPr>
          <w:p w14:paraId="037D5F3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13</w:t>
            </w:r>
          </w:p>
        </w:tc>
        <w:tc>
          <w:tcPr>
            <w:tcW w:w="2750" w:type="pct"/>
            <w:noWrap w:val="0"/>
            <w:vAlign w:val="center"/>
          </w:tcPr>
          <w:p w14:paraId="72EB270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擅自对在用排土场进行回采作业。</w:t>
            </w:r>
          </w:p>
        </w:tc>
        <w:tc>
          <w:tcPr>
            <w:tcW w:w="1258" w:type="pct"/>
            <w:noWrap w:val="0"/>
            <w:vAlign w:val="center"/>
          </w:tcPr>
          <w:p w14:paraId="34BAF8D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无排土场，不涉及</w:t>
            </w:r>
          </w:p>
        </w:tc>
        <w:tc>
          <w:tcPr>
            <w:tcW w:w="625" w:type="pct"/>
            <w:noWrap w:val="0"/>
            <w:vAlign w:val="center"/>
          </w:tcPr>
          <w:p w14:paraId="67E6059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49F4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65" w:type="pct"/>
            <w:noWrap w:val="0"/>
            <w:vAlign w:val="center"/>
          </w:tcPr>
          <w:p w14:paraId="7E905F1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14</w:t>
            </w:r>
          </w:p>
        </w:tc>
        <w:tc>
          <w:tcPr>
            <w:tcW w:w="2750" w:type="pct"/>
            <w:noWrap w:val="0"/>
            <w:vAlign w:val="center"/>
          </w:tcPr>
          <w:p w14:paraId="01F2551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办公区、生活区等人员集聚场所设在危崖、塌陷区、崩落区，或洪水、泥石流、滑坡等灾害威胁范围内。</w:t>
            </w:r>
          </w:p>
        </w:tc>
        <w:tc>
          <w:tcPr>
            <w:tcW w:w="1258" w:type="pct"/>
            <w:noWrap w:val="0"/>
            <w:vAlign w:val="center"/>
          </w:tcPr>
          <w:p w14:paraId="5070FDA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无此现象</w:t>
            </w:r>
          </w:p>
        </w:tc>
        <w:tc>
          <w:tcPr>
            <w:tcW w:w="625" w:type="pct"/>
            <w:noWrap w:val="0"/>
            <w:vAlign w:val="center"/>
          </w:tcPr>
          <w:p w14:paraId="16291F2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r w14:paraId="2643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65" w:type="pct"/>
            <w:noWrap w:val="0"/>
            <w:vAlign w:val="center"/>
          </w:tcPr>
          <w:p w14:paraId="1EC8DC6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2750" w:type="pct"/>
            <w:noWrap w:val="0"/>
            <w:vAlign w:val="center"/>
          </w:tcPr>
          <w:p w14:paraId="0D45EE4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遇极端天气露天矿山未及时停止作业、撤出现场作业人员。</w:t>
            </w:r>
          </w:p>
        </w:tc>
        <w:tc>
          <w:tcPr>
            <w:tcW w:w="1258" w:type="pct"/>
            <w:noWrap w:val="0"/>
            <w:vAlign w:val="center"/>
          </w:tcPr>
          <w:p w14:paraId="2F57D1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无此现象</w:t>
            </w:r>
          </w:p>
        </w:tc>
        <w:tc>
          <w:tcPr>
            <w:tcW w:w="625" w:type="pct"/>
            <w:noWrap w:val="0"/>
            <w:vAlign w:val="center"/>
          </w:tcPr>
          <w:p w14:paraId="6AB5526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不构成</w:t>
            </w:r>
          </w:p>
        </w:tc>
      </w:tr>
    </w:tbl>
    <w:p w14:paraId="24BE6BAB">
      <w:pPr>
        <w:bidi w:val="0"/>
        <w:rPr>
          <w:rFonts w:hint="default"/>
          <w:color w:val="auto"/>
          <w:lang w:val="en-US" w:eastAsia="zh-CN"/>
        </w:rPr>
      </w:pPr>
      <w:r>
        <w:rPr>
          <w:rFonts w:hint="default"/>
          <w:color w:val="auto"/>
          <w:lang w:val="en-US" w:eastAsia="zh-CN"/>
        </w:rPr>
        <w:t>评价小结</w:t>
      </w:r>
      <w:r>
        <w:rPr>
          <w:rFonts w:hint="eastAsia"/>
          <w:color w:val="auto"/>
          <w:lang w:val="en-US" w:eastAsia="zh-CN"/>
        </w:rPr>
        <w:t>：</w:t>
      </w:r>
      <w:r>
        <w:rPr>
          <w:rFonts w:hint="default"/>
          <w:color w:val="auto"/>
          <w:lang w:val="en-US" w:eastAsia="zh-CN"/>
        </w:rPr>
        <w:t>通过安全检查表分析可知，重大生产安全事故隐患判定单元共检查</w:t>
      </w:r>
      <w:r>
        <w:rPr>
          <w:rFonts w:hint="eastAsia"/>
          <w:color w:val="auto"/>
          <w:lang w:val="en-US" w:eastAsia="zh-CN"/>
        </w:rPr>
        <w:t>15</w:t>
      </w:r>
      <w:r>
        <w:rPr>
          <w:rFonts w:hint="default"/>
          <w:color w:val="auto"/>
          <w:lang w:val="en-US" w:eastAsia="zh-CN"/>
        </w:rPr>
        <w:t>项，均符合要求，不构成重大安全事故隐患。</w:t>
      </w:r>
    </w:p>
    <w:p w14:paraId="394C6107">
      <w:pPr>
        <w:pStyle w:val="3"/>
        <w:bidi w:val="0"/>
        <w:rPr>
          <w:rFonts w:hint="eastAsia"/>
          <w:color w:val="auto"/>
          <w:lang w:val="en-US" w:eastAsia="zh-CN"/>
        </w:rPr>
      </w:pPr>
      <w:bookmarkStart w:id="371" w:name="_Toc11450"/>
      <w:bookmarkStart w:id="372" w:name="_Toc6362"/>
      <w:bookmarkStart w:id="373" w:name="_Toc576"/>
      <w:bookmarkStart w:id="374" w:name="_Toc29880"/>
      <w:r>
        <w:rPr>
          <w:rFonts w:hint="eastAsia"/>
          <w:color w:val="auto"/>
          <w:lang w:val="en-US" w:eastAsia="zh-CN"/>
        </w:rPr>
        <w:t>5.8 综合评价单元</w:t>
      </w:r>
      <w:bookmarkEnd w:id="371"/>
      <w:bookmarkEnd w:id="372"/>
      <w:bookmarkEnd w:id="373"/>
      <w:bookmarkEnd w:id="374"/>
    </w:p>
    <w:p w14:paraId="207CB0B8">
      <w:pPr>
        <w:pStyle w:val="4"/>
        <w:bidi w:val="0"/>
        <w:rPr>
          <w:rFonts w:hint="default"/>
          <w:color w:val="auto"/>
          <w:lang w:val="en-US" w:eastAsia="zh-CN"/>
        </w:rPr>
      </w:pPr>
      <w:bookmarkStart w:id="375" w:name="_Toc17202"/>
      <w:bookmarkStart w:id="376" w:name="_Toc571"/>
      <w:bookmarkStart w:id="377" w:name="_Toc26280"/>
      <w:bookmarkStart w:id="378" w:name="_Toc26654"/>
      <w:r>
        <w:rPr>
          <w:rFonts w:hint="default"/>
          <w:color w:val="auto"/>
          <w:lang w:val="en-US" w:eastAsia="zh-CN"/>
        </w:rPr>
        <w:t>5.8.1</w:t>
      </w:r>
      <w:r>
        <w:rPr>
          <w:rFonts w:hint="eastAsia"/>
          <w:color w:val="auto"/>
          <w:lang w:val="en-US" w:eastAsia="zh-CN"/>
        </w:rPr>
        <w:t xml:space="preserve"> </w:t>
      </w:r>
      <w:r>
        <w:rPr>
          <w:rFonts w:hint="default"/>
          <w:color w:val="auto"/>
          <w:lang w:val="en-US" w:eastAsia="zh-CN"/>
        </w:rPr>
        <w:t>安全检查表</w:t>
      </w:r>
      <w:bookmarkEnd w:id="375"/>
      <w:bookmarkEnd w:id="376"/>
      <w:bookmarkEnd w:id="377"/>
      <w:bookmarkEnd w:id="378"/>
    </w:p>
    <w:p w14:paraId="00E63F1B">
      <w:pPr>
        <w:rPr>
          <w:rFonts w:hint="default"/>
          <w:color w:val="auto"/>
          <w:lang w:val="en-US" w:eastAsia="zh-CN"/>
        </w:rPr>
      </w:pPr>
      <w:r>
        <w:rPr>
          <w:rFonts w:hint="default"/>
          <w:color w:val="auto"/>
          <w:lang w:val="en-US" w:eastAsia="zh-CN"/>
        </w:rPr>
        <w:t>运用安全检查表对</w:t>
      </w:r>
      <w:r>
        <w:rPr>
          <w:rFonts w:hint="eastAsia"/>
          <w:color w:val="auto"/>
          <w:lang w:val="en-US" w:eastAsia="zh-CN"/>
        </w:rPr>
        <w:t>本</w:t>
      </w:r>
      <w:r>
        <w:rPr>
          <w:rFonts w:hint="default"/>
          <w:color w:val="auto"/>
          <w:lang w:val="en-US" w:eastAsia="zh-CN"/>
        </w:rPr>
        <w:t>矿山综合系统进行评价，对照检查表说明，从而判定矿山的安全等别，具体见表5</w:t>
      </w:r>
      <w:r>
        <w:rPr>
          <w:rFonts w:hint="eastAsia"/>
          <w:color w:val="auto"/>
          <w:lang w:val="en-US" w:eastAsia="zh-CN"/>
        </w:rPr>
        <w:t>.8</w:t>
      </w:r>
      <w:r>
        <w:rPr>
          <w:rFonts w:hint="default"/>
          <w:color w:val="auto"/>
          <w:lang w:val="en-US" w:eastAsia="zh-CN"/>
        </w:rPr>
        <w:t>-1、5</w:t>
      </w:r>
      <w:r>
        <w:rPr>
          <w:rFonts w:hint="eastAsia"/>
          <w:color w:val="auto"/>
          <w:lang w:val="en-US" w:eastAsia="zh-CN"/>
        </w:rPr>
        <w:t>.8-2</w:t>
      </w:r>
      <w:r>
        <w:rPr>
          <w:rFonts w:hint="default"/>
          <w:color w:val="auto"/>
          <w:lang w:val="en-US" w:eastAsia="zh-CN"/>
        </w:rPr>
        <w:t>。</w:t>
      </w:r>
    </w:p>
    <w:p w14:paraId="5BBE9407">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.8</w:t>
      </w:r>
      <w:r>
        <w:rPr>
          <w:rFonts w:hint="default"/>
          <w:color w:val="auto"/>
          <w:lang w:val="en-US" w:eastAsia="zh-CN"/>
        </w:rPr>
        <w:t>-1</w:t>
      </w:r>
      <w:r>
        <w:rPr>
          <w:rFonts w:hint="eastAsia"/>
          <w:color w:val="auto"/>
          <w:lang w:val="en-US" w:eastAsia="zh-CN"/>
        </w:rPr>
        <w:t xml:space="preserve"> 综合安全检查表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2086"/>
        <w:gridCol w:w="1434"/>
        <w:gridCol w:w="1521"/>
        <w:gridCol w:w="1629"/>
        <w:gridCol w:w="1566"/>
      </w:tblGrid>
      <w:tr w14:paraId="7C31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563" w:type="pct"/>
            <w:noWrap w:val="0"/>
            <w:vAlign w:val="center"/>
          </w:tcPr>
          <w:p w14:paraId="06A554D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序号</w:t>
            </w:r>
          </w:p>
        </w:tc>
        <w:tc>
          <w:tcPr>
            <w:tcW w:w="1123" w:type="pct"/>
            <w:noWrap w:val="0"/>
            <w:vAlign w:val="center"/>
          </w:tcPr>
          <w:p w14:paraId="5EFB78B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评价单元</w:t>
            </w:r>
          </w:p>
        </w:tc>
        <w:tc>
          <w:tcPr>
            <w:tcW w:w="772" w:type="pct"/>
            <w:noWrap w:val="0"/>
            <w:vAlign w:val="center"/>
          </w:tcPr>
          <w:p w14:paraId="52FF43A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总分</w:t>
            </w:r>
          </w:p>
        </w:tc>
        <w:tc>
          <w:tcPr>
            <w:tcW w:w="819" w:type="pct"/>
            <w:noWrap w:val="0"/>
            <w:vAlign w:val="center"/>
          </w:tcPr>
          <w:p w14:paraId="4717809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得分</w:t>
            </w:r>
          </w:p>
        </w:tc>
        <w:tc>
          <w:tcPr>
            <w:tcW w:w="877" w:type="pct"/>
            <w:noWrap w:val="0"/>
            <w:vAlign w:val="center"/>
          </w:tcPr>
          <w:p w14:paraId="085EBFA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得分率/%</w:t>
            </w:r>
          </w:p>
        </w:tc>
        <w:tc>
          <w:tcPr>
            <w:tcW w:w="843" w:type="pct"/>
            <w:noWrap w:val="0"/>
            <w:vAlign w:val="center"/>
          </w:tcPr>
          <w:p w14:paraId="73C90DA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备注</w:t>
            </w:r>
          </w:p>
        </w:tc>
      </w:tr>
      <w:tr w14:paraId="1543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563" w:type="pct"/>
            <w:noWrap w:val="0"/>
            <w:vAlign w:val="center"/>
          </w:tcPr>
          <w:p w14:paraId="5409656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w:t>
            </w:r>
          </w:p>
        </w:tc>
        <w:tc>
          <w:tcPr>
            <w:tcW w:w="1123" w:type="pct"/>
            <w:noWrap w:val="0"/>
            <w:vAlign w:val="center"/>
          </w:tcPr>
          <w:p w14:paraId="7EB2573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安全管理</w:t>
            </w:r>
          </w:p>
        </w:tc>
        <w:tc>
          <w:tcPr>
            <w:tcW w:w="772" w:type="pct"/>
            <w:noWrap w:val="0"/>
            <w:vAlign w:val="center"/>
          </w:tcPr>
          <w:p w14:paraId="1B6207A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120</w:t>
            </w:r>
          </w:p>
        </w:tc>
        <w:tc>
          <w:tcPr>
            <w:tcW w:w="819" w:type="pct"/>
            <w:noWrap w:val="0"/>
            <w:vAlign w:val="center"/>
          </w:tcPr>
          <w:p w14:paraId="61D7881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r>
              <w:rPr>
                <w:rFonts w:hint="eastAsia" w:hAnsi="宋体" w:cs="Times New Roman"/>
                <w:color w:val="auto"/>
                <w:kern w:val="0"/>
                <w:sz w:val="21"/>
                <w:szCs w:val="21"/>
                <w:lang w:val="en-US" w:eastAsia="zh-CN" w:bidi="ar-SA"/>
              </w:rPr>
              <w:t>16</w:t>
            </w:r>
          </w:p>
        </w:tc>
        <w:tc>
          <w:tcPr>
            <w:tcW w:w="877" w:type="pct"/>
            <w:noWrap w:val="0"/>
            <w:vAlign w:val="center"/>
          </w:tcPr>
          <w:p w14:paraId="7B6CD68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96.67</w:t>
            </w:r>
          </w:p>
        </w:tc>
        <w:tc>
          <w:tcPr>
            <w:tcW w:w="843" w:type="pct"/>
            <w:noWrap w:val="0"/>
            <w:vAlign w:val="center"/>
          </w:tcPr>
          <w:p w14:paraId="34FD43D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0947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blHeader/>
          <w:jc w:val="center"/>
        </w:trPr>
        <w:tc>
          <w:tcPr>
            <w:tcW w:w="563" w:type="pct"/>
            <w:noWrap w:val="0"/>
            <w:vAlign w:val="center"/>
          </w:tcPr>
          <w:p w14:paraId="0F4D07C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w:t>
            </w:r>
          </w:p>
        </w:tc>
        <w:tc>
          <w:tcPr>
            <w:tcW w:w="1123" w:type="pct"/>
            <w:noWrap w:val="0"/>
            <w:vAlign w:val="center"/>
          </w:tcPr>
          <w:p w14:paraId="6231DF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露天采场</w:t>
            </w:r>
          </w:p>
        </w:tc>
        <w:tc>
          <w:tcPr>
            <w:tcW w:w="772" w:type="pct"/>
            <w:noWrap w:val="0"/>
            <w:vAlign w:val="center"/>
          </w:tcPr>
          <w:p w14:paraId="11E3151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198</w:t>
            </w:r>
          </w:p>
        </w:tc>
        <w:tc>
          <w:tcPr>
            <w:tcW w:w="819" w:type="pct"/>
            <w:noWrap w:val="0"/>
            <w:vAlign w:val="center"/>
          </w:tcPr>
          <w:p w14:paraId="0706EFD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190</w:t>
            </w:r>
          </w:p>
        </w:tc>
        <w:tc>
          <w:tcPr>
            <w:tcW w:w="877" w:type="pct"/>
            <w:noWrap w:val="0"/>
            <w:vAlign w:val="center"/>
          </w:tcPr>
          <w:p w14:paraId="2791623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95.96</w:t>
            </w:r>
          </w:p>
        </w:tc>
        <w:tc>
          <w:tcPr>
            <w:tcW w:w="843" w:type="pct"/>
            <w:noWrap w:val="0"/>
            <w:vAlign w:val="center"/>
          </w:tcPr>
          <w:p w14:paraId="1AC5760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38F5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blHeader/>
          <w:jc w:val="center"/>
        </w:trPr>
        <w:tc>
          <w:tcPr>
            <w:tcW w:w="563" w:type="pct"/>
            <w:noWrap w:val="0"/>
            <w:vAlign w:val="center"/>
          </w:tcPr>
          <w:p w14:paraId="6B67A23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w:t>
            </w:r>
          </w:p>
        </w:tc>
        <w:tc>
          <w:tcPr>
            <w:tcW w:w="1123" w:type="pct"/>
            <w:noWrap w:val="0"/>
            <w:vAlign w:val="center"/>
          </w:tcPr>
          <w:p w14:paraId="2B5ED04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边坡管理</w:t>
            </w:r>
          </w:p>
        </w:tc>
        <w:tc>
          <w:tcPr>
            <w:tcW w:w="772" w:type="pct"/>
            <w:noWrap w:val="0"/>
            <w:vAlign w:val="center"/>
          </w:tcPr>
          <w:p w14:paraId="0FAE5D4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30</w:t>
            </w:r>
          </w:p>
        </w:tc>
        <w:tc>
          <w:tcPr>
            <w:tcW w:w="819" w:type="pct"/>
            <w:noWrap w:val="0"/>
            <w:vAlign w:val="center"/>
          </w:tcPr>
          <w:p w14:paraId="4025686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25</w:t>
            </w:r>
          </w:p>
        </w:tc>
        <w:tc>
          <w:tcPr>
            <w:tcW w:w="877" w:type="pct"/>
            <w:noWrap w:val="0"/>
            <w:vAlign w:val="center"/>
          </w:tcPr>
          <w:p w14:paraId="713A2A4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83.33</w:t>
            </w:r>
          </w:p>
        </w:tc>
        <w:tc>
          <w:tcPr>
            <w:tcW w:w="843" w:type="pct"/>
            <w:noWrap w:val="0"/>
            <w:vAlign w:val="center"/>
          </w:tcPr>
          <w:p w14:paraId="58E33D1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6C2F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563" w:type="pct"/>
            <w:noWrap w:val="0"/>
            <w:vAlign w:val="center"/>
          </w:tcPr>
          <w:p w14:paraId="41E9D5E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4</w:t>
            </w:r>
          </w:p>
        </w:tc>
        <w:tc>
          <w:tcPr>
            <w:tcW w:w="1123" w:type="pct"/>
            <w:noWrap w:val="0"/>
            <w:vAlign w:val="center"/>
          </w:tcPr>
          <w:p w14:paraId="729F983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供配电设施</w:t>
            </w:r>
          </w:p>
        </w:tc>
        <w:tc>
          <w:tcPr>
            <w:tcW w:w="772" w:type="pct"/>
            <w:noWrap w:val="0"/>
            <w:vAlign w:val="center"/>
          </w:tcPr>
          <w:p w14:paraId="439A0BF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64</w:t>
            </w:r>
          </w:p>
        </w:tc>
        <w:tc>
          <w:tcPr>
            <w:tcW w:w="819" w:type="pct"/>
            <w:noWrap w:val="0"/>
            <w:vAlign w:val="center"/>
          </w:tcPr>
          <w:p w14:paraId="1C63D7A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60</w:t>
            </w:r>
          </w:p>
        </w:tc>
        <w:tc>
          <w:tcPr>
            <w:tcW w:w="877" w:type="pct"/>
            <w:noWrap w:val="0"/>
            <w:vAlign w:val="center"/>
          </w:tcPr>
          <w:p w14:paraId="7C36C69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93.75</w:t>
            </w:r>
          </w:p>
        </w:tc>
        <w:tc>
          <w:tcPr>
            <w:tcW w:w="843" w:type="pct"/>
            <w:noWrap w:val="0"/>
            <w:vAlign w:val="center"/>
          </w:tcPr>
          <w:p w14:paraId="10C00D3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5EF7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563" w:type="pct"/>
            <w:noWrap w:val="0"/>
            <w:vAlign w:val="center"/>
          </w:tcPr>
          <w:p w14:paraId="20B9A88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5</w:t>
            </w:r>
          </w:p>
        </w:tc>
        <w:tc>
          <w:tcPr>
            <w:tcW w:w="1123" w:type="pct"/>
            <w:noWrap w:val="0"/>
            <w:vAlign w:val="center"/>
          </w:tcPr>
          <w:p w14:paraId="05079E4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防排水</w:t>
            </w:r>
          </w:p>
        </w:tc>
        <w:tc>
          <w:tcPr>
            <w:tcW w:w="772" w:type="pct"/>
            <w:noWrap w:val="0"/>
            <w:vAlign w:val="center"/>
          </w:tcPr>
          <w:p w14:paraId="5C4D9D7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r>
              <w:rPr>
                <w:rFonts w:hint="eastAsia" w:hAnsi="宋体" w:cs="Times New Roman"/>
                <w:color w:val="auto"/>
                <w:kern w:val="0"/>
                <w:sz w:val="21"/>
                <w:szCs w:val="21"/>
                <w:lang w:val="en-US" w:eastAsia="zh-CN" w:bidi="ar-SA"/>
              </w:rPr>
              <w:t>0</w:t>
            </w:r>
          </w:p>
        </w:tc>
        <w:tc>
          <w:tcPr>
            <w:tcW w:w="819" w:type="pct"/>
            <w:noWrap w:val="0"/>
            <w:vAlign w:val="center"/>
          </w:tcPr>
          <w:p w14:paraId="08E990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r>
              <w:rPr>
                <w:rFonts w:hint="eastAsia" w:hAnsi="宋体" w:cs="Times New Roman"/>
                <w:color w:val="auto"/>
                <w:kern w:val="0"/>
                <w:sz w:val="21"/>
                <w:szCs w:val="21"/>
                <w:lang w:val="en-US" w:eastAsia="zh-CN" w:bidi="ar-SA"/>
              </w:rPr>
              <w:t>0</w:t>
            </w:r>
          </w:p>
        </w:tc>
        <w:tc>
          <w:tcPr>
            <w:tcW w:w="877" w:type="pct"/>
            <w:noWrap w:val="0"/>
            <w:vAlign w:val="center"/>
          </w:tcPr>
          <w:p w14:paraId="6AB9053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100</w:t>
            </w:r>
          </w:p>
        </w:tc>
        <w:tc>
          <w:tcPr>
            <w:tcW w:w="843" w:type="pct"/>
            <w:noWrap w:val="0"/>
            <w:vAlign w:val="center"/>
          </w:tcPr>
          <w:p w14:paraId="4844586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7235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blHeader/>
          <w:jc w:val="center"/>
        </w:trPr>
        <w:tc>
          <w:tcPr>
            <w:tcW w:w="563" w:type="pct"/>
            <w:noWrap w:val="0"/>
            <w:vAlign w:val="center"/>
          </w:tcPr>
          <w:p w14:paraId="34EAFE7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6</w:t>
            </w:r>
          </w:p>
        </w:tc>
        <w:tc>
          <w:tcPr>
            <w:tcW w:w="1123" w:type="pct"/>
            <w:noWrap w:val="0"/>
            <w:vAlign w:val="center"/>
          </w:tcPr>
          <w:p w14:paraId="3CB1C20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防灭火</w:t>
            </w:r>
          </w:p>
        </w:tc>
        <w:tc>
          <w:tcPr>
            <w:tcW w:w="772" w:type="pct"/>
            <w:noWrap w:val="0"/>
            <w:vAlign w:val="center"/>
          </w:tcPr>
          <w:p w14:paraId="7516E51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r>
              <w:rPr>
                <w:rFonts w:hint="eastAsia" w:hAnsi="宋体" w:cs="Times New Roman"/>
                <w:color w:val="auto"/>
                <w:kern w:val="0"/>
                <w:sz w:val="21"/>
                <w:szCs w:val="21"/>
                <w:lang w:val="en-US" w:eastAsia="zh-CN" w:bidi="ar-SA"/>
              </w:rPr>
              <w:t>0</w:t>
            </w:r>
          </w:p>
        </w:tc>
        <w:tc>
          <w:tcPr>
            <w:tcW w:w="819" w:type="pct"/>
            <w:noWrap w:val="0"/>
            <w:vAlign w:val="center"/>
          </w:tcPr>
          <w:p w14:paraId="0FA061E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r>
              <w:rPr>
                <w:rFonts w:hint="eastAsia" w:hAnsi="宋体" w:cs="Times New Roman"/>
                <w:color w:val="auto"/>
                <w:kern w:val="0"/>
                <w:sz w:val="21"/>
                <w:szCs w:val="21"/>
                <w:lang w:val="en-US" w:eastAsia="zh-CN" w:bidi="ar-SA"/>
              </w:rPr>
              <w:t>0</w:t>
            </w:r>
          </w:p>
        </w:tc>
        <w:tc>
          <w:tcPr>
            <w:tcW w:w="877" w:type="pct"/>
            <w:noWrap w:val="0"/>
            <w:vAlign w:val="center"/>
          </w:tcPr>
          <w:p w14:paraId="32B7B98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100</w:t>
            </w:r>
          </w:p>
        </w:tc>
        <w:tc>
          <w:tcPr>
            <w:tcW w:w="843" w:type="pct"/>
            <w:noWrap w:val="0"/>
            <w:vAlign w:val="center"/>
          </w:tcPr>
          <w:p w14:paraId="7E89691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r w14:paraId="5B5C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1686" w:type="pct"/>
            <w:gridSpan w:val="2"/>
            <w:noWrap w:val="0"/>
            <w:vAlign w:val="center"/>
          </w:tcPr>
          <w:p w14:paraId="1044629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综合</w:t>
            </w:r>
          </w:p>
        </w:tc>
        <w:tc>
          <w:tcPr>
            <w:tcW w:w="772" w:type="pct"/>
            <w:noWrap w:val="0"/>
            <w:vAlign w:val="center"/>
          </w:tcPr>
          <w:p w14:paraId="43E25E9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442</w:t>
            </w:r>
          </w:p>
        </w:tc>
        <w:tc>
          <w:tcPr>
            <w:tcW w:w="819" w:type="pct"/>
            <w:noWrap w:val="0"/>
            <w:vAlign w:val="center"/>
          </w:tcPr>
          <w:p w14:paraId="284721C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421</w:t>
            </w:r>
          </w:p>
        </w:tc>
        <w:tc>
          <w:tcPr>
            <w:tcW w:w="877" w:type="pct"/>
            <w:noWrap w:val="0"/>
            <w:vAlign w:val="center"/>
          </w:tcPr>
          <w:p w14:paraId="76D04BB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FF0000"/>
                <w:kern w:val="0"/>
                <w:sz w:val="21"/>
                <w:szCs w:val="21"/>
                <w:lang w:val="en-US" w:eastAsia="zh-CN" w:bidi="ar-SA"/>
              </w:rPr>
            </w:pPr>
            <w:r>
              <w:rPr>
                <w:rFonts w:hint="eastAsia" w:hAnsi="宋体" w:cs="Times New Roman"/>
                <w:color w:val="FF0000"/>
                <w:kern w:val="0"/>
                <w:sz w:val="21"/>
                <w:szCs w:val="21"/>
                <w:lang w:val="en-US" w:eastAsia="zh-CN" w:bidi="ar-SA"/>
              </w:rPr>
              <w:t>95.25</w:t>
            </w:r>
          </w:p>
        </w:tc>
        <w:tc>
          <w:tcPr>
            <w:tcW w:w="843" w:type="pct"/>
            <w:noWrap w:val="0"/>
            <w:vAlign w:val="center"/>
          </w:tcPr>
          <w:p w14:paraId="6FCA171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w:t>
            </w:r>
          </w:p>
        </w:tc>
      </w:tr>
    </w:tbl>
    <w:p w14:paraId="1E653282">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.8</w:t>
      </w:r>
      <w:r>
        <w:rPr>
          <w:rFonts w:hint="default"/>
          <w:color w:val="auto"/>
          <w:lang w:val="en-US" w:eastAsia="zh-CN"/>
        </w:rPr>
        <w:t>-</w:t>
      </w:r>
      <w:r>
        <w:rPr>
          <w:rFonts w:hint="eastAsia"/>
          <w:color w:val="auto"/>
          <w:lang w:val="en-US" w:eastAsia="zh-CN"/>
        </w:rPr>
        <w:t>2 检查表说明</w:t>
      </w:r>
    </w:p>
    <w:tbl>
      <w:tblPr>
        <w:tblStyle w:val="18"/>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5448"/>
        <w:gridCol w:w="2573"/>
      </w:tblGrid>
      <w:tr w14:paraId="64950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blHeader/>
          <w:jc w:val="center"/>
        </w:trPr>
        <w:tc>
          <w:tcPr>
            <w:tcW w:w="1057" w:type="dxa"/>
            <w:noWrap w:val="0"/>
            <w:vAlign w:val="center"/>
          </w:tcPr>
          <w:p w14:paraId="5939E55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类型</w:t>
            </w:r>
          </w:p>
        </w:tc>
        <w:tc>
          <w:tcPr>
            <w:tcW w:w="5448" w:type="dxa"/>
            <w:noWrap w:val="0"/>
            <w:vAlign w:val="center"/>
          </w:tcPr>
          <w:p w14:paraId="02343E5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概念</w:t>
            </w:r>
          </w:p>
        </w:tc>
        <w:tc>
          <w:tcPr>
            <w:tcW w:w="2573" w:type="dxa"/>
            <w:noWrap w:val="0"/>
            <w:vAlign w:val="center"/>
          </w:tcPr>
          <w:p w14:paraId="6FFB23F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ascii="Times New Roman" w:hAnsi="宋体" w:eastAsia="宋体" w:cs="Times New Roman"/>
                <w:b/>
                <w:bCs/>
                <w:color w:val="auto"/>
                <w:kern w:val="0"/>
                <w:sz w:val="21"/>
                <w:szCs w:val="21"/>
                <w:lang w:val="en-US" w:eastAsia="zh-CN" w:bidi="ar-SA"/>
              </w:rPr>
              <w:t>条件</w:t>
            </w:r>
          </w:p>
        </w:tc>
      </w:tr>
      <w:tr w14:paraId="153D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blHeader/>
          <w:jc w:val="center"/>
        </w:trPr>
        <w:tc>
          <w:tcPr>
            <w:tcW w:w="1057" w:type="dxa"/>
            <w:noWrap w:val="0"/>
            <w:vAlign w:val="center"/>
          </w:tcPr>
          <w:p w14:paraId="7667C07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A类矿山</w:t>
            </w:r>
          </w:p>
        </w:tc>
        <w:tc>
          <w:tcPr>
            <w:tcW w:w="5448" w:type="dxa"/>
            <w:noWrap w:val="0"/>
            <w:vAlign w:val="center"/>
          </w:tcPr>
          <w:p w14:paraId="6985B90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安全生产条件好，生产活动有安全保障。</w:t>
            </w:r>
          </w:p>
        </w:tc>
        <w:tc>
          <w:tcPr>
            <w:tcW w:w="2573" w:type="dxa"/>
            <w:noWrap w:val="0"/>
            <w:vAlign w:val="center"/>
          </w:tcPr>
          <w:p w14:paraId="32CA1F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得分率在90%以上</w:t>
            </w:r>
          </w:p>
        </w:tc>
      </w:tr>
      <w:tr w14:paraId="76DD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1057" w:type="dxa"/>
            <w:noWrap w:val="0"/>
            <w:vAlign w:val="center"/>
          </w:tcPr>
          <w:p w14:paraId="598F80C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B类矿山</w:t>
            </w:r>
          </w:p>
        </w:tc>
        <w:tc>
          <w:tcPr>
            <w:tcW w:w="5448" w:type="dxa"/>
            <w:noWrap w:val="0"/>
            <w:vAlign w:val="center"/>
          </w:tcPr>
          <w:p w14:paraId="1F5620B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安全生产条件一般，能满足基本的安全生产活动。</w:t>
            </w:r>
          </w:p>
        </w:tc>
        <w:tc>
          <w:tcPr>
            <w:tcW w:w="2573" w:type="dxa"/>
            <w:noWrap w:val="0"/>
            <w:vAlign w:val="center"/>
          </w:tcPr>
          <w:p w14:paraId="67BAA03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得分率在80%</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89%之间</w:t>
            </w:r>
          </w:p>
        </w:tc>
      </w:tr>
      <w:tr w14:paraId="1350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blHeader/>
          <w:jc w:val="center"/>
        </w:trPr>
        <w:tc>
          <w:tcPr>
            <w:tcW w:w="1057" w:type="dxa"/>
            <w:noWrap w:val="0"/>
            <w:vAlign w:val="center"/>
          </w:tcPr>
          <w:p w14:paraId="01C860F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C类矿山</w:t>
            </w:r>
          </w:p>
        </w:tc>
        <w:tc>
          <w:tcPr>
            <w:tcW w:w="5448" w:type="dxa"/>
            <w:noWrap w:val="0"/>
            <w:vAlign w:val="center"/>
          </w:tcPr>
          <w:p w14:paraId="50BE522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安全生产条件差，不能完全保证安全生产活动，需要限期整改。</w:t>
            </w:r>
          </w:p>
        </w:tc>
        <w:tc>
          <w:tcPr>
            <w:tcW w:w="2573" w:type="dxa"/>
            <w:noWrap w:val="0"/>
            <w:vAlign w:val="center"/>
          </w:tcPr>
          <w:p w14:paraId="0963324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得分率在60%</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79%之间</w:t>
            </w:r>
          </w:p>
        </w:tc>
      </w:tr>
      <w:tr w14:paraId="57A3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blHeader/>
          <w:jc w:val="center"/>
        </w:trPr>
        <w:tc>
          <w:tcPr>
            <w:tcW w:w="1057" w:type="dxa"/>
            <w:noWrap w:val="0"/>
            <w:vAlign w:val="center"/>
          </w:tcPr>
          <w:p w14:paraId="3BC1353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D类矿山</w:t>
            </w:r>
          </w:p>
        </w:tc>
        <w:tc>
          <w:tcPr>
            <w:tcW w:w="5448" w:type="dxa"/>
            <w:noWrap w:val="0"/>
            <w:vAlign w:val="center"/>
          </w:tcPr>
          <w:p w14:paraId="654657A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不具备基本的安全生产条件，或未通过验收，需要责令停产整顿的矿山。</w:t>
            </w:r>
          </w:p>
        </w:tc>
        <w:tc>
          <w:tcPr>
            <w:tcW w:w="2573" w:type="dxa"/>
            <w:noWrap w:val="0"/>
            <w:vAlign w:val="center"/>
          </w:tcPr>
          <w:p w14:paraId="4624650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得分率在60%以下</w:t>
            </w:r>
          </w:p>
        </w:tc>
      </w:tr>
      <w:tr w14:paraId="0221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blHeader/>
          <w:jc w:val="center"/>
        </w:trPr>
        <w:tc>
          <w:tcPr>
            <w:tcW w:w="1057" w:type="dxa"/>
            <w:noWrap w:val="0"/>
            <w:vAlign w:val="center"/>
          </w:tcPr>
          <w:p w14:paraId="6F3C5EC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备注</w:t>
            </w:r>
          </w:p>
        </w:tc>
        <w:tc>
          <w:tcPr>
            <w:tcW w:w="5448" w:type="dxa"/>
            <w:noWrap w:val="0"/>
            <w:vAlign w:val="center"/>
          </w:tcPr>
          <w:p w14:paraId="633F26C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1</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本评价标准中的《规程》是指《金属非金属矿山安全规程》</w:t>
            </w:r>
            <w:r>
              <w:rPr>
                <w:rFonts w:hint="eastAsia" w:hAnsi="宋体" w:cs="Times New Roman"/>
                <w:color w:val="auto"/>
                <w:kern w:val="0"/>
                <w:sz w:val="21"/>
                <w:szCs w:val="21"/>
                <w:lang w:val="en-US" w:eastAsia="zh-CN" w:bidi="ar-SA"/>
              </w:rPr>
              <w:t>（GB16423-2020）</w:t>
            </w:r>
            <w:r>
              <w:rPr>
                <w:rFonts w:ascii="Times New Roman" w:hAnsi="宋体" w:eastAsia="宋体" w:cs="Times New Roman"/>
                <w:color w:val="auto"/>
                <w:kern w:val="0"/>
                <w:sz w:val="21"/>
                <w:szCs w:val="21"/>
                <w:lang w:val="en-US" w:eastAsia="zh-CN" w:bidi="ar-SA"/>
              </w:rPr>
              <w:t>。</w:t>
            </w:r>
          </w:p>
          <w:p w14:paraId="559F45C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2</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因矿种不同，生产中没有涉及的项目，可不予评估，总分为实际评价项目的分值总和。最后得分采用得分率，即：实际评价得分÷实际评价项目的分值总和×100%。</w:t>
            </w:r>
          </w:p>
          <w:p w14:paraId="70E64F8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hint="eastAsia"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3</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算出总得分率时，必须把各单元的得分率一起考虑。</w:t>
            </w:r>
          </w:p>
          <w:p w14:paraId="16A63CB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left"/>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4</w:t>
            </w:r>
            <w:r>
              <w:rPr>
                <w:rFonts w:hint="eastAsia" w:ascii="Times New Roman" w:hAnsi="宋体" w:eastAsia="宋体" w:cs="Times New Roman"/>
                <w:color w:val="auto"/>
                <w:kern w:val="0"/>
                <w:sz w:val="21"/>
                <w:szCs w:val="21"/>
                <w:lang w:val="en-US" w:eastAsia="zh-CN" w:bidi="ar-SA"/>
              </w:rPr>
              <w:t>.</w:t>
            </w:r>
            <w:r>
              <w:rPr>
                <w:rFonts w:ascii="Times New Roman" w:hAnsi="宋体" w:eastAsia="宋体" w:cs="Times New Roman"/>
                <w:color w:val="auto"/>
                <w:kern w:val="0"/>
                <w:sz w:val="21"/>
                <w:szCs w:val="21"/>
                <w:lang w:val="en-US" w:eastAsia="zh-CN" w:bidi="ar-SA"/>
              </w:rPr>
              <w:t>检查表扣分尺度，由各专家根据实际情况具体掌握。</w:t>
            </w:r>
          </w:p>
        </w:tc>
        <w:tc>
          <w:tcPr>
            <w:tcW w:w="2573" w:type="dxa"/>
            <w:noWrap w:val="0"/>
            <w:vAlign w:val="center"/>
          </w:tcPr>
          <w:p w14:paraId="601CA41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ascii="Times New Roman" w:hAnsi="宋体" w:eastAsia="宋体" w:cs="Times New Roman"/>
                <w:color w:val="auto"/>
                <w:kern w:val="0"/>
                <w:sz w:val="21"/>
                <w:szCs w:val="21"/>
                <w:lang w:val="en-US" w:eastAsia="zh-CN" w:bidi="ar-SA"/>
              </w:rPr>
              <w:t>该表总分值为：</w:t>
            </w:r>
            <w:r>
              <w:rPr>
                <w:rFonts w:ascii="Times New Roman" w:hAnsi="宋体" w:eastAsia="宋体" w:cs="Times New Roman"/>
                <w:color w:val="FF0000"/>
                <w:kern w:val="0"/>
                <w:sz w:val="21"/>
                <w:szCs w:val="21"/>
                <w:lang w:val="en-US" w:eastAsia="zh-CN" w:bidi="ar-SA"/>
              </w:rPr>
              <w:t>4</w:t>
            </w:r>
            <w:r>
              <w:rPr>
                <w:rFonts w:hint="eastAsia" w:hAnsi="宋体" w:cs="Times New Roman"/>
                <w:color w:val="FF0000"/>
                <w:kern w:val="0"/>
                <w:sz w:val="21"/>
                <w:szCs w:val="21"/>
                <w:lang w:val="en-US" w:eastAsia="zh-CN" w:bidi="ar-SA"/>
              </w:rPr>
              <w:t>42</w:t>
            </w:r>
            <w:r>
              <w:rPr>
                <w:rFonts w:ascii="Times New Roman" w:hAnsi="宋体" w:eastAsia="宋体" w:cs="Times New Roman"/>
                <w:color w:val="FF0000"/>
                <w:kern w:val="0"/>
                <w:sz w:val="21"/>
                <w:szCs w:val="21"/>
                <w:lang w:val="en-US" w:eastAsia="zh-CN" w:bidi="ar-SA"/>
              </w:rPr>
              <w:t>分</w:t>
            </w:r>
          </w:p>
        </w:tc>
      </w:tr>
    </w:tbl>
    <w:p w14:paraId="29026574">
      <w:pPr>
        <w:pStyle w:val="4"/>
        <w:bidi w:val="0"/>
        <w:rPr>
          <w:rFonts w:hint="default"/>
          <w:color w:val="auto"/>
          <w:lang w:val="en-US" w:eastAsia="zh-CN"/>
        </w:rPr>
      </w:pPr>
      <w:bookmarkStart w:id="379" w:name="_Toc27994"/>
      <w:bookmarkStart w:id="380" w:name="_Toc4839"/>
      <w:bookmarkStart w:id="381" w:name="_Toc8226"/>
      <w:bookmarkStart w:id="382" w:name="_Toc14031"/>
      <w:r>
        <w:rPr>
          <w:rFonts w:hint="eastAsia"/>
          <w:color w:val="auto"/>
          <w:lang w:val="en-US" w:eastAsia="zh-CN"/>
        </w:rPr>
        <w:t>5.8.2 评价结论</w:t>
      </w:r>
      <w:bookmarkEnd w:id="379"/>
      <w:bookmarkEnd w:id="380"/>
      <w:bookmarkEnd w:id="381"/>
      <w:bookmarkEnd w:id="382"/>
    </w:p>
    <w:p w14:paraId="11FFDDBE">
      <w:pPr>
        <w:rPr>
          <w:rFonts w:hint="default"/>
          <w:color w:val="auto"/>
          <w:lang w:val="en-US" w:eastAsia="zh-CN"/>
        </w:rPr>
      </w:pPr>
      <w:r>
        <w:rPr>
          <w:rFonts w:hint="default"/>
          <w:color w:val="auto"/>
          <w:lang w:val="en-US" w:eastAsia="zh-CN"/>
        </w:rPr>
        <w:t>通过安全检查表符合性评价可</w:t>
      </w:r>
      <w:r>
        <w:rPr>
          <w:rFonts w:hint="eastAsia"/>
          <w:color w:val="auto"/>
          <w:lang w:val="en-US" w:eastAsia="zh-CN"/>
        </w:rPr>
        <w:t>知：</w:t>
      </w:r>
    </w:p>
    <w:p w14:paraId="30C47F32">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本评价项目否决项的检查结论均为合格</w:t>
      </w:r>
      <w:r>
        <w:rPr>
          <w:rFonts w:hint="eastAsia"/>
          <w:color w:val="auto"/>
          <w:lang w:val="en-US" w:eastAsia="zh-CN"/>
        </w:rPr>
        <w:t>；</w:t>
      </w:r>
    </w:p>
    <w:p w14:paraId="72F07CD4">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通过安全检查表符合性评价，</w:t>
      </w:r>
      <w:r>
        <w:rPr>
          <w:rFonts w:hint="default"/>
          <w:color w:val="FF0000"/>
          <w:lang w:val="en-US" w:eastAsia="zh-CN"/>
        </w:rPr>
        <w:t>安全检查表标准总分为4</w:t>
      </w:r>
      <w:r>
        <w:rPr>
          <w:rFonts w:hint="eastAsia"/>
          <w:color w:val="FF0000"/>
          <w:lang w:val="en-US" w:eastAsia="zh-CN"/>
        </w:rPr>
        <w:t>42</w:t>
      </w:r>
      <w:r>
        <w:rPr>
          <w:rFonts w:hint="default"/>
          <w:color w:val="FF0000"/>
          <w:lang w:val="en-US" w:eastAsia="zh-CN"/>
        </w:rPr>
        <w:t>分，该露天矿山评价得分为</w:t>
      </w:r>
      <w:r>
        <w:rPr>
          <w:rFonts w:hint="eastAsia"/>
          <w:color w:val="FF0000"/>
          <w:lang w:val="en-US" w:eastAsia="zh-CN"/>
        </w:rPr>
        <w:t>421</w:t>
      </w:r>
      <w:r>
        <w:rPr>
          <w:rFonts w:hint="default"/>
          <w:color w:val="FF0000"/>
          <w:lang w:val="en-US" w:eastAsia="zh-CN"/>
        </w:rPr>
        <w:t>分，得分率</w:t>
      </w:r>
      <w:r>
        <w:rPr>
          <w:rFonts w:hint="eastAsia"/>
          <w:color w:val="FF0000"/>
          <w:lang w:val="en-US" w:eastAsia="zh-CN"/>
        </w:rPr>
        <w:t>95.25</w:t>
      </w:r>
      <w:r>
        <w:rPr>
          <w:rFonts w:hint="default"/>
          <w:color w:val="FF0000"/>
          <w:lang w:val="en-US" w:eastAsia="zh-CN"/>
        </w:rPr>
        <w:t>%</w:t>
      </w:r>
      <w:r>
        <w:rPr>
          <w:rFonts w:hint="default"/>
          <w:color w:val="auto"/>
          <w:lang w:val="en-US" w:eastAsia="zh-CN"/>
        </w:rPr>
        <w:t>，该矿山属A类矿山，安全生产条件好，生产活动有安全保障。</w:t>
      </w:r>
    </w:p>
    <w:p w14:paraId="72371C7E">
      <w:pPr>
        <w:pStyle w:val="3"/>
        <w:bidi w:val="0"/>
        <w:rPr>
          <w:rFonts w:hint="default"/>
          <w:color w:val="auto"/>
          <w:lang w:val="en-US" w:eastAsia="zh-CN"/>
        </w:rPr>
      </w:pPr>
      <w:bookmarkStart w:id="383" w:name="_Toc7004"/>
      <w:bookmarkStart w:id="384" w:name="_Toc8712"/>
      <w:bookmarkStart w:id="385" w:name="_Toc173"/>
      <w:bookmarkStart w:id="386" w:name="_Toc10520"/>
      <w:r>
        <w:rPr>
          <w:rFonts w:hint="eastAsia"/>
          <w:color w:val="auto"/>
          <w:lang w:val="en-US" w:eastAsia="zh-CN"/>
        </w:rPr>
        <w:t xml:space="preserve">5.9 </w:t>
      </w:r>
      <w:r>
        <w:rPr>
          <w:rFonts w:hint="default"/>
          <w:color w:val="auto"/>
          <w:lang w:val="en-US" w:eastAsia="zh-CN"/>
        </w:rPr>
        <w:t>作业条件危险性分析</w:t>
      </w:r>
      <w:bookmarkEnd w:id="383"/>
      <w:bookmarkEnd w:id="384"/>
      <w:bookmarkEnd w:id="385"/>
      <w:bookmarkEnd w:id="386"/>
    </w:p>
    <w:p w14:paraId="0566CD01">
      <w:pPr>
        <w:rPr>
          <w:rFonts w:hint="default"/>
          <w:color w:val="auto"/>
          <w:lang w:val="en-US" w:eastAsia="zh-CN"/>
        </w:rPr>
      </w:pPr>
      <w:r>
        <w:rPr>
          <w:rFonts w:hint="default"/>
          <w:color w:val="auto"/>
          <w:lang w:val="en-US" w:eastAsia="zh-CN"/>
        </w:rPr>
        <w:t>采用作业条件危险性分析对露天矿山采场穿孔作业、爆破作业、铲装运输作业、洒水防尘</w:t>
      </w:r>
      <w:r>
        <w:rPr>
          <w:rFonts w:hint="eastAsia"/>
          <w:color w:val="auto"/>
          <w:lang w:val="en-US" w:eastAsia="zh-CN"/>
        </w:rPr>
        <w:t>作业</w:t>
      </w:r>
      <w:r>
        <w:rPr>
          <w:rFonts w:hint="default"/>
          <w:color w:val="auto"/>
          <w:lang w:val="en-US" w:eastAsia="zh-CN"/>
        </w:rPr>
        <w:t>等进行事故发生可能性及其严重程度分析评价。</w:t>
      </w:r>
    </w:p>
    <w:p w14:paraId="2A7C5EE8">
      <w:pPr>
        <w:rPr>
          <w:rFonts w:hint="default"/>
          <w:color w:val="auto"/>
          <w:lang w:val="en-US" w:eastAsia="zh-CN"/>
        </w:rPr>
      </w:pPr>
      <w:r>
        <w:rPr>
          <w:rFonts w:hint="default"/>
          <w:color w:val="auto"/>
          <w:lang w:val="en-US" w:eastAsia="zh-CN"/>
        </w:rPr>
        <w:t>露天矿山采场穿孔作业、爆破作业、铲装运输作业、洒水防尘等</w:t>
      </w:r>
      <w:r>
        <w:rPr>
          <w:rFonts w:hint="eastAsia"/>
          <w:color w:val="auto"/>
          <w:lang w:val="en-US" w:eastAsia="zh-CN"/>
        </w:rPr>
        <w:t>作业</w:t>
      </w:r>
      <w:r>
        <w:rPr>
          <w:rFonts w:hint="default"/>
          <w:color w:val="auto"/>
          <w:lang w:val="en-US" w:eastAsia="zh-CN"/>
        </w:rPr>
        <w:t>是矿山企业的主要生产作业区和重要工序，作业条件不断变化，作业危险性相对大，采用作业条件危险性评价方法，对以上作业工艺存在的危险、有害因素导致事故发生的可能性和严重程度进行评价，并确定各作业工艺安全生产承受水平以及采取措施后，是否能达到安全生产的要求。</w:t>
      </w:r>
    </w:p>
    <w:p w14:paraId="2EE18F3B">
      <w:pPr>
        <w:rPr>
          <w:rFonts w:hint="default"/>
          <w:color w:val="auto"/>
          <w:lang w:val="en-US" w:eastAsia="zh-CN"/>
        </w:rPr>
      </w:pPr>
      <w:r>
        <w:rPr>
          <w:rFonts w:hint="default"/>
          <w:color w:val="auto"/>
          <w:lang w:val="en-US" w:eastAsia="zh-CN"/>
        </w:rPr>
        <w:t>露天开采作业条件危险性评价综合结果如表5</w:t>
      </w:r>
      <w:r>
        <w:rPr>
          <w:rFonts w:hint="eastAsia"/>
          <w:color w:val="auto"/>
          <w:lang w:val="en-US" w:eastAsia="zh-CN"/>
        </w:rPr>
        <w:t>.9</w:t>
      </w:r>
      <w:r>
        <w:rPr>
          <w:rFonts w:hint="default"/>
          <w:color w:val="auto"/>
          <w:lang w:val="en-US" w:eastAsia="zh-CN"/>
        </w:rPr>
        <w:t>-</w:t>
      </w:r>
      <w:r>
        <w:rPr>
          <w:rFonts w:hint="eastAsia"/>
          <w:color w:val="auto"/>
          <w:lang w:val="en-US" w:eastAsia="zh-CN"/>
        </w:rPr>
        <w:t>1</w:t>
      </w:r>
      <w:r>
        <w:rPr>
          <w:rFonts w:hint="default"/>
          <w:color w:val="auto"/>
          <w:lang w:val="en-US" w:eastAsia="zh-CN"/>
        </w:rPr>
        <w:t>所示。</w:t>
      </w:r>
    </w:p>
    <w:p w14:paraId="59A1549C">
      <w:pPr>
        <w:ind w:left="0" w:leftChars="0" w:firstLine="0" w:firstLineChars="0"/>
        <w:jc w:val="center"/>
        <w:rPr>
          <w:rFonts w:hint="eastAsia"/>
          <w:color w:val="auto"/>
          <w:lang w:val="en-US" w:eastAsia="zh-CN"/>
        </w:rPr>
      </w:pPr>
      <w:r>
        <w:rPr>
          <w:rFonts w:hint="default"/>
          <w:color w:val="auto"/>
          <w:lang w:val="en-US" w:eastAsia="zh-CN"/>
        </w:rPr>
        <w:t>表5</w:t>
      </w:r>
      <w:r>
        <w:rPr>
          <w:rFonts w:hint="eastAsia"/>
          <w:color w:val="auto"/>
          <w:lang w:val="en-US" w:eastAsia="zh-CN"/>
        </w:rPr>
        <w:t>.9</w:t>
      </w:r>
      <w:r>
        <w:rPr>
          <w:rFonts w:hint="default"/>
          <w:color w:val="auto"/>
          <w:lang w:val="en-US" w:eastAsia="zh-CN"/>
        </w:rPr>
        <w:t>-</w:t>
      </w:r>
      <w:r>
        <w:rPr>
          <w:rFonts w:hint="eastAsia"/>
          <w:color w:val="auto"/>
          <w:lang w:val="en-US" w:eastAsia="zh-CN"/>
        </w:rPr>
        <w:t>1 露天开采作业条件危险性评价</w:t>
      </w:r>
    </w:p>
    <w:tbl>
      <w:tblPr>
        <w:tblStyle w:val="18"/>
        <w:tblW w:w="0" w:type="auto"/>
        <w:tblInd w:w="240" w:type="dxa"/>
        <w:tblLayout w:type="fixed"/>
        <w:tblCellMar>
          <w:top w:w="0" w:type="dxa"/>
          <w:left w:w="108" w:type="dxa"/>
          <w:bottom w:w="0" w:type="dxa"/>
          <w:right w:w="108" w:type="dxa"/>
        </w:tblCellMar>
      </w:tblPr>
      <w:tblGrid>
        <w:gridCol w:w="1188"/>
        <w:gridCol w:w="2472"/>
        <w:gridCol w:w="861"/>
        <w:gridCol w:w="1039"/>
        <w:gridCol w:w="975"/>
        <w:gridCol w:w="932"/>
        <w:gridCol w:w="1249"/>
      </w:tblGrid>
      <w:tr w14:paraId="6C9B2371">
        <w:tblPrEx>
          <w:tblCellMar>
            <w:top w:w="0" w:type="dxa"/>
            <w:left w:w="108" w:type="dxa"/>
            <w:bottom w:w="0" w:type="dxa"/>
            <w:right w:w="108" w:type="dxa"/>
          </w:tblCellMar>
        </w:tblPrEx>
        <w:trPr>
          <w:trHeight w:val="438" w:hRule="exact"/>
        </w:trPr>
        <w:tc>
          <w:tcPr>
            <w:tcW w:w="1188" w:type="dxa"/>
            <w:tcBorders>
              <w:top w:val="single" w:color="auto" w:sz="4" w:space="0"/>
              <w:left w:val="single" w:color="auto" w:sz="4" w:space="0"/>
              <w:bottom w:val="single" w:color="auto" w:sz="4" w:space="0"/>
              <w:right w:val="single" w:color="auto" w:sz="4" w:space="0"/>
            </w:tcBorders>
            <w:noWrap w:val="0"/>
            <w:vAlign w:val="center"/>
          </w:tcPr>
          <w:p w14:paraId="46CBF9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作业单元</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44ED3AF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主要危险有害因素</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E1A366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L</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0F35895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E</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42AFFF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C</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57B9C1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D</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574A86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b/>
                <w:bCs/>
                <w:color w:val="auto"/>
                <w:kern w:val="0"/>
                <w:sz w:val="21"/>
                <w:szCs w:val="21"/>
                <w:lang w:val="en-US" w:eastAsia="zh-CN" w:bidi="ar-SA"/>
              </w:rPr>
            </w:pPr>
            <w:r>
              <w:rPr>
                <w:rFonts w:hint="eastAsia" w:ascii="Times New Roman" w:hAnsi="宋体" w:eastAsia="宋体" w:cs="Times New Roman"/>
                <w:b/>
                <w:bCs/>
                <w:color w:val="auto"/>
                <w:kern w:val="0"/>
                <w:sz w:val="21"/>
                <w:szCs w:val="21"/>
                <w:lang w:val="en-US" w:eastAsia="zh-CN" w:bidi="ar-SA"/>
              </w:rPr>
              <w:t>危险程度</w:t>
            </w:r>
          </w:p>
        </w:tc>
      </w:tr>
      <w:tr w14:paraId="244CD17D">
        <w:tblPrEx>
          <w:tblCellMar>
            <w:top w:w="0" w:type="dxa"/>
            <w:left w:w="108" w:type="dxa"/>
            <w:bottom w:w="0" w:type="dxa"/>
            <w:right w:w="108" w:type="dxa"/>
          </w:tblCellMar>
        </w:tblPrEx>
        <w:trPr>
          <w:trHeight w:val="340" w:hRule="exact"/>
        </w:trPr>
        <w:tc>
          <w:tcPr>
            <w:tcW w:w="1188" w:type="dxa"/>
            <w:vMerge w:val="restart"/>
            <w:tcBorders>
              <w:top w:val="single" w:color="auto" w:sz="4" w:space="0"/>
              <w:left w:val="single" w:color="auto" w:sz="4" w:space="0"/>
              <w:bottom w:val="single" w:color="auto" w:sz="4" w:space="0"/>
              <w:right w:val="single" w:color="auto" w:sz="4" w:space="0"/>
            </w:tcBorders>
            <w:noWrap w:val="0"/>
            <w:vAlign w:val="center"/>
          </w:tcPr>
          <w:p w14:paraId="2911BC4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穿孔作业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191FA20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高处坠落</w:t>
            </w:r>
            <w:r>
              <w:rPr>
                <w:rFonts w:hint="eastAsia" w:hAnsi="宋体" w:cs="Times New Roman"/>
                <w:color w:val="auto"/>
                <w:kern w:val="0"/>
                <w:sz w:val="21"/>
                <w:szCs w:val="21"/>
                <w:lang w:val="en-US" w:eastAsia="zh-CN" w:bidi="ar-SA"/>
              </w:rPr>
              <w:t>、跌落</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48C5DC4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2D107C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ABF36C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1A4EE3D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90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3E7B1F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76C09D09">
        <w:tblPrEx>
          <w:tblCellMar>
            <w:top w:w="0" w:type="dxa"/>
            <w:left w:w="108" w:type="dxa"/>
            <w:bottom w:w="0" w:type="dxa"/>
            <w:right w:w="108" w:type="dxa"/>
          </w:tblCellMar>
        </w:tblPrEx>
        <w:trPr>
          <w:trHeight w:val="340" w:hRule="exac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14:paraId="20B5E09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60F382D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机械</w:t>
            </w:r>
            <w:r>
              <w:rPr>
                <w:rFonts w:hint="eastAsia" w:hAnsi="宋体" w:cs="Times New Roman"/>
                <w:color w:val="auto"/>
                <w:kern w:val="0"/>
                <w:sz w:val="21"/>
                <w:szCs w:val="21"/>
                <w:lang w:val="en-US" w:eastAsia="zh-CN" w:bidi="ar-SA"/>
              </w:rPr>
              <w:t>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5EEC84E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55636E4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1DE202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18AC37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4D173AE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2BDCDA73">
        <w:tblPrEx>
          <w:tblCellMar>
            <w:top w:w="0" w:type="dxa"/>
            <w:left w:w="108" w:type="dxa"/>
            <w:bottom w:w="0" w:type="dxa"/>
            <w:right w:w="108" w:type="dxa"/>
          </w:tblCellMar>
        </w:tblPrEx>
        <w:trPr>
          <w:trHeight w:val="340" w:hRule="exac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14:paraId="689B0A8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6A280827">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物体打击</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5B07D2B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538FC97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218A8A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6EC7AC3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6EF7C4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29ADCF1C">
        <w:tblPrEx>
          <w:tblCellMar>
            <w:top w:w="0" w:type="dxa"/>
            <w:left w:w="108" w:type="dxa"/>
            <w:bottom w:w="0" w:type="dxa"/>
            <w:right w:w="108" w:type="dxa"/>
          </w:tblCellMar>
        </w:tblPrEx>
        <w:trPr>
          <w:trHeight w:val="340" w:hRule="exact"/>
        </w:trPr>
        <w:tc>
          <w:tcPr>
            <w:tcW w:w="1188" w:type="dxa"/>
            <w:vMerge w:val="continue"/>
            <w:tcBorders>
              <w:top w:val="single" w:color="auto" w:sz="4" w:space="0"/>
              <w:left w:val="single" w:color="auto" w:sz="4" w:space="0"/>
              <w:bottom w:val="single" w:color="auto" w:sz="4" w:space="0"/>
              <w:right w:val="single" w:color="auto" w:sz="4" w:space="0"/>
            </w:tcBorders>
            <w:noWrap w:val="0"/>
            <w:vAlign w:val="center"/>
          </w:tcPr>
          <w:p w14:paraId="2B8B264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772098E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火灾</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2723A7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E0A62D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7F81B89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7</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AC9480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42</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A90E04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3134CBFB">
        <w:tblPrEx>
          <w:tblCellMar>
            <w:top w:w="0" w:type="dxa"/>
            <w:left w:w="108" w:type="dxa"/>
            <w:bottom w:w="0" w:type="dxa"/>
            <w:right w:w="108" w:type="dxa"/>
          </w:tblCellMar>
        </w:tblPrEx>
        <w:trPr>
          <w:trHeight w:val="340" w:hRule="exact"/>
        </w:trPr>
        <w:tc>
          <w:tcPr>
            <w:tcW w:w="1188" w:type="dxa"/>
            <w:tcBorders>
              <w:top w:val="single" w:color="auto" w:sz="4" w:space="0"/>
              <w:left w:val="single" w:color="auto" w:sz="4" w:space="0"/>
              <w:bottom w:val="single" w:color="auto" w:sz="4" w:space="0"/>
              <w:right w:val="single" w:color="auto" w:sz="4" w:space="0"/>
            </w:tcBorders>
            <w:noWrap w:val="0"/>
            <w:vAlign w:val="center"/>
          </w:tcPr>
          <w:p w14:paraId="1EBBF36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爆破作业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185D01F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hAnsi="宋体" w:cs="Times New Roman"/>
                <w:color w:val="auto"/>
                <w:kern w:val="0"/>
                <w:sz w:val="21"/>
                <w:szCs w:val="21"/>
                <w:lang w:val="en-US" w:eastAsia="zh-CN" w:bidi="ar-SA"/>
              </w:rPr>
              <w:t>民用爆炸物品爆炸</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FD5F44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099822C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B75D5F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40</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0BFD28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120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96E819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1B5A4AF6">
        <w:tblPrEx>
          <w:tblCellMar>
            <w:top w:w="0" w:type="dxa"/>
            <w:left w:w="108" w:type="dxa"/>
            <w:bottom w:w="0" w:type="dxa"/>
            <w:right w:w="108" w:type="dxa"/>
          </w:tblCellMar>
        </w:tblPrEx>
        <w:trPr>
          <w:trHeight w:val="340" w:hRule="exact"/>
        </w:trPr>
        <w:tc>
          <w:tcPr>
            <w:tcW w:w="1188" w:type="dxa"/>
            <w:vMerge w:val="restart"/>
            <w:tcBorders>
              <w:top w:val="single" w:color="auto" w:sz="4" w:space="0"/>
              <w:left w:val="single" w:color="auto" w:sz="4" w:space="0"/>
              <w:right w:val="single" w:color="auto" w:sz="4" w:space="0"/>
            </w:tcBorders>
            <w:noWrap w:val="0"/>
            <w:vAlign w:val="center"/>
          </w:tcPr>
          <w:p w14:paraId="5CC26991">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铲装</w:t>
            </w:r>
          </w:p>
          <w:p w14:paraId="6AF9A55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运输作业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5032D98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厂（场）内车辆致害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4268A8E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A04A8A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244182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4FA99D9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90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32BA84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7ED8F802">
        <w:tblPrEx>
          <w:tblCellMar>
            <w:top w:w="0" w:type="dxa"/>
            <w:left w:w="108" w:type="dxa"/>
            <w:bottom w:w="0" w:type="dxa"/>
            <w:right w:w="108" w:type="dxa"/>
          </w:tblCellMar>
        </w:tblPrEx>
        <w:trPr>
          <w:trHeight w:val="340" w:hRule="exact"/>
        </w:trPr>
        <w:tc>
          <w:tcPr>
            <w:tcW w:w="1188" w:type="dxa"/>
            <w:vMerge w:val="continue"/>
            <w:tcBorders>
              <w:left w:val="single" w:color="auto" w:sz="4" w:space="0"/>
              <w:right w:val="single" w:color="auto" w:sz="4" w:space="0"/>
            </w:tcBorders>
            <w:noWrap w:val="0"/>
            <w:vAlign w:val="center"/>
          </w:tcPr>
          <w:p w14:paraId="2F45F90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758AFB1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高处坠落</w:t>
            </w:r>
            <w:r>
              <w:rPr>
                <w:rFonts w:hint="eastAsia" w:hAnsi="宋体" w:cs="Times New Roman"/>
                <w:color w:val="auto"/>
                <w:kern w:val="0"/>
                <w:sz w:val="21"/>
                <w:szCs w:val="21"/>
                <w:lang w:val="en-US" w:eastAsia="zh-CN" w:bidi="ar-SA"/>
              </w:rPr>
              <w:t>、跌落</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37ED3B0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4BB34F04">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2</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5469FF7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42CE392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90</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797BCA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显著危险</w:t>
            </w:r>
          </w:p>
        </w:tc>
      </w:tr>
      <w:tr w14:paraId="331100CD">
        <w:tblPrEx>
          <w:tblCellMar>
            <w:top w:w="0" w:type="dxa"/>
            <w:left w:w="108" w:type="dxa"/>
            <w:bottom w:w="0" w:type="dxa"/>
            <w:right w:w="108" w:type="dxa"/>
          </w:tblCellMar>
        </w:tblPrEx>
        <w:trPr>
          <w:trHeight w:val="340" w:hRule="exact"/>
        </w:trPr>
        <w:tc>
          <w:tcPr>
            <w:tcW w:w="1188" w:type="dxa"/>
            <w:vMerge w:val="continue"/>
            <w:tcBorders>
              <w:left w:val="single" w:color="auto" w:sz="4" w:space="0"/>
              <w:right w:val="single" w:color="auto" w:sz="4" w:space="0"/>
            </w:tcBorders>
            <w:noWrap w:val="0"/>
            <w:vAlign w:val="center"/>
          </w:tcPr>
          <w:p w14:paraId="16D592D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7A38CBB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机械</w:t>
            </w:r>
            <w:r>
              <w:rPr>
                <w:rFonts w:hint="eastAsia" w:hAnsi="宋体" w:cs="Times New Roman"/>
                <w:color w:val="auto"/>
                <w:kern w:val="0"/>
                <w:sz w:val="21"/>
                <w:szCs w:val="21"/>
                <w:lang w:val="en-US" w:eastAsia="zh-CN" w:bidi="ar-SA"/>
              </w:rPr>
              <w:t>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1C43138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2A29B05">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43FA6F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612B1CE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385DB78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1F69E8E6">
        <w:tblPrEx>
          <w:tblCellMar>
            <w:top w:w="0" w:type="dxa"/>
            <w:left w:w="108" w:type="dxa"/>
            <w:bottom w:w="0" w:type="dxa"/>
            <w:right w:w="108" w:type="dxa"/>
          </w:tblCellMar>
        </w:tblPrEx>
        <w:trPr>
          <w:trHeight w:val="340" w:hRule="exact"/>
        </w:trPr>
        <w:tc>
          <w:tcPr>
            <w:tcW w:w="1188" w:type="dxa"/>
            <w:vMerge w:val="continue"/>
            <w:tcBorders>
              <w:left w:val="single" w:color="auto" w:sz="4" w:space="0"/>
              <w:right w:val="single" w:color="auto" w:sz="4" w:space="0"/>
            </w:tcBorders>
            <w:noWrap w:val="0"/>
            <w:vAlign w:val="center"/>
          </w:tcPr>
          <w:p w14:paraId="7B2B38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6AFD583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物体打击</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781AF08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7AF30AC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3</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EA5736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15</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52BD3088">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45</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7621D37F">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2F41DC9E">
        <w:tblPrEx>
          <w:tblCellMar>
            <w:top w:w="0" w:type="dxa"/>
            <w:left w:w="108" w:type="dxa"/>
            <w:bottom w:w="0" w:type="dxa"/>
            <w:right w:w="108" w:type="dxa"/>
          </w:tblCellMar>
        </w:tblPrEx>
        <w:trPr>
          <w:trHeight w:val="340" w:hRule="exact"/>
        </w:trPr>
        <w:tc>
          <w:tcPr>
            <w:tcW w:w="1188" w:type="dxa"/>
            <w:vMerge w:val="continue"/>
            <w:tcBorders>
              <w:left w:val="single" w:color="auto" w:sz="4" w:space="0"/>
              <w:bottom w:val="single" w:color="auto" w:sz="4" w:space="0"/>
              <w:right w:val="single" w:color="auto" w:sz="4" w:space="0"/>
            </w:tcBorders>
            <w:noWrap w:val="0"/>
            <w:vAlign w:val="center"/>
          </w:tcPr>
          <w:p w14:paraId="36870493">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p>
        </w:tc>
        <w:tc>
          <w:tcPr>
            <w:tcW w:w="2472" w:type="dxa"/>
            <w:tcBorders>
              <w:top w:val="single" w:color="auto" w:sz="4" w:space="0"/>
              <w:left w:val="single" w:color="auto" w:sz="4" w:space="0"/>
              <w:bottom w:val="single" w:color="auto" w:sz="4" w:space="0"/>
              <w:right w:val="single" w:color="auto" w:sz="4" w:space="0"/>
            </w:tcBorders>
            <w:noWrap w:val="0"/>
            <w:vAlign w:val="center"/>
          </w:tcPr>
          <w:p w14:paraId="2FA91DF9">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火灾</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B6EAD8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2B095F9B">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782CF4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7</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0B964B40">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42</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CF2759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eastAsia"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r w14:paraId="03295CC7">
        <w:tblPrEx>
          <w:tblCellMar>
            <w:top w:w="0" w:type="dxa"/>
            <w:left w:w="108" w:type="dxa"/>
            <w:bottom w:w="0" w:type="dxa"/>
            <w:right w:w="108" w:type="dxa"/>
          </w:tblCellMar>
        </w:tblPrEx>
        <w:trPr>
          <w:trHeight w:val="340" w:hRule="exact"/>
        </w:trPr>
        <w:tc>
          <w:tcPr>
            <w:tcW w:w="1188" w:type="dxa"/>
            <w:tcBorders>
              <w:top w:val="single" w:color="auto" w:sz="4" w:space="0"/>
              <w:left w:val="single" w:color="auto" w:sz="4" w:space="0"/>
              <w:bottom w:val="single" w:color="auto" w:sz="4" w:space="0"/>
              <w:right w:val="single" w:color="auto" w:sz="4" w:space="0"/>
            </w:tcBorders>
            <w:noWrap w:val="0"/>
            <w:vAlign w:val="center"/>
          </w:tcPr>
          <w:p w14:paraId="6494099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hint="default"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洒水防尘作业</w:t>
            </w:r>
          </w:p>
        </w:tc>
        <w:tc>
          <w:tcPr>
            <w:tcW w:w="2472" w:type="dxa"/>
            <w:tcBorders>
              <w:top w:val="single" w:color="auto" w:sz="4" w:space="0"/>
              <w:left w:val="single" w:color="auto" w:sz="4" w:space="0"/>
              <w:bottom w:val="single" w:color="auto" w:sz="4" w:space="0"/>
              <w:right w:val="single" w:color="auto" w:sz="4" w:space="0"/>
            </w:tcBorders>
            <w:noWrap w:val="0"/>
            <w:vAlign w:val="center"/>
          </w:tcPr>
          <w:p w14:paraId="08A0251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厂（场）内车辆致害</w:t>
            </w:r>
          </w:p>
        </w:tc>
        <w:tc>
          <w:tcPr>
            <w:tcW w:w="861" w:type="dxa"/>
            <w:tcBorders>
              <w:top w:val="single" w:color="auto" w:sz="4" w:space="0"/>
              <w:left w:val="single" w:color="auto" w:sz="4" w:space="0"/>
              <w:bottom w:val="single" w:color="auto" w:sz="4" w:space="0"/>
              <w:right w:val="single" w:color="auto" w:sz="4" w:space="0"/>
            </w:tcBorders>
            <w:noWrap w:val="0"/>
            <w:vAlign w:val="center"/>
          </w:tcPr>
          <w:p w14:paraId="6C4FC3AC">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419D5BBA">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6</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85D4E22">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7</w:t>
            </w:r>
          </w:p>
        </w:tc>
        <w:tc>
          <w:tcPr>
            <w:tcW w:w="932" w:type="dxa"/>
            <w:tcBorders>
              <w:top w:val="single" w:color="auto" w:sz="4" w:space="0"/>
              <w:left w:val="single" w:color="auto" w:sz="4" w:space="0"/>
              <w:bottom w:val="single" w:color="auto" w:sz="4" w:space="0"/>
              <w:right w:val="single" w:color="auto" w:sz="4" w:space="0"/>
            </w:tcBorders>
            <w:noWrap w:val="0"/>
            <w:vAlign w:val="center"/>
          </w:tcPr>
          <w:p w14:paraId="3FBF6FF6">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42</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5B9EA4DE">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00" w:lineRule="exact"/>
              <w:ind w:firstLine="0" w:firstLineChars="0"/>
              <w:jc w:val="center"/>
              <w:textAlignment w:val="auto"/>
              <w:rPr>
                <w:rFonts w:ascii="Times New Roman" w:hAnsi="宋体" w:eastAsia="宋体" w:cs="Times New Roman"/>
                <w:color w:val="auto"/>
                <w:kern w:val="0"/>
                <w:sz w:val="21"/>
                <w:szCs w:val="21"/>
                <w:lang w:val="en-US" w:eastAsia="zh-CN" w:bidi="ar-SA"/>
              </w:rPr>
            </w:pPr>
            <w:r>
              <w:rPr>
                <w:rFonts w:hint="eastAsia" w:ascii="Times New Roman" w:hAnsi="宋体" w:eastAsia="宋体" w:cs="Times New Roman"/>
                <w:color w:val="auto"/>
                <w:kern w:val="0"/>
                <w:sz w:val="21"/>
                <w:szCs w:val="21"/>
                <w:lang w:val="en-US" w:eastAsia="zh-CN" w:bidi="ar-SA"/>
              </w:rPr>
              <w:t>可能危险</w:t>
            </w:r>
          </w:p>
        </w:tc>
      </w:tr>
    </w:tbl>
    <w:p w14:paraId="627978FD">
      <w:pPr>
        <w:rPr>
          <w:rFonts w:hint="default"/>
          <w:color w:val="auto"/>
          <w:lang w:val="en-US" w:eastAsia="zh-CN"/>
        </w:rPr>
      </w:pPr>
      <w:r>
        <w:rPr>
          <w:rFonts w:hint="default"/>
          <w:color w:val="auto"/>
          <w:lang w:val="en-US" w:eastAsia="zh-CN"/>
        </w:rPr>
        <w:t>经作业条件危险性分析对露天矿山采场的穿孔作业、爆破作业、铲装运输作业、洒水防尘作业等进行事故发生可能性及其严重程度分析评价：穿孔作业的高处坠落</w:t>
      </w:r>
      <w:r>
        <w:rPr>
          <w:rFonts w:hint="eastAsia"/>
          <w:color w:val="auto"/>
          <w:lang w:val="en-US" w:eastAsia="zh-CN"/>
        </w:rPr>
        <w:t>、跌落</w:t>
      </w:r>
      <w:r>
        <w:rPr>
          <w:rFonts w:hint="default"/>
          <w:color w:val="auto"/>
          <w:lang w:val="en-US" w:eastAsia="zh-CN"/>
        </w:rPr>
        <w:t>危险程度为显著危险；爆破作业的民用爆炸物品爆炸危险程度为显著危险；铲装运输作业的厂（场）内车辆致害、高处坠落</w:t>
      </w:r>
      <w:r>
        <w:rPr>
          <w:rFonts w:hint="eastAsia"/>
          <w:color w:val="auto"/>
          <w:lang w:val="en-US" w:eastAsia="zh-CN"/>
        </w:rPr>
        <w:t>、跌落</w:t>
      </w:r>
      <w:r>
        <w:rPr>
          <w:rFonts w:hint="default"/>
          <w:color w:val="auto"/>
          <w:lang w:val="en-US" w:eastAsia="zh-CN"/>
        </w:rPr>
        <w:t>危险程度为显著危险。员工作业过程中需要加强防范措施，防止可能导致重大事故发生。其他均为一般危险，需要注意并加以防范。</w:t>
      </w:r>
    </w:p>
    <w:p w14:paraId="6CF5049B">
      <w:pPr>
        <w:rPr>
          <w:rFonts w:hint="default"/>
          <w:color w:val="auto"/>
          <w:lang w:val="en-US" w:eastAsia="zh-CN"/>
        </w:rPr>
      </w:pPr>
    </w:p>
    <w:p w14:paraId="178761AD">
      <w:pPr>
        <w:rPr>
          <w:rFonts w:hint="default"/>
          <w:color w:val="auto"/>
          <w:lang w:val="en-US" w:eastAsia="zh-CN"/>
        </w:rPr>
      </w:pPr>
      <w:r>
        <w:rPr>
          <w:rFonts w:hint="default"/>
          <w:color w:val="auto"/>
          <w:lang w:val="en-US" w:eastAsia="zh-CN"/>
        </w:rPr>
        <w:br w:type="page"/>
      </w:r>
    </w:p>
    <w:p w14:paraId="78630000">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387" w:name="_Toc27745"/>
      <w:bookmarkStart w:id="388" w:name="_Toc24515"/>
      <w:bookmarkStart w:id="389" w:name="_Toc15305"/>
      <w:bookmarkStart w:id="390" w:name="_Toc15561"/>
      <w:r>
        <w:rPr>
          <w:rFonts w:hint="default" w:ascii="Times New Roman" w:hAnsi="Times New Roman" w:cs="Times New Roman"/>
          <w:color w:val="auto"/>
          <w:lang w:val="en-US" w:eastAsia="zh-CN"/>
        </w:rPr>
        <w:t>安全对策措施及建议</w:t>
      </w:r>
      <w:bookmarkEnd w:id="387"/>
      <w:bookmarkEnd w:id="388"/>
      <w:bookmarkEnd w:id="389"/>
      <w:bookmarkEnd w:id="390"/>
    </w:p>
    <w:p w14:paraId="3B8DDCA9">
      <w:pPr>
        <w:pStyle w:val="3"/>
        <w:bidi w:val="0"/>
        <w:rPr>
          <w:rFonts w:hint="default"/>
          <w:color w:val="auto"/>
          <w:lang w:val="en-US" w:eastAsia="zh-CN"/>
        </w:rPr>
      </w:pPr>
      <w:bookmarkStart w:id="391" w:name="_Toc18652"/>
      <w:bookmarkStart w:id="392" w:name="_Toc29815"/>
      <w:bookmarkStart w:id="393" w:name="_Toc27555"/>
      <w:bookmarkStart w:id="394" w:name="_Toc24677"/>
      <w:r>
        <w:rPr>
          <w:rFonts w:hint="default"/>
          <w:color w:val="auto"/>
          <w:lang w:val="en-US" w:eastAsia="zh-CN"/>
        </w:rPr>
        <w:t>6.1 安全管理对策措施建议</w:t>
      </w:r>
      <w:bookmarkEnd w:id="391"/>
      <w:bookmarkEnd w:id="392"/>
      <w:bookmarkEnd w:id="393"/>
      <w:bookmarkEnd w:id="394"/>
    </w:p>
    <w:p w14:paraId="434F996E">
      <w:pPr>
        <w:rPr>
          <w:rFonts w:hint="eastAsia"/>
          <w:color w:val="auto"/>
          <w:lang w:val="en-US" w:eastAsia="zh-CN"/>
        </w:rPr>
      </w:pPr>
      <w:r>
        <w:rPr>
          <w:rFonts w:hint="default"/>
          <w:color w:val="auto"/>
          <w:lang w:val="en-US" w:eastAsia="zh-CN"/>
        </w:rPr>
        <w:t>1</w:t>
      </w:r>
      <w:r>
        <w:rPr>
          <w:rFonts w:hint="eastAsia"/>
          <w:color w:val="auto"/>
          <w:lang w:val="en-US" w:eastAsia="zh-CN"/>
        </w:rPr>
        <w:t>. 对矿山</w:t>
      </w:r>
      <w:r>
        <w:rPr>
          <w:rFonts w:hint="default"/>
          <w:b w:val="0"/>
          <w:bCs w:val="0"/>
          <w:color w:val="auto"/>
          <w:lang w:val="en-US" w:eastAsia="zh-CN"/>
        </w:rPr>
        <w:t>作业人员的安全教育培训和考核结果记录存档</w:t>
      </w:r>
      <w:r>
        <w:rPr>
          <w:rFonts w:hint="eastAsia"/>
          <w:b w:val="0"/>
          <w:bCs w:val="0"/>
          <w:color w:val="auto"/>
          <w:lang w:val="en-US" w:eastAsia="zh-CN"/>
        </w:rPr>
        <w:t>进行完善</w:t>
      </w:r>
      <w:r>
        <w:rPr>
          <w:rFonts w:hint="eastAsia"/>
          <w:color w:val="auto"/>
          <w:lang w:val="en-US" w:eastAsia="zh-CN"/>
        </w:rPr>
        <w:t>。</w:t>
      </w:r>
    </w:p>
    <w:p w14:paraId="40EB2107">
      <w:pPr>
        <w:rPr>
          <w:rFonts w:hint="default"/>
          <w:color w:val="auto"/>
          <w:lang w:val="en-US" w:eastAsia="zh-CN"/>
        </w:rPr>
      </w:pPr>
      <w:r>
        <w:rPr>
          <w:rFonts w:hint="eastAsia"/>
          <w:color w:val="auto"/>
          <w:lang w:val="en-US" w:eastAsia="zh-CN"/>
        </w:rPr>
        <w:t>2. 保留</w:t>
      </w:r>
      <w:r>
        <w:rPr>
          <w:rFonts w:hint="default"/>
          <w:b w:val="0"/>
          <w:bCs w:val="0"/>
          <w:color w:val="auto"/>
          <w:lang w:val="en-US" w:eastAsia="zh-CN"/>
        </w:rPr>
        <w:t>购置安全设施设备等实物发票</w:t>
      </w:r>
      <w:r>
        <w:rPr>
          <w:rFonts w:hint="eastAsia"/>
          <w:b w:val="0"/>
          <w:bCs w:val="0"/>
          <w:color w:val="auto"/>
          <w:lang w:val="en-US" w:eastAsia="zh-CN"/>
        </w:rPr>
        <w:t>（纸质或电子版）</w:t>
      </w:r>
      <w:r>
        <w:rPr>
          <w:rFonts w:hint="eastAsia"/>
          <w:color w:val="auto"/>
          <w:lang w:val="en-US" w:eastAsia="zh-CN"/>
        </w:rPr>
        <w:t>。</w:t>
      </w:r>
    </w:p>
    <w:p w14:paraId="245ADB8F">
      <w:pPr>
        <w:rPr>
          <w:rFonts w:hint="default"/>
          <w:color w:val="auto"/>
          <w:lang w:val="en-US" w:eastAsia="zh-CN"/>
        </w:rPr>
      </w:pPr>
      <w:r>
        <w:rPr>
          <w:rFonts w:hint="eastAsia"/>
          <w:color w:val="auto"/>
          <w:lang w:val="en-US" w:eastAsia="zh-CN"/>
        </w:rPr>
        <w:t>3. 矿山应继续完善粉尘、噪声等职业危害告知牌，并与从业人员签订职业健康危害告知书或在合同中补充说明。健全职业健康档案，安排职工进行职业健康体检，对粉尘、噪声等采取降尘降噪措施，按规定发放劳动防护用品，并监督使用。</w:t>
      </w:r>
    </w:p>
    <w:p w14:paraId="090F021F">
      <w:pPr>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矿山应当进一步落实安全隐患排查与治理制度、安全检查制度的要求，完善各类安全检查台账及隐患整改记录。</w:t>
      </w:r>
    </w:p>
    <w:p w14:paraId="1D2B22F3">
      <w:pPr>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矿山主要负责人应当定期召开安全会议，研究解决存在的有关安全问题，并跟踪落实到位，切实消除本单位存在的安全隐患。</w:t>
      </w:r>
    </w:p>
    <w:p w14:paraId="412C6AB7">
      <w:pPr>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矿山应进一步完善安全管理规章制度、责任制及操作规程，并进行培训及考核，与各级部门及员工签订安全生产目标责任书，建立考核机制，完善岗位操作标准。</w:t>
      </w:r>
    </w:p>
    <w:p w14:paraId="6439415E">
      <w:pPr>
        <w:rPr>
          <w:rFonts w:hint="default"/>
          <w:color w:val="auto"/>
          <w:lang w:val="en-US" w:eastAsia="zh-CN"/>
        </w:rPr>
      </w:pPr>
      <w:r>
        <w:rPr>
          <w:rFonts w:hint="default"/>
          <w:color w:val="auto"/>
          <w:lang w:val="en-US" w:eastAsia="zh-CN"/>
        </w:rPr>
        <w:t>7</w:t>
      </w:r>
      <w:r>
        <w:rPr>
          <w:rFonts w:hint="eastAsia"/>
          <w:color w:val="auto"/>
          <w:lang w:val="en-US" w:eastAsia="zh-CN"/>
        </w:rPr>
        <w:t xml:space="preserve">. </w:t>
      </w:r>
      <w:r>
        <w:rPr>
          <w:rFonts w:hint="default"/>
          <w:color w:val="auto"/>
          <w:lang w:val="en-US" w:eastAsia="zh-CN"/>
        </w:rPr>
        <w:t>矿山应当持续推进安全生产标准化的建设，不断总结及提供，每年进行安全生产标准化自评，对自评发现的问题及时整改及制定措施方案。</w:t>
      </w:r>
    </w:p>
    <w:p w14:paraId="67776F00">
      <w:pPr>
        <w:rPr>
          <w:rFonts w:hint="default"/>
          <w:color w:val="auto"/>
          <w:lang w:val="en-US" w:eastAsia="zh-CN"/>
        </w:rPr>
      </w:pPr>
      <w:r>
        <w:rPr>
          <w:rFonts w:hint="eastAsia"/>
          <w:color w:val="auto"/>
          <w:lang w:val="en-US" w:eastAsia="zh-CN"/>
        </w:rPr>
        <w:t xml:space="preserve">8. </w:t>
      </w:r>
      <w:r>
        <w:rPr>
          <w:rFonts w:hint="default"/>
          <w:color w:val="auto"/>
          <w:lang w:val="en-US" w:eastAsia="zh-CN"/>
        </w:rPr>
        <w:t>矿山应制定边坡排险、临时用电、高处作业、停送电等相关危险作业的许可票、操作票，并加强危险作业的监督及监护。</w:t>
      </w:r>
    </w:p>
    <w:p w14:paraId="2080C6E2">
      <w:pPr>
        <w:rPr>
          <w:rFonts w:hint="default"/>
          <w:color w:val="FF0000"/>
          <w:lang w:val="en-US" w:eastAsia="zh-CN"/>
        </w:rPr>
      </w:pPr>
      <w:r>
        <w:rPr>
          <w:rFonts w:hint="eastAsia"/>
          <w:color w:val="FF0000"/>
          <w:lang w:val="en-US" w:eastAsia="zh-CN"/>
        </w:rPr>
        <w:t>9. 应急预案应按最新的标准规范如《生产安全事故分类与编码》（GB6441-2025）、《生产经营单位生产安全事故应急处置卡编制指南》（YJ/T32-2025）等重新进行评估、修订、审核、批准、发布和备案，并重新进行应急演练。</w:t>
      </w:r>
    </w:p>
    <w:p w14:paraId="3ECD36ED">
      <w:pPr>
        <w:pStyle w:val="3"/>
        <w:bidi w:val="0"/>
        <w:rPr>
          <w:rFonts w:hint="default"/>
          <w:color w:val="auto"/>
          <w:lang w:val="en-US" w:eastAsia="zh-CN"/>
        </w:rPr>
      </w:pPr>
      <w:bookmarkStart w:id="395" w:name="_Toc6906"/>
      <w:bookmarkStart w:id="396" w:name="_Toc24300"/>
      <w:bookmarkStart w:id="397" w:name="_Toc19608"/>
      <w:bookmarkStart w:id="398" w:name="_Toc5780"/>
      <w:r>
        <w:rPr>
          <w:rFonts w:hint="default"/>
          <w:color w:val="auto"/>
          <w:lang w:val="en-US" w:eastAsia="zh-CN"/>
        </w:rPr>
        <w:t>6.2 露天开采安全对策措施建议</w:t>
      </w:r>
      <w:bookmarkEnd w:id="395"/>
      <w:bookmarkEnd w:id="396"/>
      <w:bookmarkEnd w:id="397"/>
      <w:bookmarkEnd w:id="398"/>
    </w:p>
    <w:p w14:paraId="0E7F77C7">
      <w:pPr>
        <w:rPr>
          <w:rFonts w:hint="eastAsia"/>
          <w:color w:val="auto"/>
          <w:lang w:val="en-US" w:eastAsia="zh-CN"/>
        </w:rPr>
      </w:pPr>
      <w:r>
        <w:rPr>
          <w:rFonts w:hint="default"/>
          <w:color w:val="auto"/>
          <w:lang w:val="en-US" w:eastAsia="zh-CN"/>
        </w:rPr>
        <w:t>1</w:t>
      </w:r>
      <w:r>
        <w:rPr>
          <w:rFonts w:hint="eastAsia"/>
          <w:color w:val="auto"/>
          <w:lang w:val="en-US" w:eastAsia="zh-CN"/>
        </w:rPr>
        <w:t>. 矿山应增</w:t>
      </w:r>
      <w:r>
        <w:rPr>
          <w:rFonts w:hint="default"/>
          <w:color w:val="auto"/>
          <w:lang w:val="en-US" w:eastAsia="zh-CN"/>
        </w:rPr>
        <w:t>设相邻采场边界围栏</w:t>
      </w:r>
      <w:r>
        <w:rPr>
          <w:rFonts w:hint="eastAsia"/>
          <w:color w:val="auto"/>
          <w:lang w:val="en-US" w:eastAsia="zh-CN"/>
        </w:rPr>
        <w:t>。</w:t>
      </w:r>
    </w:p>
    <w:p w14:paraId="0B04489C">
      <w:pPr>
        <w:rPr>
          <w:rFonts w:hint="default"/>
          <w:color w:val="auto"/>
          <w:lang w:val="en-US" w:eastAsia="zh-CN"/>
        </w:rPr>
      </w:pPr>
      <w:r>
        <w:rPr>
          <w:rFonts w:hint="eastAsia"/>
          <w:color w:val="auto"/>
          <w:lang w:val="en-US" w:eastAsia="zh-CN"/>
        </w:rPr>
        <w:t xml:space="preserve">2. </w:t>
      </w:r>
      <w:r>
        <w:rPr>
          <w:rFonts w:hint="default"/>
          <w:color w:val="auto"/>
          <w:lang w:val="en-US" w:eastAsia="zh-CN"/>
        </w:rPr>
        <w:t>矿山在作业前和作业中以及每次爆破后，应当对坡面进行安全检查，</w:t>
      </w:r>
      <w:r>
        <w:rPr>
          <w:rFonts w:hint="eastAsia"/>
          <w:color w:val="auto"/>
          <w:lang w:val="en-US" w:eastAsia="zh-CN"/>
        </w:rPr>
        <w:t>保留安全检查记录，</w:t>
      </w:r>
      <w:r>
        <w:rPr>
          <w:rFonts w:hint="default"/>
          <w:color w:val="auto"/>
          <w:lang w:val="en-US" w:eastAsia="zh-CN"/>
        </w:rPr>
        <w:t>发现工作面有裂痕，或者在坡面上有浮石、危石和伞檐体可能塌落时，应当立即停止作业并撤离人员至安全地点，采取安全措施和消除隐患。</w:t>
      </w:r>
    </w:p>
    <w:p w14:paraId="5395130A">
      <w:pPr>
        <w:rPr>
          <w:rFonts w:hint="default"/>
          <w:color w:val="auto"/>
          <w:lang w:val="en-US" w:eastAsia="zh-CN"/>
        </w:rPr>
      </w:pPr>
      <w:r>
        <w:rPr>
          <w:rFonts w:hint="eastAsia"/>
          <w:color w:val="auto"/>
          <w:lang w:val="en-US" w:eastAsia="zh-CN"/>
        </w:rPr>
        <w:t xml:space="preserve">3. </w:t>
      </w:r>
      <w:r>
        <w:rPr>
          <w:rFonts w:hint="default"/>
          <w:color w:val="auto"/>
          <w:lang w:val="en-US" w:eastAsia="zh-CN"/>
        </w:rPr>
        <w:t>矿山应严格遵守设计的台阶参数进行作业，确保台阶高度和坡面角符合设计要求。</w:t>
      </w:r>
    </w:p>
    <w:p w14:paraId="6398EB8B">
      <w:pPr>
        <w:rPr>
          <w:rFonts w:hint="default"/>
          <w:color w:val="auto"/>
          <w:lang w:val="en-US" w:eastAsia="zh-CN"/>
        </w:rPr>
      </w:pPr>
      <w:r>
        <w:rPr>
          <w:rFonts w:hint="eastAsia"/>
          <w:color w:val="auto"/>
          <w:lang w:val="en-US" w:eastAsia="zh-CN"/>
        </w:rPr>
        <w:t xml:space="preserve">4. </w:t>
      </w:r>
      <w:r>
        <w:rPr>
          <w:rFonts w:hint="default"/>
          <w:color w:val="auto"/>
          <w:lang w:val="en-US" w:eastAsia="zh-CN"/>
        </w:rPr>
        <w:t>严格遵循</w:t>
      </w:r>
      <w:r>
        <w:rPr>
          <w:rFonts w:hint="eastAsia" w:ascii="宋体" w:hAnsi="宋体" w:eastAsia="宋体" w:cs="宋体"/>
          <w:color w:val="auto"/>
          <w:lang w:val="en-US" w:eastAsia="zh-CN"/>
        </w:rPr>
        <w:t>“</w:t>
      </w:r>
      <w:r>
        <w:rPr>
          <w:rFonts w:hint="default"/>
          <w:color w:val="auto"/>
          <w:lang w:val="en-US" w:eastAsia="zh-CN"/>
        </w:rPr>
        <w:t>采剥并举、剥离先行</w:t>
      </w:r>
      <w:r>
        <w:rPr>
          <w:rFonts w:hint="eastAsia" w:ascii="宋体" w:hAnsi="宋体" w:eastAsia="宋体" w:cs="宋体"/>
          <w:color w:val="auto"/>
          <w:lang w:val="en-US" w:eastAsia="zh-CN"/>
        </w:rPr>
        <w:t>”</w:t>
      </w:r>
      <w:r>
        <w:rPr>
          <w:rFonts w:hint="default"/>
          <w:color w:val="auto"/>
          <w:lang w:val="en-US" w:eastAsia="zh-CN"/>
        </w:rPr>
        <w:t>的开采原则，按照设计要求采用自上而下台阶式开采的顺序，逐个台阶开采，严禁采用</w:t>
      </w:r>
      <w:r>
        <w:rPr>
          <w:rFonts w:hint="eastAsia" w:ascii="宋体" w:hAnsi="宋体" w:eastAsia="宋体" w:cs="宋体"/>
          <w:color w:val="auto"/>
          <w:lang w:val="en-US" w:eastAsia="zh-CN"/>
        </w:rPr>
        <w:t>“</w:t>
      </w:r>
      <w:r>
        <w:rPr>
          <w:rFonts w:hint="default"/>
          <w:color w:val="auto"/>
          <w:lang w:val="en-US" w:eastAsia="zh-CN"/>
        </w:rPr>
        <w:t>遍地开花</w:t>
      </w:r>
      <w:r>
        <w:rPr>
          <w:rFonts w:hint="eastAsia" w:ascii="宋体" w:hAnsi="宋体" w:eastAsia="宋体" w:cs="宋体"/>
          <w:color w:val="auto"/>
          <w:lang w:val="en-US" w:eastAsia="zh-CN"/>
        </w:rPr>
        <w:t>”</w:t>
      </w:r>
      <w:r>
        <w:rPr>
          <w:rFonts w:hint="default"/>
          <w:color w:val="auto"/>
          <w:lang w:val="en-US" w:eastAsia="zh-CN"/>
        </w:rPr>
        <w:t>式作业方式，对暂时不应开采的区域，应封闭进入其平台的通道，并设置禁止入内的安全警示标志。</w:t>
      </w:r>
    </w:p>
    <w:p w14:paraId="09C99FB5">
      <w:pPr>
        <w:rPr>
          <w:rFonts w:hint="default"/>
          <w:color w:val="auto"/>
          <w:lang w:val="en-US" w:eastAsia="zh-CN"/>
        </w:rPr>
      </w:pPr>
      <w:r>
        <w:rPr>
          <w:rFonts w:hint="eastAsia"/>
          <w:color w:val="auto"/>
          <w:lang w:val="en-US" w:eastAsia="zh-CN"/>
        </w:rPr>
        <w:t xml:space="preserve">5. </w:t>
      </w:r>
      <w:r>
        <w:rPr>
          <w:rFonts w:hint="default"/>
          <w:color w:val="auto"/>
          <w:lang w:val="en-US" w:eastAsia="zh-CN"/>
        </w:rPr>
        <w:t>矿山不应在雷雨、大雾、大风等恶劣天气条件下进行爆破作业。矿山应定出警戒范围，在该区域边界设置警戒。</w:t>
      </w:r>
    </w:p>
    <w:p w14:paraId="04BED42A">
      <w:pPr>
        <w:rPr>
          <w:rFonts w:hint="default"/>
          <w:color w:val="auto"/>
          <w:lang w:val="en-US" w:eastAsia="zh-CN"/>
        </w:rPr>
      </w:pPr>
      <w:r>
        <w:rPr>
          <w:rFonts w:hint="eastAsia"/>
          <w:color w:val="auto"/>
          <w:lang w:val="en-US" w:eastAsia="zh-CN"/>
        </w:rPr>
        <w:t xml:space="preserve">6. </w:t>
      </w:r>
      <w:r>
        <w:rPr>
          <w:rFonts w:hint="default"/>
          <w:color w:val="auto"/>
          <w:lang w:val="en-US" w:eastAsia="zh-CN"/>
        </w:rPr>
        <w:t>挖机禁止在错开距离不符合要求的情况下，在同一平台或上下台阶同时开采。</w:t>
      </w:r>
    </w:p>
    <w:p w14:paraId="3BEE77DB">
      <w:pPr>
        <w:rPr>
          <w:rFonts w:hint="default"/>
          <w:color w:val="auto"/>
          <w:lang w:val="en-US" w:eastAsia="zh-CN"/>
        </w:rPr>
      </w:pPr>
      <w:r>
        <w:rPr>
          <w:rFonts w:hint="eastAsia"/>
          <w:color w:val="auto"/>
          <w:lang w:val="en-US" w:eastAsia="zh-CN"/>
        </w:rPr>
        <w:t xml:space="preserve">7. </w:t>
      </w:r>
      <w:r>
        <w:rPr>
          <w:rFonts w:hint="default"/>
          <w:color w:val="auto"/>
          <w:lang w:val="en-US" w:eastAsia="zh-CN"/>
        </w:rPr>
        <w:t>任何进入作业现场的人员，都必须佩戴安全帽。</w:t>
      </w:r>
    </w:p>
    <w:p w14:paraId="27369A58">
      <w:pPr>
        <w:rPr>
          <w:rFonts w:hint="eastAsia"/>
          <w:color w:val="FF0000"/>
          <w:lang w:val="en-US" w:eastAsia="zh-CN"/>
        </w:rPr>
      </w:pPr>
      <w:r>
        <w:rPr>
          <w:rFonts w:hint="eastAsia"/>
          <w:color w:val="FF0000"/>
          <w:lang w:val="en-US" w:eastAsia="zh-CN"/>
        </w:rPr>
        <w:t>8. 露采工作区存在溶洞的区域应安排警戒，严禁任何车辆在其周围通行，且应及时对溶洞进行安全处置。</w:t>
      </w:r>
    </w:p>
    <w:p w14:paraId="6C2FAAF9">
      <w:pPr>
        <w:rPr>
          <w:rFonts w:hint="default"/>
          <w:color w:val="FF0000"/>
          <w:lang w:val="en-US" w:eastAsia="zh-CN"/>
        </w:rPr>
      </w:pPr>
      <w:r>
        <w:rPr>
          <w:rFonts w:hint="eastAsia"/>
          <w:color w:val="FF0000"/>
          <w:lang w:val="en-US" w:eastAsia="zh-CN"/>
        </w:rPr>
        <w:t xml:space="preserve">9. </w:t>
      </w:r>
      <w:r>
        <w:rPr>
          <w:rFonts w:hint="default"/>
          <w:color w:val="FF0000"/>
          <w:lang w:val="en-US" w:eastAsia="zh-CN"/>
        </w:rPr>
        <w:t>针对</w:t>
      </w:r>
      <w:r>
        <w:rPr>
          <w:rFonts w:hint="eastAsia"/>
          <w:color w:val="FF0000"/>
          <w:lang w:val="en-US" w:eastAsia="zh-CN"/>
        </w:rPr>
        <w:t>隐蔽治灾</w:t>
      </w:r>
      <w:r>
        <w:rPr>
          <w:rFonts w:hint="default"/>
          <w:color w:val="FF0000"/>
          <w:lang w:val="en-US" w:eastAsia="zh-CN"/>
        </w:rPr>
        <w:t>物探推断存在</w:t>
      </w:r>
      <w:r>
        <w:rPr>
          <w:rFonts w:hint="eastAsia"/>
          <w:color w:val="FF0000"/>
          <w:lang w:val="en-US" w:eastAsia="zh-CN"/>
        </w:rPr>
        <w:t>的</w:t>
      </w:r>
      <w:r>
        <w:rPr>
          <w:rFonts w:hint="default"/>
          <w:color w:val="FF0000"/>
          <w:lang w:val="en-US" w:eastAsia="zh-CN"/>
        </w:rPr>
        <w:t>岩溶发育区，可提前利用钻探进行验证，及时针对处理。</w:t>
      </w:r>
    </w:p>
    <w:p w14:paraId="046A84A4">
      <w:pPr>
        <w:pStyle w:val="3"/>
        <w:bidi w:val="0"/>
        <w:rPr>
          <w:rFonts w:hint="default"/>
          <w:color w:val="auto"/>
          <w:lang w:val="en-US" w:eastAsia="zh-CN"/>
        </w:rPr>
      </w:pPr>
      <w:bookmarkStart w:id="399" w:name="_Toc711"/>
      <w:bookmarkStart w:id="400" w:name="_Toc11385"/>
      <w:bookmarkStart w:id="401" w:name="_Toc31403"/>
      <w:bookmarkStart w:id="402" w:name="_Toc28106"/>
      <w:r>
        <w:rPr>
          <w:rFonts w:hint="eastAsia"/>
          <w:color w:val="auto"/>
          <w:lang w:val="en-US" w:eastAsia="zh-CN"/>
        </w:rPr>
        <w:t>6.3 开拓运输单元对策措施</w:t>
      </w:r>
      <w:bookmarkEnd w:id="399"/>
      <w:bookmarkEnd w:id="400"/>
      <w:bookmarkEnd w:id="401"/>
      <w:bookmarkEnd w:id="402"/>
    </w:p>
    <w:p w14:paraId="1960B219">
      <w:pPr>
        <w:rPr>
          <w:rFonts w:hint="default"/>
          <w:color w:val="auto"/>
          <w:lang w:val="en-US" w:eastAsia="zh-CN"/>
        </w:rPr>
      </w:pPr>
      <w:r>
        <w:rPr>
          <w:rFonts w:hint="eastAsia"/>
          <w:color w:val="auto"/>
          <w:lang w:val="en-US" w:eastAsia="zh-CN"/>
        </w:rPr>
        <w:t xml:space="preserve">1. </w:t>
      </w:r>
      <w:r>
        <w:rPr>
          <w:rFonts w:hint="default"/>
          <w:color w:val="auto"/>
          <w:lang w:val="en-US" w:eastAsia="zh-CN"/>
        </w:rPr>
        <w:t>露天采场工作</w:t>
      </w:r>
      <w:r>
        <w:rPr>
          <w:rFonts w:hint="eastAsia"/>
          <w:color w:val="auto"/>
          <w:lang w:val="en-US" w:eastAsia="zh-CN"/>
        </w:rPr>
        <w:t>边</w:t>
      </w:r>
      <w:r>
        <w:rPr>
          <w:rFonts w:hint="default"/>
          <w:color w:val="auto"/>
          <w:lang w:val="en-US" w:eastAsia="zh-CN"/>
        </w:rPr>
        <w:t>坡应每季度检查1次，运输或行人的非工作边坡每半年检查1次。</w:t>
      </w:r>
    </w:p>
    <w:p w14:paraId="0513BC54">
      <w:pPr>
        <w:rPr>
          <w:rFonts w:hint="default"/>
          <w:color w:val="auto"/>
          <w:lang w:val="en-US" w:eastAsia="zh-CN"/>
        </w:rPr>
      </w:pPr>
      <w:r>
        <w:rPr>
          <w:rFonts w:hint="eastAsia"/>
          <w:color w:val="auto"/>
          <w:lang w:val="en-US" w:eastAsia="zh-CN"/>
        </w:rPr>
        <w:t xml:space="preserve">2. </w:t>
      </w:r>
      <w:r>
        <w:rPr>
          <w:rFonts w:hint="default"/>
          <w:color w:val="auto"/>
          <w:lang w:val="en-US" w:eastAsia="zh-CN"/>
        </w:rPr>
        <w:t>雨雪、大雾、冰冻等恶劣天气应禁止车辆上山运输。</w:t>
      </w:r>
    </w:p>
    <w:p w14:paraId="2EF09F68">
      <w:pPr>
        <w:rPr>
          <w:rFonts w:hint="default"/>
          <w:color w:val="auto"/>
          <w:lang w:val="en-US" w:eastAsia="zh-CN"/>
        </w:rPr>
      </w:pPr>
      <w:r>
        <w:rPr>
          <w:rFonts w:hint="eastAsia"/>
          <w:color w:val="auto"/>
          <w:lang w:val="en-US" w:eastAsia="zh-CN"/>
        </w:rPr>
        <w:t xml:space="preserve">3. </w:t>
      </w:r>
      <w:r>
        <w:rPr>
          <w:rFonts w:hint="default"/>
          <w:color w:val="auto"/>
          <w:lang w:val="en-US" w:eastAsia="zh-CN"/>
        </w:rPr>
        <w:t>加强对运输道路的检查维护，确保上山公路排水沟、安全警示标志、</w:t>
      </w:r>
      <w:r>
        <w:rPr>
          <w:rFonts w:hint="eastAsia"/>
          <w:color w:val="auto"/>
          <w:lang w:val="en-US" w:eastAsia="zh-CN"/>
        </w:rPr>
        <w:t>反光镜</w:t>
      </w:r>
      <w:r>
        <w:rPr>
          <w:rFonts w:hint="default"/>
          <w:color w:val="auto"/>
          <w:lang w:val="en-US" w:eastAsia="zh-CN"/>
        </w:rPr>
        <w:t>等设施的完好。</w:t>
      </w:r>
    </w:p>
    <w:p w14:paraId="02A7944D">
      <w:pPr>
        <w:rPr>
          <w:rFonts w:hint="default"/>
          <w:color w:val="auto"/>
          <w:lang w:val="en-US" w:eastAsia="zh-CN"/>
        </w:rPr>
      </w:pPr>
      <w:r>
        <w:rPr>
          <w:rFonts w:hint="eastAsia"/>
          <w:color w:val="auto"/>
          <w:lang w:val="en-US" w:eastAsia="zh-CN"/>
        </w:rPr>
        <w:t xml:space="preserve">4. </w:t>
      </w:r>
      <w:r>
        <w:rPr>
          <w:rFonts w:hint="default"/>
          <w:color w:val="auto"/>
          <w:lang w:val="en-US" w:eastAsia="zh-CN"/>
        </w:rPr>
        <w:t>加强对运输设备、设施的检查、维护，确保设备、设施完好、性能可靠、使用安全。</w:t>
      </w:r>
    </w:p>
    <w:p w14:paraId="798AE045">
      <w:pPr>
        <w:rPr>
          <w:rFonts w:hint="default"/>
          <w:color w:val="auto"/>
          <w:lang w:val="en-US" w:eastAsia="zh-CN"/>
        </w:rPr>
      </w:pPr>
      <w:r>
        <w:rPr>
          <w:rFonts w:hint="eastAsia"/>
          <w:color w:val="auto"/>
          <w:lang w:val="en-US" w:eastAsia="zh-CN"/>
        </w:rPr>
        <w:t xml:space="preserve">5. </w:t>
      </w:r>
      <w:r>
        <w:rPr>
          <w:rFonts w:hint="default"/>
          <w:color w:val="auto"/>
          <w:lang w:val="en-US" w:eastAsia="zh-CN"/>
        </w:rPr>
        <w:t>加强对运输车辆驾驶人员的安全教育、培训，驾驶人员均须取得相应的驾驶资格证，并持证上岗，严禁酒后、疲劳驾驶。</w:t>
      </w:r>
    </w:p>
    <w:p w14:paraId="67BDB244">
      <w:pPr>
        <w:rPr>
          <w:rFonts w:hint="default"/>
          <w:color w:val="auto"/>
          <w:lang w:val="en-US" w:eastAsia="zh-CN"/>
        </w:rPr>
      </w:pPr>
      <w:r>
        <w:rPr>
          <w:rFonts w:hint="eastAsia"/>
          <w:color w:val="auto"/>
          <w:lang w:val="en-US" w:eastAsia="zh-CN"/>
        </w:rPr>
        <w:t xml:space="preserve">6. </w:t>
      </w:r>
      <w:r>
        <w:rPr>
          <w:rFonts w:hint="default"/>
          <w:color w:val="auto"/>
          <w:lang w:val="en-US" w:eastAsia="zh-CN"/>
        </w:rPr>
        <w:t>加强运输安全管理，规范运输安全操作、运行。</w:t>
      </w:r>
    </w:p>
    <w:p w14:paraId="4D933C4C">
      <w:pPr>
        <w:rPr>
          <w:rFonts w:hint="default"/>
          <w:color w:val="auto"/>
          <w:lang w:val="en-US" w:eastAsia="zh-CN"/>
        </w:rPr>
      </w:pPr>
      <w:r>
        <w:rPr>
          <w:rFonts w:hint="eastAsia"/>
          <w:color w:val="auto"/>
          <w:lang w:val="en-US" w:eastAsia="zh-CN"/>
        </w:rPr>
        <w:t>（1）</w:t>
      </w:r>
      <w:r>
        <w:rPr>
          <w:rFonts w:hint="default"/>
          <w:color w:val="auto"/>
          <w:lang w:val="en-US" w:eastAsia="zh-CN"/>
        </w:rPr>
        <w:t>雾天或烟尘弥漫影响能见度时，应开亮车前黄灯与标志灯，并靠右侧减速行驶，前后车间距应不小于30m。</w:t>
      </w:r>
    </w:p>
    <w:p w14:paraId="6ED63935">
      <w:pPr>
        <w:rPr>
          <w:rFonts w:hint="default"/>
          <w:color w:val="auto"/>
          <w:lang w:val="en-US" w:eastAsia="zh-CN"/>
        </w:rPr>
      </w:pPr>
      <w:r>
        <w:rPr>
          <w:rFonts w:hint="eastAsia"/>
          <w:color w:val="auto"/>
          <w:lang w:val="en-US" w:eastAsia="zh-CN"/>
        </w:rPr>
        <w:t>（2）</w:t>
      </w:r>
      <w:r>
        <w:rPr>
          <w:rFonts w:hint="default"/>
          <w:color w:val="auto"/>
          <w:lang w:val="en-US" w:eastAsia="zh-CN"/>
        </w:rPr>
        <w:t>冰雪或多雨季节道路较滑时，应有防滑措施并减速行驶；前后车距应不小于40m；拖挂其他车辆时，应采取有效的安全措施，并有专人指挥。</w:t>
      </w:r>
    </w:p>
    <w:p w14:paraId="1EF600B6">
      <w:pPr>
        <w:rPr>
          <w:rFonts w:hint="default"/>
          <w:color w:val="auto"/>
          <w:lang w:val="en-US" w:eastAsia="zh-CN"/>
        </w:rPr>
      </w:pPr>
      <w:r>
        <w:rPr>
          <w:rFonts w:hint="eastAsia"/>
          <w:color w:val="auto"/>
          <w:lang w:val="en-US" w:eastAsia="zh-CN"/>
        </w:rPr>
        <w:t>（3）</w:t>
      </w:r>
      <w:r>
        <w:rPr>
          <w:rFonts w:hint="default"/>
          <w:color w:val="auto"/>
          <w:lang w:val="en-US" w:eastAsia="zh-CN"/>
        </w:rPr>
        <w:t>正常作业条件下，同类车不应超车，前后车距离应保持适当。生产干线、坡道上不应无故停车。</w:t>
      </w:r>
    </w:p>
    <w:p w14:paraId="0A4A5229">
      <w:pPr>
        <w:rPr>
          <w:rFonts w:hint="default"/>
          <w:color w:val="auto"/>
          <w:lang w:val="en-US" w:eastAsia="zh-CN"/>
        </w:rPr>
      </w:pPr>
      <w:r>
        <w:rPr>
          <w:rFonts w:hint="eastAsia"/>
          <w:color w:val="auto"/>
          <w:lang w:val="en-US" w:eastAsia="zh-CN"/>
        </w:rPr>
        <w:t>（4）</w:t>
      </w:r>
      <w:r>
        <w:rPr>
          <w:rFonts w:hint="default"/>
          <w:color w:val="auto"/>
          <w:lang w:val="en-US" w:eastAsia="zh-CN"/>
        </w:rPr>
        <w:t>自卸汽车进入工作面装车，应停在挖掘机尾部回转范围0.5m以外，防止挖掘机回转撞坏车辆。汽车在靠近边坡或危险路面行驶时，应谨慎通过，防止崩塌事故发生。</w:t>
      </w:r>
    </w:p>
    <w:p w14:paraId="6110F1FD">
      <w:pPr>
        <w:pStyle w:val="3"/>
        <w:bidi w:val="0"/>
        <w:rPr>
          <w:rFonts w:hint="default"/>
          <w:color w:val="auto"/>
          <w:lang w:val="en-US" w:eastAsia="zh-CN"/>
        </w:rPr>
      </w:pPr>
      <w:bookmarkStart w:id="403" w:name="_Toc21303"/>
      <w:bookmarkStart w:id="404" w:name="_Toc16044"/>
      <w:bookmarkStart w:id="405" w:name="_Toc26569"/>
      <w:bookmarkStart w:id="406" w:name="_Toc31879"/>
      <w:r>
        <w:rPr>
          <w:rFonts w:hint="eastAsia"/>
          <w:color w:val="auto"/>
          <w:lang w:val="en-US" w:eastAsia="zh-CN"/>
        </w:rPr>
        <w:t>6.4 爆破作业安全对策措施建议</w:t>
      </w:r>
      <w:bookmarkEnd w:id="403"/>
      <w:bookmarkEnd w:id="404"/>
      <w:bookmarkEnd w:id="405"/>
      <w:bookmarkEnd w:id="406"/>
    </w:p>
    <w:p w14:paraId="0CFE8E4E">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矿山当日放炮，多余的火工材料当日运回，不在矿山滞留。</w:t>
      </w:r>
    </w:p>
    <w:p w14:paraId="690D0059">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矿山开采要根据爆破区台阶高度、钻孔直径和岩石性质等，严格按设计的爆破参数进行爆破作业。</w:t>
      </w:r>
    </w:p>
    <w:p w14:paraId="3BF83AA3">
      <w:pPr>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必须制订严密的爆破安全措施，并向当地村民告示爆破时间、地点、警戒范围、爆破信号等。</w:t>
      </w:r>
    </w:p>
    <w:p w14:paraId="7196838D">
      <w:pPr>
        <w:rPr>
          <w:rFonts w:hint="default"/>
          <w:color w:val="FF0000"/>
          <w:lang w:val="en-US" w:eastAsia="zh-CN"/>
        </w:rPr>
      </w:pPr>
      <w:r>
        <w:rPr>
          <w:rFonts w:hint="default"/>
          <w:color w:val="FF0000"/>
          <w:lang w:val="en-US" w:eastAsia="zh-CN"/>
        </w:rPr>
        <w:t>4</w:t>
      </w:r>
      <w:r>
        <w:rPr>
          <w:rFonts w:hint="eastAsia"/>
          <w:color w:val="FF0000"/>
          <w:lang w:val="en-US" w:eastAsia="zh-CN"/>
        </w:rPr>
        <w:t xml:space="preserve">. </w:t>
      </w:r>
      <w:r>
        <w:rPr>
          <w:rFonts w:hint="default"/>
          <w:color w:val="FF0000"/>
          <w:lang w:val="en-US" w:eastAsia="zh-CN"/>
        </w:rPr>
        <w:t>大雾天、黄昏、雷雨天、夜晚禁止进行露天爆破。</w:t>
      </w:r>
    </w:p>
    <w:p w14:paraId="7E431665">
      <w:pPr>
        <w:rPr>
          <w:rFonts w:hint="default"/>
          <w:color w:val="auto"/>
          <w:lang w:val="en-US" w:eastAsia="zh-CN"/>
        </w:rPr>
      </w:pPr>
      <w:r>
        <w:rPr>
          <w:rFonts w:hint="eastAsia"/>
          <w:color w:val="auto"/>
          <w:lang w:val="en-US" w:eastAsia="zh-CN"/>
        </w:rPr>
        <w:t xml:space="preserve">5. </w:t>
      </w:r>
      <w:r>
        <w:rPr>
          <w:rFonts w:hint="default"/>
          <w:color w:val="auto"/>
          <w:lang w:val="en-US" w:eastAsia="zh-CN"/>
        </w:rPr>
        <w:t>加强爆破安全管理。</w:t>
      </w:r>
    </w:p>
    <w:p w14:paraId="3F3C6CBD">
      <w:pPr>
        <w:rPr>
          <w:rFonts w:hint="default"/>
          <w:color w:val="auto"/>
          <w:lang w:val="en-US" w:eastAsia="zh-CN"/>
        </w:rPr>
      </w:pPr>
      <w:r>
        <w:rPr>
          <w:rFonts w:hint="eastAsia"/>
          <w:color w:val="auto"/>
          <w:lang w:val="en-US" w:eastAsia="zh-CN"/>
        </w:rPr>
        <w:t>（1）</w:t>
      </w:r>
      <w:r>
        <w:rPr>
          <w:rFonts w:hint="default"/>
          <w:color w:val="auto"/>
          <w:lang w:val="en-US" w:eastAsia="zh-CN"/>
        </w:rPr>
        <w:t>爆破前，必须将采场的设备、人员撤至安全地点。</w:t>
      </w:r>
    </w:p>
    <w:p w14:paraId="075F6106">
      <w:pPr>
        <w:rPr>
          <w:rFonts w:hint="default"/>
          <w:color w:val="auto"/>
          <w:lang w:val="en-US" w:eastAsia="zh-CN"/>
        </w:rPr>
      </w:pPr>
      <w:r>
        <w:rPr>
          <w:rFonts w:hint="eastAsia"/>
          <w:color w:val="auto"/>
          <w:lang w:val="en-US" w:eastAsia="zh-CN"/>
        </w:rPr>
        <w:t>（2）</w:t>
      </w:r>
      <w:r>
        <w:rPr>
          <w:rFonts w:hint="default"/>
          <w:color w:val="auto"/>
          <w:lang w:val="en-US" w:eastAsia="zh-CN"/>
        </w:rPr>
        <w:t>爆破前，必须按爆破说明书的要求设置爆破警戒，将爆破警戒内人员撤到安全地点，各通道、路口必须有人警戒并设置警戒标识。</w:t>
      </w:r>
    </w:p>
    <w:p w14:paraId="0A490CDC">
      <w:pPr>
        <w:rPr>
          <w:rFonts w:hint="default"/>
          <w:color w:val="auto"/>
          <w:lang w:val="en-US" w:eastAsia="zh-CN"/>
        </w:rPr>
      </w:pPr>
      <w:r>
        <w:rPr>
          <w:rFonts w:hint="eastAsia"/>
          <w:color w:val="auto"/>
          <w:lang w:val="en-US" w:eastAsia="zh-CN"/>
        </w:rPr>
        <w:t>（3）</w:t>
      </w:r>
      <w:r>
        <w:rPr>
          <w:rFonts w:hint="default"/>
          <w:color w:val="auto"/>
          <w:lang w:val="en-US" w:eastAsia="zh-CN"/>
        </w:rPr>
        <w:t>爆后应超过5min，方准许检查人员进入爆破作业地点；如不能确认有无盲炮，应经15min后才能进入爆区检查。</w:t>
      </w:r>
    </w:p>
    <w:p w14:paraId="2DA61487">
      <w:pPr>
        <w:rPr>
          <w:rFonts w:hint="default"/>
          <w:color w:val="auto"/>
          <w:lang w:val="en-US" w:eastAsia="zh-CN"/>
        </w:rPr>
      </w:pPr>
      <w:r>
        <w:rPr>
          <w:rFonts w:hint="eastAsia"/>
          <w:color w:val="auto"/>
          <w:lang w:val="en-US" w:eastAsia="zh-CN"/>
        </w:rPr>
        <w:t>（4）</w:t>
      </w:r>
      <w:r>
        <w:rPr>
          <w:rFonts w:hint="default"/>
          <w:color w:val="auto"/>
          <w:lang w:val="en-US" w:eastAsia="zh-CN"/>
        </w:rPr>
        <w:t>爆破经检查确认爆破点安全后，经当班爆破班长同意，方准许作业人员进入爆区并解除警戒。</w:t>
      </w:r>
    </w:p>
    <w:p w14:paraId="7FF8D168">
      <w:pPr>
        <w:rPr>
          <w:rFonts w:hint="default"/>
          <w:color w:val="FF0000"/>
          <w:lang w:val="en-US" w:eastAsia="zh-CN"/>
        </w:rPr>
      </w:pPr>
      <w:r>
        <w:rPr>
          <w:rFonts w:hint="eastAsia"/>
          <w:color w:val="FF0000"/>
          <w:lang w:val="en-US" w:eastAsia="zh-CN"/>
        </w:rPr>
        <w:t>6. 矿山应协调好两个矿区爆破间的关系，避免爆破产生相互影响。</w:t>
      </w:r>
    </w:p>
    <w:p w14:paraId="1A7FF90D">
      <w:pPr>
        <w:pStyle w:val="3"/>
        <w:bidi w:val="0"/>
        <w:rPr>
          <w:rFonts w:hint="default"/>
          <w:color w:val="auto"/>
          <w:lang w:val="en-US" w:eastAsia="zh-CN"/>
        </w:rPr>
      </w:pPr>
      <w:bookmarkStart w:id="407" w:name="_Toc23300"/>
      <w:bookmarkStart w:id="408" w:name="_Toc15217"/>
      <w:bookmarkStart w:id="409" w:name="_Toc12523"/>
      <w:bookmarkStart w:id="410" w:name="_Toc22762"/>
      <w:r>
        <w:rPr>
          <w:rFonts w:hint="eastAsia"/>
          <w:color w:val="auto"/>
          <w:lang w:val="en-US" w:eastAsia="zh-CN"/>
        </w:rPr>
        <w:t>6.5 供配电设施安全对策措施建议</w:t>
      </w:r>
      <w:bookmarkEnd w:id="407"/>
      <w:bookmarkEnd w:id="408"/>
      <w:bookmarkEnd w:id="409"/>
      <w:bookmarkEnd w:id="410"/>
    </w:p>
    <w:p w14:paraId="5CAB4AA6">
      <w:pPr>
        <w:bidi w:val="0"/>
        <w:rPr>
          <w:rFonts w:hint="eastAsia"/>
          <w:color w:val="auto"/>
          <w:lang w:val="en-US" w:eastAsia="zh-CN"/>
        </w:rPr>
      </w:pPr>
      <w:r>
        <w:rPr>
          <w:rFonts w:hint="eastAsia"/>
          <w:color w:val="auto"/>
          <w:lang w:val="en-US" w:eastAsia="zh-CN"/>
        </w:rPr>
        <w:t>1. 矿山应建立电气作业安全制度，严格执行工作票、工作许可、监护、间断、转移和终结等工作程序。</w:t>
      </w:r>
    </w:p>
    <w:p w14:paraId="5AC21C93">
      <w:pPr>
        <w:bidi w:val="0"/>
        <w:rPr>
          <w:rFonts w:hint="eastAsia"/>
          <w:color w:val="auto"/>
          <w:lang w:val="en-US" w:eastAsia="zh-CN"/>
        </w:rPr>
      </w:pPr>
      <w:r>
        <w:rPr>
          <w:rFonts w:hint="eastAsia"/>
          <w:color w:val="auto"/>
          <w:lang w:val="en-US" w:eastAsia="zh-CN"/>
        </w:rPr>
        <w:t>2. 购置电器设备，尤其是购置专用的安全性要求高的电气设备时，应该到经质量认证的、专门生产该设备的厂家或商店购置，从开始就要保证质量和安全性。</w:t>
      </w:r>
    </w:p>
    <w:p w14:paraId="1C0E19CB">
      <w:pPr>
        <w:bidi w:val="0"/>
        <w:rPr>
          <w:rFonts w:hint="eastAsia"/>
          <w:color w:val="auto"/>
          <w:lang w:val="en-US" w:eastAsia="zh-CN"/>
        </w:rPr>
      </w:pPr>
      <w:r>
        <w:rPr>
          <w:rFonts w:hint="eastAsia"/>
          <w:color w:val="auto"/>
          <w:lang w:val="en-US" w:eastAsia="zh-CN"/>
        </w:rPr>
        <w:t>3. 对特种设备和仪表，以及现有有关设备要按规定请有资格的部门定期进行检验、检测，并出具证明，凡达不到要求指标的应停止使用。</w:t>
      </w:r>
    </w:p>
    <w:p w14:paraId="21766A6F">
      <w:pPr>
        <w:bidi w:val="0"/>
        <w:rPr>
          <w:rFonts w:hint="eastAsia"/>
          <w:color w:val="auto"/>
          <w:lang w:val="en-US" w:eastAsia="zh-CN"/>
        </w:rPr>
      </w:pPr>
      <w:r>
        <w:rPr>
          <w:rFonts w:hint="eastAsia"/>
          <w:color w:val="auto"/>
          <w:lang w:val="en-US" w:eastAsia="zh-CN"/>
        </w:rPr>
        <w:t>4. 应装置避雷针的电器设备，或建筑物都应装避雷针。避雷针的装设应请有资质部门施工，并定期检测，避雷针的电阻要达到规定要求，保证避雷效果，做到安全。</w:t>
      </w:r>
    </w:p>
    <w:p w14:paraId="0CA9C37A">
      <w:pPr>
        <w:bidi w:val="0"/>
        <w:rPr>
          <w:rFonts w:hint="eastAsia"/>
          <w:color w:val="auto"/>
          <w:lang w:val="en-US" w:eastAsia="zh-CN"/>
        </w:rPr>
      </w:pPr>
      <w:r>
        <w:rPr>
          <w:rFonts w:hint="eastAsia"/>
          <w:color w:val="auto"/>
          <w:lang w:val="en-US" w:eastAsia="zh-CN"/>
        </w:rPr>
        <w:t>5. 所有机电设备都应接地，接地方式要符合要求，以防漏电，对人造成伤害。用电线路和装置要经常检查防止“裸露”，及时更换失灵电器保护装置。</w:t>
      </w:r>
    </w:p>
    <w:p w14:paraId="3614AF68">
      <w:pPr>
        <w:bidi w:val="0"/>
        <w:rPr>
          <w:rFonts w:hint="eastAsia"/>
          <w:color w:val="auto"/>
          <w:lang w:val="en-US" w:eastAsia="zh-CN"/>
        </w:rPr>
      </w:pPr>
      <w:r>
        <w:rPr>
          <w:rFonts w:hint="eastAsia"/>
          <w:color w:val="auto"/>
          <w:lang w:val="en-US" w:eastAsia="zh-CN"/>
        </w:rPr>
        <w:t>6. 加强电器设备管理，严格操作规程，禁止违章操作，每班都应有使用运行记录。</w:t>
      </w:r>
    </w:p>
    <w:p w14:paraId="07C6EBA7">
      <w:pPr>
        <w:bidi w:val="0"/>
        <w:rPr>
          <w:rFonts w:hint="eastAsia"/>
          <w:color w:val="auto"/>
          <w:lang w:val="en-US" w:eastAsia="zh-CN"/>
        </w:rPr>
      </w:pPr>
      <w:r>
        <w:rPr>
          <w:rFonts w:hint="eastAsia"/>
          <w:color w:val="auto"/>
          <w:spacing w:val="-6"/>
          <w:sz w:val="28"/>
          <w:lang w:val="en-US" w:eastAsia="zh-CN"/>
        </w:rPr>
        <w:t>7. 重视电器设备的检查、保养、维修工作，要建立制度，检查维修要有准确记录。机电设备检修停、送电时，要执行工作票制度，并派专人看</w:t>
      </w:r>
      <w:r>
        <w:rPr>
          <w:rFonts w:hint="eastAsia"/>
          <w:color w:val="auto"/>
          <w:lang w:val="en-US" w:eastAsia="zh-CN"/>
        </w:rPr>
        <w:t>管。</w:t>
      </w:r>
    </w:p>
    <w:p w14:paraId="245FB69D">
      <w:pPr>
        <w:bidi w:val="0"/>
        <w:rPr>
          <w:rFonts w:hint="eastAsia"/>
          <w:color w:val="auto"/>
          <w:lang w:val="en-US" w:eastAsia="zh-CN"/>
        </w:rPr>
      </w:pPr>
      <w:r>
        <w:rPr>
          <w:rFonts w:hint="eastAsia"/>
          <w:color w:val="auto"/>
          <w:lang w:val="en-US" w:eastAsia="zh-CN"/>
        </w:rPr>
        <w:t>8. 要全面建立警示牌，如变电压要警示高压危险，空压机要挂注意高压，有些地点要挂出“注意烟火，禁止吸烟”、“小心路滑，注意危险”等，提醒人们时刻警惕。</w:t>
      </w:r>
    </w:p>
    <w:p w14:paraId="0AAE32EF">
      <w:pPr>
        <w:pStyle w:val="3"/>
        <w:bidi w:val="0"/>
        <w:rPr>
          <w:rFonts w:hint="default"/>
          <w:color w:val="auto"/>
          <w:lang w:val="en-US" w:eastAsia="zh-CN"/>
        </w:rPr>
      </w:pPr>
      <w:bookmarkStart w:id="411" w:name="_Toc14137"/>
      <w:bookmarkStart w:id="412" w:name="_Toc11362"/>
      <w:bookmarkStart w:id="413" w:name="_Toc6342"/>
      <w:bookmarkStart w:id="414" w:name="_Toc690"/>
      <w:r>
        <w:rPr>
          <w:rFonts w:hint="eastAsia"/>
          <w:color w:val="auto"/>
          <w:lang w:val="en-US" w:eastAsia="zh-CN"/>
        </w:rPr>
        <w:t>6.6 防排水与防灭火安全对策措施建议</w:t>
      </w:r>
      <w:bookmarkEnd w:id="411"/>
      <w:bookmarkEnd w:id="412"/>
      <w:bookmarkEnd w:id="413"/>
      <w:bookmarkEnd w:id="414"/>
    </w:p>
    <w:p w14:paraId="1D85C1E8">
      <w:pPr>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采场周围截水沟应定期疏通、清理。</w:t>
      </w:r>
    </w:p>
    <w:p w14:paraId="3B78FA5F">
      <w:pPr>
        <w:rPr>
          <w:rFonts w:hint="default"/>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排水沟要经常清淤，防止堵塞，保持畅通，防止洪水漫过渠道直接流入采场。</w:t>
      </w:r>
    </w:p>
    <w:p w14:paraId="39ECDFC6">
      <w:pPr>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应对容易发生火灾的场所和设备如配电房、生活区、重要采掘设备等处配备足够的消防灭火器材。</w:t>
      </w:r>
    </w:p>
    <w:p w14:paraId="53DC8114">
      <w:pPr>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本矿山矿岩本身无可燃性，采场发生火灾的可能性较低，但由于矿山地处林区植被发育，发生森林火灾可能性大，要加强防火意识的宣传、教育，并采取以下预防措施：</w:t>
      </w:r>
    </w:p>
    <w:p w14:paraId="2AFDC0D3">
      <w:pPr>
        <w:rPr>
          <w:rFonts w:hint="default"/>
          <w:color w:val="auto"/>
          <w:lang w:val="en-US" w:eastAsia="zh-CN"/>
        </w:rPr>
      </w:pPr>
      <w:r>
        <w:rPr>
          <w:rFonts w:hint="eastAsia"/>
          <w:color w:val="auto"/>
          <w:lang w:val="en-US" w:eastAsia="zh-CN"/>
        </w:rPr>
        <w:t>（</w:t>
      </w:r>
      <w:r>
        <w:rPr>
          <w:rFonts w:hint="default"/>
          <w:color w:val="auto"/>
          <w:lang w:val="en-US" w:eastAsia="zh-CN"/>
        </w:rPr>
        <w:t>1）尽量减少可燃物的存在，各建构筑物尽量采用阻燃材料。</w:t>
      </w:r>
    </w:p>
    <w:p w14:paraId="0C7E7314">
      <w:pPr>
        <w:rPr>
          <w:rFonts w:hint="default"/>
          <w:color w:val="auto"/>
          <w:lang w:val="en-US" w:eastAsia="zh-CN"/>
        </w:rPr>
      </w:pPr>
      <w:r>
        <w:rPr>
          <w:rFonts w:hint="eastAsia"/>
          <w:color w:val="auto"/>
          <w:lang w:val="en-US" w:eastAsia="zh-CN"/>
        </w:rPr>
        <w:t>（</w:t>
      </w:r>
      <w:r>
        <w:rPr>
          <w:rFonts w:hint="default"/>
          <w:color w:val="auto"/>
          <w:lang w:val="en-US" w:eastAsia="zh-CN"/>
        </w:rPr>
        <w:t>2）杜绝违章作业。对易燃易爆物品采取了专门的运送、保管、分发和使用的措施，配备消防设施。</w:t>
      </w:r>
    </w:p>
    <w:p w14:paraId="0578427F">
      <w:pPr>
        <w:rPr>
          <w:rFonts w:hint="default"/>
          <w:color w:val="auto"/>
          <w:lang w:val="en-US" w:eastAsia="zh-CN"/>
        </w:rPr>
      </w:pPr>
    </w:p>
    <w:p w14:paraId="2B8DB2A7">
      <w:pPr>
        <w:rPr>
          <w:rFonts w:hint="default"/>
          <w:color w:val="auto"/>
          <w:lang w:val="en-US" w:eastAsia="zh-CN"/>
        </w:rPr>
      </w:pPr>
      <w:r>
        <w:rPr>
          <w:rFonts w:hint="default"/>
          <w:color w:val="auto"/>
          <w:lang w:val="en-US" w:eastAsia="zh-CN"/>
        </w:rPr>
        <w:br w:type="page"/>
      </w:r>
    </w:p>
    <w:p w14:paraId="78384D9D">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415" w:name="_Toc1108"/>
      <w:bookmarkStart w:id="416" w:name="_Toc24513"/>
      <w:bookmarkStart w:id="417" w:name="_Toc22651"/>
      <w:bookmarkStart w:id="418" w:name="_Toc1467"/>
      <w:r>
        <w:rPr>
          <w:rFonts w:hint="default" w:ascii="Times New Roman" w:hAnsi="Times New Roman" w:cs="Times New Roman"/>
          <w:color w:val="auto"/>
          <w:lang w:val="en-US" w:eastAsia="zh-CN"/>
        </w:rPr>
        <w:t>评价结论</w:t>
      </w:r>
      <w:bookmarkEnd w:id="415"/>
      <w:bookmarkEnd w:id="416"/>
      <w:bookmarkEnd w:id="417"/>
      <w:bookmarkEnd w:id="418"/>
    </w:p>
    <w:p w14:paraId="61AC982A">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本次</w:t>
      </w:r>
      <w:r>
        <w:rPr>
          <w:rFonts w:hint="default"/>
          <w:color w:val="auto"/>
          <w:lang w:val="en-US" w:eastAsia="zh-CN"/>
        </w:rPr>
        <w:t>安全现状评价是根据国家颁布的有关安全生产法律、法规及相关文件规定，本着科学、公正、合法、自主的原则，对</w:t>
      </w:r>
      <w:r>
        <w:rPr>
          <w:rFonts w:hint="eastAsia"/>
          <w:color w:val="auto"/>
          <w:lang w:val="en-US" w:eastAsia="zh-CN"/>
        </w:rPr>
        <w:t>曹溪二矿</w:t>
      </w:r>
      <w:r>
        <w:rPr>
          <w:rFonts w:hint="default"/>
          <w:color w:val="auto"/>
          <w:lang w:val="en-US" w:eastAsia="zh-CN"/>
        </w:rPr>
        <w:t>评价开采工程安全管理的适宜性及生产场所安全设施等是否符合国家相关法律法规与标准的要求，运用安全检查表和作业条件危险性分析评价法等对该项目进行安全现状评价，评价结论如下</w:t>
      </w:r>
      <w:r>
        <w:rPr>
          <w:rFonts w:hint="eastAsia"/>
          <w:color w:val="auto"/>
          <w:lang w:val="en-US" w:eastAsia="zh-CN"/>
        </w:rPr>
        <w:t>：</w:t>
      </w:r>
    </w:p>
    <w:p w14:paraId="4193C03C">
      <w:pPr>
        <w:pStyle w:val="3"/>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bookmarkStart w:id="419" w:name="_Toc437"/>
      <w:bookmarkStart w:id="420" w:name="_Toc5437"/>
      <w:bookmarkStart w:id="421" w:name="_Toc26579"/>
      <w:bookmarkStart w:id="422" w:name="_Toc30436"/>
      <w:r>
        <w:rPr>
          <w:rFonts w:hint="default"/>
          <w:color w:val="auto"/>
          <w:lang w:val="en-US" w:eastAsia="zh-CN"/>
        </w:rPr>
        <w:t>7.1</w:t>
      </w:r>
      <w:r>
        <w:rPr>
          <w:rFonts w:hint="eastAsia"/>
          <w:color w:val="auto"/>
          <w:lang w:val="en-US" w:eastAsia="zh-CN"/>
        </w:rPr>
        <w:t xml:space="preserve"> </w:t>
      </w:r>
      <w:r>
        <w:rPr>
          <w:rFonts w:hint="default"/>
          <w:color w:val="auto"/>
          <w:lang w:val="en-US" w:eastAsia="zh-CN"/>
        </w:rPr>
        <w:t>矿山存在的主要危险、有害因素</w:t>
      </w:r>
      <w:bookmarkEnd w:id="419"/>
      <w:bookmarkEnd w:id="420"/>
      <w:bookmarkEnd w:id="421"/>
      <w:bookmarkEnd w:id="422"/>
    </w:p>
    <w:p w14:paraId="5DFB54C8">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1</w:t>
      </w:r>
      <w:r>
        <w:rPr>
          <w:rFonts w:hint="eastAsia"/>
          <w:color w:val="auto"/>
          <w:lang w:val="en-US" w:eastAsia="zh-CN"/>
        </w:rPr>
        <w:t>. 曹溪二矿</w:t>
      </w:r>
      <w:r>
        <w:rPr>
          <w:rFonts w:hint="default"/>
          <w:color w:val="auto"/>
          <w:lang w:val="en-US" w:eastAsia="zh-CN"/>
        </w:rPr>
        <w:t>潜在的主要危险、有害因素有</w:t>
      </w:r>
      <w:r>
        <w:rPr>
          <w:rFonts w:hint="eastAsia"/>
          <w:color w:val="auto"/>
          <w:lang w:val="en-US" w:eastAsia="zh-CN"/>
        </w:rPr>
        <w:t>：民用爆炸物品爆炸；</w:t>
      </w:r>
      <w:r>
        <w:rPr>
          <w:rFonts w:hint="default"/>
          <w:color w:val="auto"/>
          <w:lang w:val="en-US" w:eastAsia="zh-CN"/>
        </w:rPr>
        <w:t>坍塌；厂（场）内车辆致害；机械致害；火灾；物体打击；起重致害；高处坠落、跌落；淹溺；容器爆炸；其他；粉尘；噪声与振动；高低温等。</w:t>
      </w:r>
    </w:p>
    <w:p w14:paraId="56D28571">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2</w:t>
      </w:r>
      <w:r>
        <w:rPr>
          <w:rFonts w:hint="eastAsia"/>
          <w:color w:val="auto"/>
          <w:lang w:val="en-US" w:eastAsia="zh-CN"/>
        </w:rPr>
        <w:t>. 本</w:t>
      </w:r>
      <w:r>
        <w:rPr>
          <w:rFonts w:hint="default"/>
          <w:color w:val="auto"/>
          <w:lang w:val="en-US" w:eastAsia="zh-CN"/>
        </w:rPr>
        <w:t>矿山</w:t>
      </w:r>
      <w:r>
        <w:rPr>
          <w:rFonts w:hint="eastAsia"/>
          <w:color w:val="auto"/>
          <w:lang w:val="en-US" w:eastAsia="zh-CN"/>
        </w:rPr>
        <w:t>应重点防范的重大危险、有害因素：</w:t>
      </w:r>
      <w:r>
        <w:rPr>
          <w:rFonts w:hint="default"/>
          <w:color w:val="auto"/>
          <w:lang w:val="en-US" w:eastAsia="zh-CN"/>
        </w:rPr>
        <w:t>高处坠落、跌落</w:t>
      </w:r>
      <w:r>
        <w:rPr>
          <w:rFonts w:hint="eastAsia"/>
          <w:color w:val="auto"/>
          <w:lang w:val="en-US" w:eastAsia="zh-CN"/>
        </w:rPr>
        <w:t>；</w:t>
      </w:r>
      <w:r>
        <w:rPr>
          <w:rFonts w:hint="default"/>
          <w:color w:val="auto"/>
          <w:lang w:val="en-US" w:eastAsia="zh-CN"/>
        </w:rPr>
        <w:t>民用爆炸物品爆炸</w:t>
      </w:r>
      <w:r>
        <w:rPr>
          <w:rFonts w:hint="eastAsia"/>
          <w:color w:val="auto"/>
          <w:lang w:val="en-US" w:eastAsia="zh-CN"/>
        </w:rPr>
        <w:t>；</w:t>
      </w:r>
      <w:r>
        <w:rPr>
          <w:rFonts w:hint="default"/>
          <w:color w:val="auto"/>
          <w:lang w:val="en-US" w:eastAsia="zh-CN"/>
        </w:rPr>
        <w:t>厂（场）内车辆致害。</w:t>
      </w:r>
    </w:p>
    <w:p w14:paraId="0A8CFB46">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3. 本</w:t>
      </w:r>
      <w:r>
        <w:rPr>
          <w:rFonts w:hint="default"/>
          <w:color w:val="auto"/>
          <w:lang w:val="en-US" w:eastAsia="zh-CN"/>
        </w:rPr>
        <w:t>矿山不涉及危险化学品重大危险源。</w:t>
      </w:r>
    </w:p>
    <w:p w14:paraId="03E28889">
      <w:pPr>
        <w:pStyle w:val="3"/>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bookmarkStart w:id="423" w:name="_Toc28708"/>
      <w:bookmarkStart w:id="424" w:name="_Toc25121"/>
      <w:bookmarkStart w:id="425" w:name="_Toc8049"/>
      <w:bookmarkStart w:id="426" w:name="_Toc17699"/>
      <w:r>
        <w:rPr>
          <w:rFonts w:hint="eastAsia"/>
          <w:color w:val="auto"/>
          <w:lang w:val="en-US" w:eastAsia="zh-CN"/>
        </w:rPr>
        <w:t>7.2 各单元评价结果</w:t>
      </w:r>
      <w:bookmarkEnd w:id="423"/>
      <w:bookmarkEnd w:id="424"/>
      <w:bookmarkEnd w:id="425"/>
      <w:bookmarkEnd w:id="426"/>
    </w:p>
    <w:p w14:paraId="290AA6B3">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通过符合性评价可得</w:t>
      </w:r>
      <w:r>
        <w:rPr>
          <w:rFonts w:hint="eastAsia"/>
          <w:color w:val="auto"/>
          <w:lang w:val="en-US" w:eastAsia="zh-CN"/>
        </w:rPr>
        <w:t>：</w:t>
      </w:r>
    </w:p>
    <w:p w14:paraId="45916708">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1</w:t>
      </w:r>
      <w:r>
        <w:rPr>
          <w:rFonts w:hint="eastAsia"/>
          <w:color w:val="auto"/>
          <w:lang w:val="en-US" w:eastAsia="zh-CN"/>
        </w:rPr>
        <w:t xml:space="preserve">. </w:t>
      </w:r>
      <w:r>
        <w:rPr>
          <w:rFonts w:hint="default"/>
          <w:color w:val="auto"/>
          <w:lang w:val="en-US" w:eastAsia="zh-CN"/>
        </w:rPr>
        <w:t>本评价项目</w:t>
      </w:r>
      <w:r>
        <w:rPr>
          <w:rFonts w:hint="eastAsia"/>
          <w:color w:val="auto"/>
          <w:lang w:val="en-US" w:eastAsia="zh-CN"/>
        </w:rPr>
        <w:t>所有</w:t>
      </w:r>
      <w:r>
        <w:rPr>
          <w:rFonts w:hint="default"/>
          <w:color w:val="auto"/>
          <w:lang w:val="en-US" w:eastAsia="zh-CN"/>
        </w:rPr>
        <w:t>否决项的检查结论均为合格</w:t>
      </w:r>
      <w:r>
        <w:rPr>
          <w:rFonts w:hint="eastAsia"/>
          <w:color w:val="auto"/>
          <w:lang w:val="en-US" w:eastAsia="zh-CN"/>
        </w:rPr>
        <w:t>，</w:t>
      </w:r>
      <w:r>
        <w:rPr>
          <w:rFonts w:hint="default"/>
          <w:color w:val="auto"/>
          <w:lang w:val="en-US" w:eastAsia="zh-CN"/>
        </w:rPr>
        <w:t>表明</w:t>
      </w:r>
      <w:r>
        <w:rPr>
          <w:rFonts w:hint="eastAsia"/>
          <w:color w:val="auto"/>
          <w:lang w:val="en-US" w:eastAsia="zh-CN"/>
        </w:rPr>
        <w:t>该</w:t>
      </w:r>
      <w:r>
        <w:rPr>
          <w:rFonts w:hint="default"/>
          <w:color w:val="auto"/>
          <w:lang w:val="en-US" w:eastAsia="zh-CN"/>
        </w:rPr>
        <w:t>企业符合安全生产的前置条件。</w:t>
      </w:r>
    </w:p>
    <w:p w14:paraId="041C2D8F">
      <w:pPr>
        <w:pageBreakBefore w:val="0"/>
        <w:widowControl w:val="0"/>
        <w:kinsoku/>
        <w:wordWrap/>
        <w:overflowPunct/>
        <w:topLinePunct w:val="0"/>
        <w:autoSpaceDE/>
        <w:autoSpaceDN/>
        <w:bidi w:val="0"/>
        <w:adjustRightInd/>
        <w:snapToGrid/>
        <w:spacing w:line="353" w:lineRule="auto"/>
        <w:textAlignment w:val="auto"/>
        <w:rPr>
          <w:rFonts w:hint="default"/>
          <w:b w:val="0"/>
          <w:bCs w:val="0"/>
          <w:color w:val="auto"/>
          <w:lang w:val="en-US" w:eastAsia="zh-CN"/>
        </w:rPr>
      </w:pPr>
      <w:r>
        <w:rPr>
          <w:rFonts w:hint="default"/>
          <w:color w:val="auto"/>
          <w:lang w:val="en-US" w:eastAsia="zh-CN"/>
        </w:rPr>
        <w:t>2</w:t>
      </w:r>
      <w:r>
        <w:rPr>
          <w:rFonts w:hint="eastAsia"/>
          <w:color w:val="auto"/>
          <w:lang w:val="en-US" w:eastAsia="zh-CN"/>
        </w:rPr>
        <w:t xml:space="preserve">. </w:t>
      </w:r>
      <w:r>
        <w:rPr>
          <w:rFonts w:hint="default"/>
          <w:color w:val="auto"/>
          <w:lang w:val="en-US" w:eastAsia="zh-CN"/>
        </w:rPr>
        <w:t>安全管理单元</w:t>
      </w:r>
      <w:r>
        <w:rPr>
          <w:rFonts w:hint="eastAsia"/>
          <w:color w:val="auto"/>
          <w:lang w:val="en-US" w:eastAsia="zh-CN"/>
        </w:rPr>
        <w:t>：</w:t>
      </w:r>
      <w:r>
        <w:rPr>
          <w:rFonts w:hint="default"/>
          <w:color w:val="auto"/>
          <w:lang w:val="en-US" w:eastAsia="zh-CN"/>
        </w:rPr>
        <w:t>得分率为</w:t>
      </w:r>
      <w:r>
        <w:rPr>
          <w:rFonts w:hint="eastAsia"/>
          <w:b w:val="0"/>
          <w:bCs w:val="0"/>
          <w:color w:val="auto"/>
          <w:lang w:val="en-US" w:eastAsia="zh-CN"/>
        </w:rPr>
        <w:t>96.67</w:t>
      </w:r>
      <w:r>
        <w:rPr>
          <w:rFonts w:hint="default"/>
          <w:b w:val="0"/>
          <w:bCs w:val="0"/>
          <w:color w:val="auto"/>
          <w:lang w:val="en-US" w:eastAsia="zh-CN"/>
        </w:rPr>
        <w:t>%</w:t>
      </w:r>
      <w:r>
        <w:rPr>
          <w:rFonts w:hint="default"/>
          <w:color w:val="auto"/>
          <w:lang w:val="en-US" w:eastAsia="zh-CN"/>
        </w:rPr>
        <w:t>。</w:t>
      </w:r>
      <w:r>
        <w:rPr>
          <w:rFonts w:hint="default"/>
          <w:b w:val="0"/>
          <w:bCs w:val="0"/>
          <w:color w:val="auto"/>
          <w:lang w:val="en-US" w:eastAsia="zh-CN"/>
        </w:rPr>
        <w:t>存在的主要问题</w:t>
      </w:r>
      <w:r>
        <w:rPr>
          <w:rFonts w:hint="eastAsia"/>
          <w:b w:val="0"/>
          <w:bCs w:val="0"/>
          <w:color w:val="auto"/>
          <w:lang w:val="en-US" w:eastAsia="zh-CN"/>
        </w:rPr>
        <w:t>：</w:t>
      </w:r>
      <w:r>
        <w:rPr>
          <w:rFonts w:hint="default"/>
          <w:b w:val="0"/>
          <w:bCs w:val="0"/>
          <w:color w:val="auto"/>
          <w:lang w:val="en-US" w:eastAsia="zh-CN"/>
        </w:rPr>
        <w:t>1</w:t>
      </w:r>
      <w:r>
        <w:rPr>
          <w:rFonts w:hint="eastAsia"/>
          <w:b w:val="0"/>
          <w:bCs w:val="0"/>
          <w:color w:val="auto"/>
          <w:lang w:val="en-US" w:eastAsia="zh-CN"/>
        </w:rPr>
        <w:t>）</w:t>
      </w:r>
      <w:r>
        <w:rPr>
          <w:rFonts w:hint="default"/>
          <w:b w:val="0"/>
          <w:bCs w:val="0"/>
          <w:color w:val="auto"/>
          <w:lang w:val="en-US" w:eastAsia="zh-CN"/>
        </w:rPr>
        <w:t>作业人员的安全教育培训和考核结果记录存档不完善</w:t>
      </w:r>
      <w:r>
        <w:rPr>
          <w:rFonts w:hint="eastAsia"/>
          <w:b w:val="0"/>
          <w:bCs w:val="0"/>
          <w:color w:val="auto"/>
          <w:lang w:val="en-US" w:eastAsia="zh-CN"/>
        </w:rPr>
        <w:t>；2）未见</w:t>
      </w:r>
      <w:r>
        <w:rPr>
          <w:rFonts w:hint="default"/>
          <w:b w:val="0"/>
          <w:bCs w:val="0"/>
          <w:color w:val="auto"/>
          <w:lang w:val="en-US" w:eastAsia="zh-CN"/>
        </w:rPr>
        <w:t>购置安全设施设备等实物发票。</w:t>
      </w:r>
    </w:p>
    <w:p w14:paraId="648EE1CF">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3</w:t>
      </w:r>
      <w:r>
        <w:rPr>
          <w:rFonts w:hint="eastAsia"/>
          <w:color w:val="auto"/>
          <w:lang w:val="en-US" w:eastAsia="zh-CN"/>
        </w:rPr>
        <w:t xml:space="preserve">. </w:t>
      </w:r>
      <w:r>
        <w:rPr>
          <w:rFonts w:hint="default"/>
          <w:color w:val="auto"/>
          <w:lang w:val="en-US" w:eastAsia="zh-CN"/>
        </w:rPr>
        <w:t>露天采场单元</w:t>
      </w:r>
      <w:r>
        <w:rPr>
          <w:rFonts w:hint="eastAsia"/>
          <w:color w:val="auto"/>
          <w:lang w:val="en-US" w:eastAsia="zh-CN"/>
        </w:rPr>
        <w:t>：</w:t>
      </w:r>
      <w:r>
        <w:rPr>
          <w:rFonts w:hint="default"/>
          <w:color w:val="auto"/>
          <w:lang w:val="en-US" w:eastAsia="zh-CN"/>
        </w:rPr>
        <w:t>得分率为</w:t>
      </w:r>
      <w:r>
        <w:rPr>
          <w:rFonts w:hint="eastAsia"/>
          <w:color w:val="FF0000"/>
          <w:lang w:val="en-US" w:eastAsia="zh-CN"/>
        </w:rPr>
        <w:t>95.96</w:t>
      </w:r>
      <w:r>
        <w:rPr>
          <w:rFonts w:hint="default"/>
          <w:color w:val="FF0000"/>
          <w:lang w:val="en-US" w:eastAsia="zh-CN"/>
        </w:rPr>
        <w:t>%</w:t>
      </w:r>
      <w:r>
        <w:rPr>
          <w:rFonts w:hint="default"/>
          <w:color w:val="auto"/>
          <w:lang w:val="en-US" w:eastAsia="zh-CN"/>
        </w:rPr>
        <w:t>。存在的主要问题</w:t>
      </w:r>
      <w:r>
        <w:rPr>
          <w:rFonts w:hint="eastAsia"/>
          <w:color w:val="auto"/>
          <w:lang w:val="en-US" w:eastAsia="zh-CN"/>
        </w:rPr>
        <w:t>：1）</w:t>
      </w:r>
      <w:r>
        <w:rPr>
          <w:rFonts w:hint="default"/>
          <w:color w:val="auto"/>
          <w:lang w:val="en-US" w:eastAsia="zh-CN"/>
        </w:rPr>
        <w:t>未设相邻采场边界围栏</w:t>
      </w:r>
      <w:r>
        <w:rPr>
          <w:rFonts w:hint="eastAsia" w:ascii="宋体" w:hAnsi="宋体" w:eastAsia="宋体" w:cs="宋体"/>
          <w:color w:val="auto"/>
          <w:lang w:val="en-US" w:eastAsia="zh-CN"/>
        </w:rPr>
        <w:t>；</w:t>
      </w:r>
      <w:r>
        <w:rPr>
          <w:rFonts w:hint="eastAsia"/>
          <w:color w:val="auto"/>
          <w:lang w:val="en-US" w:eastAsia="zh-CN"/>
        </w:rPr>
        <w:t>2）</w:t>
      </w:r>
      <w:r>
        <w:rPr>
          <w:rFonts w:hint="default"/>
          <w:color w:val="auto"/>
          <w:lang w:val="en-US" w:eastAsia="zh-CN"/>
        </w:rPr>
        <w:t>无爆破后安全检查记录。</w:t>
      </w:r>
    </w:p>
    <w:p w14:paraId="6BC3AD49">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4</w:t>
      </w:r>
      <w:r>
        <w:rPr>
          <w:rFonts w:hint="eastAsia"/>
          <w:color w:val="auto"/>
          <w:lang w:val="en-US" w:eastAsia="zh-CN"/>
        </w:rPr>
        <w:t xml:space="preserve">. </w:t>
      </w:r>
      <w:r>
        <w:rPr>
          <w:rFonts w:hint="default"/>
          <w:color w:val="auto"/>
          <w:lang w:val="en-US" w:eastAsia="zh-CN"/>
        </w:rPr>
        <w:t>边坡管理单元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83.33</w:t>
      </w:r>
      <w:r>
        <w:rPr>
          <w:rFonts w:hint="default"/>
          <w:color w:val="auto"/>
          <w:lang w:val="en-US" w:eastAsia="zh-CN"/>
        </w:rPr>
        <w:t>%。</w:t>
      </w:r>
      <w:r>
        <w:rPr>
          <w:rFonts w:hint="eastAsia"/>
          <w:color w:val="auto"/>
          <w:lang w:val="en-US" w:eastAsia="zh-CN"/>
        </w:rPr>
        <w:t>存在的主要问题：1）未见边坡检查记录。</w:t>
      </w:r>
    </w:p>
    <w:p w14:paraId="46D88A7E">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5</w:t>
      </w:r>
      <w:r>
        <w:rPr>
          <w:rFonts w:hint="eastAsia"/>
          <w:color w:val="auto"/>
          <w:lang w:val="en-US" w:eastAsia="zh-CN"/>
        </w:rPr>
        <w:t xml:space="preserve">. </w:t>
      </w:r>
      <w:r>
        <w:rPr>
          <w:rFonts w:hint="default"/>
          <w:color w:val="auto"/>
          <w:lang w:val="en-US" w:eastAsia="zh-CN"/>
        </w:rPr>
        <w:t>供配电设施单元</w:t>
      </w:r>
      <w:r>
        <w:rPr>
          <w:rFonts w:hint="eastAsia"/>
          <w:color w:val="auto"/>
          <w:lang w:val="en-US" w:eastAsia="zh-CN"/>
        </w:rPr>
        <w:t>：</w:t>
      </w:r>
      <w:r>
        <w:rPr>
          <w:rFonts w:hint="default"/>
          <w:color w:val="auto"/>
          <w:lang w:val="en-US" w:eastAsia="zh-CN"/>
        </w:rPr>
        <w:t>得分率为</w:t>
      </w:r>
      <w:r>
        <w:rPr>
          <w:rFonts w:hint="eastAsia"/>
          <w:color w:val="FF0000"/>
          <w:lang w:val="en-US" w:eastAsia="zh-CN"/>
        </w:rPr>
        <w:t>93.75</w:t>
      </w:r>
      <w:r>
        <w:rPr>
          <w:rFonts w:hint="default"/>
          <w:color w:val="FF0000"/>
          <w:lang w:val="en-US" w:eastAsia="zh-CN"/>
        </w:rPr>
        <w:t>%</w:t>
      </w:r>
      <w:r>
        <w:rPr>
          <w:rFonts w:hint="default"/>
          <w:color w:val="auto"/>
          <w:lang w:val="en-US" w:eastAsia="zh-CN"/>
        </w:rPr>
        <w:t>。存在的主要问题</w:t>
      </w:r>
      <w:r>
        <w:rPr>
          <w:rFonts w:hint="eastAsia"/>
          <w:color w:val="auto"/>
          <w:lang w:val="en-US" w:eastAsia="zh-CN"/>
        </w:rPr>
        <w:t>：1</w:t>
      </w:r>
      <w:r>
        <w:rPr>
          <w:rFonts w:hint="eastAsia" w:ascii="宋体" w:hAnsi="宋体" w:eastAsia="宋体" w:cs="宋体"/>
          <w:color w:val="auto"/>
          <w:lang w:val="en-US" w:eastAsia="zh-CN"/>
        </w:rPr>
        <w:t>）</w:t>
      </w:r>
      <w:r>
        <w:rPr>
          <w:rFonts w:hint="default"/>
          <w:color w:val="auto"/>
          <w:lang w:val="en-US" w:eastAsia="zh-CN"/>
        </w:rPr>
        <w:t>供配电系统</w:t>
      </w:r>
      <w:r>
        <w:rPr>
          <w:rFonts w:hint="eastAsia"/>
          <w:color w:val="auto"/>
          <w:lang w:val="en-US" w:eastAsia="zh-CN"/>
        </w:rPr>
        <w:t>未</w:t>
      </w:r>
      <w:r>
        <w:rPr>
          <w:rFonts w:hint="default"/>
          <w:color w:val="auto"/>
          <w:lang w:val="en-US" w:eastAsia="zh-CN"/>
        </w:rPr>
        <w:t>进行防雷接地检测</w:t>
      </w:r>
      <w:r>
        <w:rPr>
          <w:rFonts w:hint="eastAsia"/>
          <w:color w:val="auto"/>
          <w:lang w:val="en-US" w:eastAsia="zh-CN"/>
        </w:rPr>
        <w:t>；2</w:t>
      </w:r>
      <w:r>
        <w:rPr>
          <w:rFonts w:hint="eastAsia" w:ascii="宋体" w:hAnsi="宋体" w:eastAsia="宋体" w:cs="宋体"/>
          <w:color w:val="auto"/>
          <w:lang w:val="en-US" w:eastAsia="zh-CN"/>
        </w:rPr>
        <w:t>）</w:t>
      </w:r>
      <w:r>
        <w:rPr>
          <w:rFonts w:hint="default"/>
          <w:color w:val="auto"/>
          <w:lang w:val="en-US" w:eastAsia="zh-CN"/>
        </w:rPr>
        <w:t>未建立电气作业安全制度。</w:t>
      </w:r>
    </w:p>
    <w:p w14:paraId="2F83DC1D">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6</w:t>
      </w:r>
      <w:r>
        <w:rPr>
          <w:rFonts w:hint="eastAsia"/>
          <w:color w:val="auto"/>
          <w:lang w:val="en-US" w:eastAsia="zh-CN"/>
        </w:rPr>
        <w:t xml:space="preserve">. </w:t>
      </w:r>
      <w:r>
        <w:rPr>
          <w:rFonts w:hint="default"/>
          <w:color w:val="auto"/>
          <w:lang w:val="en-US" w:eastAsia="zh-CN"/>
        </w:rPr>
        <w:t>防排水单元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100</w:t>
      </w:r>
      <w:r>
        <w:rPr>
          <w:rFonts w:hint="default"/>
          <w:color w:val="auto"/>
          <w:lang w:val="en-US" w:eastAsia="zh-CN"/>
        </w:rPr>
        <w:t>%。</w:t>
      </w:r>
    </w:p>
    <w:p w14:paraId="59F0F212">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default"/>
          <w:color w:val="auto"/>
          <w:lang w:val="en-US" w:eastAsia="zh-CN"/>
        </w:rPr>
        <w:t>7</w:t>
      </w:r>
      <w:r>
        <w:rPr>
          <w:rFonts w:hint="eastAsia"/>
          <w:color w:val="auto"/>
          <w:lang w:val="en-US" w:eastAsia="zh-CN"/>
        </w:rPr>
        <w:t xml:space="preserve">. </w:t>
      </w:r>
      <w:r>
        <w:rPr>
          <w:rFonts w:hint="default"/>
          <w:color w:val="auto"/>
          <w:lang w:val="en-US" w:eastAsia="zh-CN"/>
        </w:rPr>
        <w:t>防</w:t>
      </w:r>
      <w:r>
        <w:rPr>
          <w:rFonts w:hint="eastAsia"/>
          <w:color w:val="auto"/>
          <w:lang w:val="en-US" w:eastAsia="zh-CN"/>
        </w:rPr>
        <w:t>灭火</w:t>
      </w:r>
      <w:r>
        <w:rPr>
          <w:rFonts w:hint="default"/>
          <w:color w:val="auto"/>
          <w:lang w:val="en-US" w:eastAsia="zh-CN"/>
        </w:rPr>
        <w:t>单元</w:t>
      </w:r>
      <w:r>
        <w:rPr>
          <w:rFonts w:hint="eastAsia"/>
          <w:color w:val="auto"/>
          <w:lang w:val="en-US" w:eastAsia="zh-CN"/>
        </w:rPr>
        <w:t>：</w:t>
      </w:r>
      <w:r>
        <w:rPr>
          <w:rFonts w:hint="default"/>
          <w:color w:val="auto"/>
          <w:lang w:val="en-US" w:eastAsia="zh-CN"/>
        </w:rPr>
        <w:t>得分率为</w:t>
      </w:r>
      <w:r>
        <w:rPr>
          <w:rFonts w:hint="eastAsia"/>
          <w:color w:val="auto"/>
          <w:lang w:val="en-US" w:eastAsia="zh-CN"/>
        </w:rPr>
        <w:t>100</w:t>
      </w:r>
      <w:r>
        <w:rPr>
          <w:rFonts w:hint="default"/>
          <w:color w:val="auto"/>
          <w:lang w:val="en-US" w:eastAsia="zh-CN"/>
        </w:rPr>
        <w:t>%。</w:t>
      </w:r>
    </w:p>
    <w:p w14:paraId="2DE7C09E">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 xml:space="preserve">8. </w:t>
      </w:r>
      <w:r>
        <w:rPr>
          <w:rFonts w:hint="default"/>
          <w:color w:val="auto"/>
          <w:lang w:val="en-US" w:eastAsia="zh-CN"/>
        </w:rPr>
        <w:t>通过重大生产安全事故隐患判定单元共检查1</w:t>
      </w:r>
      <w:r>
        <w:rPr>
          <w:rFonts w:hint="eastAsia"/>
          <w:color w:val="auto"/>
          <w:lang w:val="en-US" w:eastAsia="zh-CN"/>
        </w:rPr>
        <w:t>5</w:t>
      </w:r>
      <w:r>
        <w:rPr>
          <w:rFonts w:hint="default"/>
          <w:color w:val="auto"/>
          <w:lang w:val="en-US" w:eastAsia="zh-CN"/>
        </w:rPr>
        <w:t>项，均符合要求，本</w:t>
      </w:r>
      <w:r>
        <w:rPr>
          <w:rFonts w:hint="eastAsia"/>
          <w:color w:val="auto"/>
          <w:lang w:val="en-US" w:eastAsia="zh-CN"/>
        </w:rPr>
        <w:t>矿山</w:t>
      </w:r>
      <w:r>
        <w:rPr>
          <w:rFonts w:hint="default"/>
          <w:color w:val="auto"/>
          <w:lang w:val="en-US" w:eastAsia="zh-CN"/>
        </w:rPr>
        <w:t>不构成重大安全事故隐患。</w:t>
      </w:r>
    </w:p>
    <w:p w14:paraId="528F3378">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9. 综合评价单元：运用《非煤矿山（露天矿）安全现状评价评分标准》对曹溪二矿进行评价打分，其得分率为</w:t>
      </w:r>
      <w:r>
        <w:rPr>
          <w:rFonts w:hint="eastAsia"/>
          <w:color w:val="FF0000"/>
          <w:lang w:val="en-US" w:eastAsia="zh-CN"/>
        </w:rPr>
        <w:t>95.25</w:t>
      </w:r>
      <w:r>
        <w:rPr>
          <w:rFonts w:hint="default"/>
          <w:color w:val="FF0000"/>
          <w:lang w:val="en-US" w:eastAsia="zh-CN"/>
        </w:rPr>
        <w:t>%</w:t>
      </w:r>
      <w:r>
        <w:rPr>
          <w:rFonts w:hint="eastAsia"/>
          <w:color w:val="auto"/>
          <w:lang w:val="en-US" w:eastAsia="zh-CN"/>
        </w:rPr>
        <w:t>，为A类矿山，即属于安全生产条件好，生产活动有安全保障的矿山。</w:t>
      </w:r>
    </w:p>
    <w:p w14:paraId="24C32A61">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 xml:space="preserve">10. </w:t>
      </w:r>
      <w:r>
        <w:rPr>
          <w:rFonts w:hint="default"/>
          <w:color w:val="auto"/>
          <w:lang w:val="en-US" w:eastAsia="zh-CN"/>
        </w:rPr>
        <w:t>弋阳海螺水泥有限责任公司应认真考虑本报告中分析的危险、有害因素，积极落实所提出的各项安全对策措施和建议，按照国家安全生产法律、法规、行业规程要求进行完善，全面推行并巩固安全生产标准化工作，提高露天矿山的本质安全程度，实现安全生产。</w:t>
      </w:r>
    </w:p>
    <w:p w14:paraId="1A3C91C0">
      <w:pPr>
        <w:pStyle w:val="3"/>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bookmarkStart w:id="427" w:name="_Toc10984"/>
      <w:bookmarkStart w:id="428" w:name="_Toc5406"/>
      <w:bookmarkStart w:id="429" w:name="_Toc29834"/>
      <w:bookmarkStart w:id="430" w:name="_Toc4989"/>
      <w:r>
        <w:rPr>
          <w:rFonts w:hint="default"/>
          <w:color w:val="auto"/>
          <w:lang w:val="en-US" w:eastAsia="zh-CN"/>
        </w:rPr>
        <w:t>7.</w:t>
      </w:r>
      <w:r>
        <w:rPr>
          <w:rFonts w:hint="eastAsia"/>
          <w:color w:val="auto"/>
          <w:lang w:val="en-US" w:eastAsia="zh-CN"/>
        </w:rPr>
        <w:t>3</w:t>
      </w:r>
      <w:r>
        <w:rPr>
          <w:rFonts w:hint="default"/>
          <w:color w:val="auto"/>
          <w:lang w:val="en-US" w:eastAsia="zh-CN"/>
        </w:rPr>
        <w:t xml:space="preserve"> 评价结论</w:t>
      </w:r>
      <w:bookmarkEnd w:id="427"/>
      <w:bookmarkEnd w:id="428"/>
      <w:bookmarkEnd w:id="429"/>
      <w:bookmarkEnd w:id="430"/>
    </w:p>
    <w:p w14:paraId="549A9FBE">
      <w:pPr>
        <w:pageBreakBefore w:val="0"/>
        <w:widowControl w:val="0"/>
        <w:kinsoku/>
        <w:wordWrap/>
        <w:overflowPunct/>
        <w:topLinePunct w:val="0"/>
        <w:autoSpaceDE/>
        <w:autoSpaceDN/>
        <w:bidi w:val="0"/>
        <w:adjustRightInd/>
        <w:snapToGrid/>
        <w:spacing w:line="353" w:lineRule="auto"/>
        <w:textAlignment w:val="auto"/>
        <w:rPr>
          <w:rFonts w:hint="default"/>
          <w:color w:val="auto"/>
          <w:lang w:val="en-US" w:eastAsia="zh-CN"/>
        </w:rPr>
      </w:pPr>
      <w:r>
        <w:rPr>
          <w:rFonts w:hint="eastAsia"/>
          <w:color w:val="auto"/>
          <w:lang w:val="en-US" w:eastAsia="zh-CN"/>
        </w:rPr>
        <w:t>弋阳海螺水泥有限责任公司江西省弋阳县曹溪二矿区制碱用灰岩矿</w:t>
      </w:r>
      <w:r>
        <w:rPr>
          <w:rFonts w:hint="default"/>
          <w:color w:val="auto"/>
          <w:lang w:val="en-US" w:eastAsia="zh-CN"/>
        </w:rPr>
        <w:t>证照齐全有效，设置了安全管理机构，并配备了安全管理人员，安全生产规章制度齐全，安全管理基本符合安全生产法律法规的要求，通过安全检查表符合性评价，该矿山否决项的检查结果均合格，</w:t>
      </w:r>
      <w:r>
        <w:rPr>
          <w:rFonts w:hint="default"/>
          <w:color w:val="FF0000"/>
          <w:lang w:val="en-US" w:eastAsia="zh-CN"/>
        </w:rPr>
        <w:t>安全检查表标准应得总分为4</w:t>
      </w:r>
      <w:r>
        <w:rPr>
          <w:rFonts w:hint="eastAsia"/>
          <w:color w:val="FF0000"/>
          <w:lang w:val="en-US" w:eastAsia="zh-CN"/>
        </w:rPr>
        <w:t>42</w:t>
      </w:r>
      <w:r>
        <w:rPr>
          <w:rFonts w:hint="default"/>
          <w:color w:val="FF0000"/>
          <w:lang w:val="en-US" w:eastAsia="zh-CN"/>
        </w:rPr>
        <w:t>分，该露天矿山评价实得分为</w:t>
      </w:r>
      <w:r>
        <w:rPr>
          <w:rFonts w:hint="eastAsia"/>
          <w:color w:val="FF0000"/>
          <w:lang w:val="en-US" w:eastAsia="zh-CN"/>
        </w:rPr>
        <w:t>421</w:t>
      </w:r>
      <w:r>
        <w:rPr>
          <w:rFonts w:hint="default"/>
          <w:color w:val="FF0000"/>
          <w:lang w:val="en-US" w:eastAsia="zh-CN"/>
        </w:rPr>
        <w:t>分</w:t>
      </w:r>
      <w:r>
        <w:rPr>
          <w:rFonts w:hint="default"/>
          <w:color w:val="auto"/>
          <w:lang w:val="en-US" w:eastAsia="zh-CN"/>
        </w:rPr>
        <w:t>，得分率</w:t>
      </w:r>
      <w:r>
        <w:rPr>
          <w:rFonts w:hint="eastAsia" w:ascii="Times New Roman" w:eastAsia="宋体"/>
          <w:color w:val="FF0000"/>
          <w:lang w:val="en-US" w:eastAsia="zh-CN"/>
        </w:rPr>
        <w:t>95.25</w:t>
      </w:r>
      <w:r>
        <w:rPr>
          <w:rFonts w:hint="default"/>
          <w:color w:val="FF0000"/>
          <w:lang w:val="en-US" w:eastAsia="zh-CN"/>
        </w:rPr>
        <w:t>%</w:t>
      </w:r>
      <w:r>
        <w:rPr>
          <w:rFonts w:hint="eastAsia"/>
          <w:color w:val="auto"/>
          <w:lang w:val="en-US" w:eastAsia="zh-CN"/>
        </w:rPr>
        <w:t>，</w:t>
      </w:r>
      <w:r>
        <w:rPr>
          <w:rFonts w:hint="default"/>
          <w:color w:val="auto"/>
          <w:lang w:val="en-US" w:eastAsia="zh-CN"/>
        </w:rPr>
        <w:t>该矿山属</w:t>
      </w:r>
      <w:r>
        <w:rPr>
          <w:rFonts w:hint="eastAsia"/>
          <w:color w:val="auto"/>
          <w:lang w:val="en-US" w:eastAsia="zh-CN"/>
        </w:rPr>
        <w:t>A</w:t>
      </w:r>
      <w:r>
        <w:rPr>
          <w:rFonts w:hint="default"/>
          <w:color w:val="auto"/>
          <w:lang w:val="en-US" w:eastAsia="zh-CN"/>
        </w:rPr>
        <w:t>类矿山，安全生产条件好，生产活动有安全保障，符合国家有关法律、法规、标准、规章、规范的要求。</w:t>
      </w:r>
    </w:p>
    <w:p w14:paraId="2564C37C">
      <w:pPr>
        <w:pageBreakBefore w:val="0"/>
        <w:widowControl w:val="0"/>
        <w:kinsoku/>
        <w:wordWrap/>
        <w:overflowPunct/>
        <w:topLinePunct w:val="0"/>
        <w:autoSpaceDE/>
        <w:autoSpaceDN/>
        <w:bidi w:val="0"/>
        <w:adjustRightInd/>
        <w:snapToGrid/>
        <w:spacing w:line="353" w:lineRule="auto"/>
        <w:textAlignment w:val="auto"/>
        <w:rPr>
          <w:rFonts w:hint="default"/>
          <w:b/>
          <w:bCs/>
          <w:color w:val="auto"/>
          <w:lang w:val="en-US" w:eastAsia="zh-CN"/>
        </w:rPr>
      </w:pPr>
      <w:r>
        <w:rPr>
          <w:rFonts w:hint="eastAsia"/>
          <w:b/>
          <w:bCs/>
          <w:color w:val="auto"/>
          <w:lang w:val="en-US" w:eastAsia="zh-CN"/>
        </w:rPr>
        <w:t>综上所述，弋阳海螺水泥有限责任公司江西省弋阳县曹溪二矿区制碱用灰岩矿按照安全设施设计组织生产，具</w:t>
      </w:r>
      <w:bookmarkStart w:id="443" w:name="_GoBack"/>
      <w:bookmarkEnd w:id="443"/>
      <w:r>
        <w:rPr>
          <w:rFonts w:hint="eastAsia"/>
          <w:b/>
          <w:bCs/>
          <w:color w:val="auto"/>
          <w:lang w:val="en-US" w:eastAsia="zh-CN"/>
        </w:rPr>
        <w:t>备安全生产条件。</w:t>
      </w:r>
    </w:p>
    <w:p w14:paraId="3F6061A0">
      <w:pPr>
        <w:rPr>
          <w:rFonts w:hint="default"/>
          <w:color w:val="auto"/>
          <w:lang w:val="en-US" w:eastAsia="zh-CN"/>
        </w:rPr>
      </w:pPr>
    </w:p>
    <w:p w14:paraId="4181072C">
      <w:pPr>
        <w:rPr>
          <w:rFonts w:hint="default"/>
          <w:color w:val="auto"/>
          <w:lang w:val="en-US" w:eastAsia="zh-CN"/>
        </w:rPr>
      </w:pPr>
      <w:r>
        <w:rPr>
          <w:rFonts w:hint="default"/>
          <w:color w:val="auto"/>
          <w:lang w:val="en-US" w:eastAsia="zh-CN"/>
        </w:rPr>
        <w:br w:type="page"/>
      </w:r>
    </w:p>
    <w:p w14:paraId="15260488">
      <w:pPr>
        <w:pStyle w:val="2"/>
        <w:numPr>
          <w:ilvl w:val="0"/>
          <w:numId w:val="1"/>
        </w:numPr>
        <w:bidi w:val="0"/>
        <w:ind w:left="0" w:leftChars="0" w:firstLine="0" w:firstLineChars="0"/>
        <w:rPr>
          <w:rFonts w:hint="default" w:ascii="Times New Roman" w:hAnsi="Times New Roman" w:cs="Times New Roman"/>
          <w:color w:val="auto"/>
          <w:lang w:val="en-US" w:eastAsia="zh-CN"/>
        </w:rPr>
      </w:pPr>
      <w:bookmarkStart w:id="431" w:name="_Toc12175"/>
      <w:bookmarkStart w:id="432" w:name="_Toc1927"/>
      <w:bookmarkStart w:id="433" w:name="_Toc22378"/>
      <w:bookmarkStart w:id="434" w:name="_Toc32531"/>
      <w:r>
        <w:rPr>
          <w:rFonts w:hint="eastAsia" w:ascii="Times New Roman" w:hAnsi="Times New Roman" w:cs="Times New Roman"/>
          <w:color w:val="auto"/>
          <w:lang w:val="en-US" w:eastAsia="zh-CN"/>
        </w:rPr>
        <w:t>附图附件</w:t>
      </w:r>
      <w:bookmarkEnd w:id="431"/>
      <w:bookmarkEnd w:id="432"/>
      <w:bookmarkEnd w:id="433"/>
      <w:bookmarkEnd w:id="434"/>
    </w:p>
    <w:p w14:paraId="4E1CB817">
      <w:pPr>
        <w:pStyle w:val="3"/>
        <w:bidi w:val="0"/>
        <w:rPr>
          <w:rFonts w:hint="default"/>
          <w:color w:val="auto"/>
          <w:lang w:val="en-US" w:eastAsia="zh-CN"/>
        </w:rPr>
      </w:pPr>
      <w:bookmarkStart w:id="435" w:name="_Toc29582"/>
      <w:bookmarkStart w:id="436" w:name="_Toc153"/>
      <w:bookmarkStart w:id="437" w:name="_Toc30085"/>
      <w:bookmarkStart w:id="438" w:name="_Toc21295"/>
      <w:r>
        <w:rPr>
          <w:rFonts w:hint="eastAsia"/>
          <w:color w:val="auto"/>
          <w:lang w:val="en-US" w:eastAsia="zh-CN"/>
        </w:rPr>
        <w:t>8.1 附图</w:t>
      </w:r>
      <w:bookmarkEnd w:id="435"/>
      <w:bookmarkEnd w:id="436"/>
      <w:bookmarkEnd w:id="437"/>
      <w:bookmarkEnd w:id="438"/>
    </w:p>
    <w:p w14:paraId="44A888EF">
      <w:pPr>
        <w:rPr>
          <w:rFonts w:hint="default"/>
          <w:color w:val="auto"/>
          <w:lang w:val="en-US" w:eastAsia="zh-CN"/>
        </w:rPr>
      </w:pPr>
      <w:r>
        <w:rPr>
          <w:rFonts w:hint="eastAsia"/>
          <w:color w:val="auto"/>
          <w:lang w:val="en-US" w:eastAsia="zh-CN"/>
        </w:rPr>
        <w:t xml:space="preserve">1. </w:t>
      </w:r>
      <w:r>
        <w:rPr>
          <w:rFonts w:hint="default"/>
          <w:color w:val="auto"/>
          <w:lang w:val="en-US" w:eastAsia="zh-CN"/>
        </w:rPr>
        <w:t>地质地形图</w:t>
      </w:r>
    </w:p>
    <w:p w14:paraId="5EC0F620">
      <w:pPr>
        <w:rPr>
          <w:rFonts w:hint="eastAsia"/>
          <w:color w:val="auto"/>
          <w:lang w:val="en-US" w:eastAsia="zh-CN"/>
        </w:rPr>
      </w:pPr>
      <w:r>
        <w:rPr>
          <w:rFonts w:hint="eastAsia"/>
          <w:color w:val="auto"/>
          <w:lang w:val="en-US" w:eastAsia="zh-CN"/>
        </w:rPr>
        <w:t>2. 现状平面图</w:t>
      </w:r>
    </w:p>
    <w:p w14:paraId="31B9A6F8">
      <w:pPr>
        <w:rPr>
          <w:rFonts w:hint="default"/>
          <w:color w:val="auto"/>
          <w:lang w:val="en-US" w:eastAsia="zh-CN"/>
        </w:rPr>
      </w:pPr>
      <w:r>
        <w:rPr>
          <w:rFonts w:hint="eastAsia"/>
          <w:color w:val="auto"/>
          <w:lang w:val="en-US" w:eastAsia="zh-CN"/>
        </w:rPr>
        <w:t>3. 边坡工程剖面图</w:t>
      </w:r>
    </w:p>
    <w:p w14:paraId="0DEBC608">
      <w:pPr>
        <w:rPr>
          <w:rFonts w:hint="default"/>
          <w:color w:val="auto"/>
          <w:lang w:val="en-US" w:eastAsia="zh-CN"/>
        </w:rPr>
      </w:pPr>
      <w:r>
        <w:rPr>
          <w:rFonts w:hint="eastAsia"/>
          <w:color w:val="auto"/>
          <w:lang w:val="en-US" w:eastAsia="zh-CN"/>
        </w:rPr>
        <w:t>4. 终了境界平面图</w:t>
      </w:r>
    </w:p>
    <w:p w14:paraId="0D6EC0B7">
      <w:pPr>
        <w:rPr>
          <w:rFonts w:hint="eastAsia"/>
          <w:color w:val="auto"/>
          <w:lang w:val="en-US" w:eastAsia="zh-CN"/>
        </w:rPr>
      </w:pPr>
      <w:r>
        <w:rPr>
          <w:rFonts w:hint="eastAsia"/>
          <w:color w:val="auto"/>
          <w:lang w:val="en-US" w:eastAsia="zh-CN"/>
        </w:rPr>
        <w:t>5. 供配电系统图</w:t>
      </w:r>
    </w:p>
    <w:p w14:paraId="4F19B54C">
      <w:pPr>
        <w:rPr>
          <w:rFonts w:hint="default"/>
          <w:color w:val="auto"/>
          <w:lang w:val="en-US" w:eastAsia="zh-CN"/>
        </w:rPr>
      </w:pPr>
      <w:r>
        <w:rPr>
          <w:rFonts w:hint="eastAsia"/>
          <w:color w:val="auto"/>
          <w:lang w:val="en-US" w:eastAsia="zh-CN"/>
        </w:rPr>
        <w:t>6. 排水系统图</w:t>
      </w:r>
    </w:p>
    <w:p w14:paraId="02B7CA38">
      <w:pPr>
        <w:pStyle w:val="3"/>
        <w:bidi w:val="0"/>
        <w:rPr>
          <w:rFonts w:hint="eastAsia"/>
          <w:color w:val="auto"/>
          <w:lang w:val="en-US" w:eastAsia="zh-CN"/>
        </w:rPr>
      </w:pPr>
      <w:bookmarkStart w:id="439" w:name="_Toc1922"/>
      <w:bookmarkStart w:id="440" w:name="_Toc2082"/>
      <w:bookmarkStart w:id="441" w:name="_Toc22426"/>
      <w:bookmarkStart w:id="442" w:name="_Toc1656"/>
      <w:r>
        <w:rPr>
          <w:rFonts w:hint="eastAsia"/>
          <w:color w:val="auto"/>
          <w:lang w:val="en-US" w:eastAsia="zh-CN"/>
        </w:rPr>
        <w:t>8.2 附件</w:t>
      </w:r>
      <w:bookmarkEnd w:id="439"/>
      <w:bookmarkEnd w:id="440"/>
      <w:bookmarkEnd w:id="441"/>
      <w:bookmarkEnd w:id="442"/>
    </w:p>
    <w:p w14:paraId="7E2B870D">
      <w:pPr>
        <w:rPr>
          <w:rFonts w:hint="default"/>
          <w:color w:val="auto"/>
          <w:lang w:val="en-US" w:eastAsia="zh-CN"/>
        </w:rPr>
      </w:pPr>
      <w:r>
        <w:rPr>
          <w:rFonts w:hint="eastAsia"/>
          <w:color w:val="auto"/>
          <w:lang w:val="en-US" w:eastAsia="zh-CN"/>
        </w:rPr>
        <w:t>1. 整改建议</w:t>
      </w:r>
    </w:p>
    <w:p w14:paraId="705B9F48">
      <w:pPr>
        <w:rPr>
          <w:rFonts w:hint="eastAsia"/>
          <w:color w:val="auto"/>
          <w:lang w:val="en-US" w:eastAsia="zh-CN"/>
        </w:rPr>
      </w:pPr>
      <w:r>
        <w:rPr>
          <w:rFonts w:hint="eastAsia"/>
          <w:color w:val="auto"/>
          <w:lang w:val="en-US" w:eastAsia="zh-CN"/>
        </w:rPr>
        <w:t>2. 整改回复</w:t>
      </w:r>
    </w:p>
    <w:p w14:paraId="3E405DB6">
      <w:pPr>
        <w:rPr>
          <w:rFonts w:hint="eastAsia"/>
          <w:color w:val="auto"/>
          <w:lang w:val="en-US" w:eastAsia="zh-CN"/>
        </w:rPr>
      </w:pPr>
      <w:r>
        <w:rPr>
          <w:rFonts w:hint="eastAsia"/>
          <w:color w:val="auto"/>
          <w:lang w:val="en-US" w:eastAsia="zh-CN"/>
        </w:rPr>
        <w:t>3. 复查意见</w:t>
      </w:r>
    </w:p>
    <w:p w14:paraId="25C05880">
      <w:pPr>
        <w:rPr>
          <w:rFonts w:hint="default"/>
          <w:color w:val="auto"/>
          <w:lang w:val="en-US" w:eastAsia="zh-CN"/>
        </w:rPr>
      </w:pPr>
      <w:r>
        <w:rPr>
          <w:rFonts w:hint="eastAsia"/>
          <w:color w:val="auto"/>
          <w:lang w:val="en-US" w:eastAsia="zh-CN"/>
        </w:rPr>
        <w:t>4. 营业执照、采矿许可证、安全生产许可证、安全生产标准化证书、爆破作业单位许可证</w:t>
      </w:r>
    </w:p>
    <w:p w14:paraId="32F40024">
      <w:pPr>
        <w:rPr>
          <w:rFonts w:hint="default"/>
          <w:b/>
          <w:bCs/>
          <w:color w:val="0000FF"/>
          <w:lang w:val="en-US" w:eastAsia="zh-CN"/>
        </w:rPr>
      </w:pPr>
      <w:r>
        <w:rPr>
          <w:rFonts w:hint="eastAsia"/>
          <w:color w:val="auto"/>
          <w:lang w:val="en-US" w:eastAsia="zh-CN"/>
        </w:rPr>
        <w:t>5. 关于曹溪二矿安全管理机构及相关人员任命调整的通知</w:t>
      </w:r>
    </w:p>
    <w:p w14:paraId="5F6B51C3">
      <w:pPr>
        <w:rPr>
          <w:rFonts w:hint="default"/>
          <w:color w:val="auto"/>
          <w:lang w:val="en-US" w:eastAsia="zh-CN"/>
        </w:rPr>
      </w:pPr>
      <w:r>
        <w:rPr>
          <w:rFonts w:hint="eastAsia"/>
          <w:color w:val="auto"/>
          <w:lang w:val="en-US" w:eastAsia="zh-CN"/>
        </w:rPr>
        <w:t>6. 主要负责人、安全管理人员、特种作业人员资格证</w:t>
      </w:r>
    </w:p>
    <w:p w14:paraId="7EE5BA2A">
      <w:pPr>
        <w:rPr>
          <w:rFonts w:hint="default"/>
          <w:color w:val="auto"/>
          <w:lang w:val="en-US" w:eastAsia="zh-CN"/>
        </w:rPr>
      </w:pPr>
      <w:r>
        <w:rPr>
          <w:rFonts w:hint="eastAsia"/>
          <w:color w:val="auto"/>
          <w:lang w:val="en-US" w:eastAsia="zh-CN"/>
        </w:rPr>
        <w:t>7. 专业技术人员证书、注册安全工程师证书、爆破作业人员资格证</w:t>
      </w:r>
    </w:p>
    <w:p w14:paraId="3508CE48">
      <w:pPr>
        <w:rPr>
          <w:rFonts w:hint="default"/>
          <w:color w:val="auto"/>
          <w:lang w:val="en-US" w:eastAsia="zh-CN"/>
        </w:rPr>
      </w:pPr>
      <w:r>
        <w:rPr>
          <w:rFonts w:hint="eastAsia"/>
          <w:color w:val="auto"/>
          <w:lang w:val="en-US" w:eastAsia="zh-CN"/>
        </w:rPr>
        <w:t>8. 安全生产规章制度清单</w:t>
      </w:r>
    </w:p>
    <w:p w14:paraId="3510B3C1">
      <w:pPr>
        <w:rPr>
          <w:rFonts w:hint="default"/>
          <w:color w:val="auto"/>
          <w:lang w:val="en-US" w:eastAsia="zh-CN"/>
        </w:rPr>
      </w:pPr>
      <w:r>
        <w:rPr>
          <w:rFonts w:hint="eastAsia"/>
          <w:color w:val="auto"/>
          <w:lang w:val="en-US" w:eastAsia="zh-CN"/>
        </w:rPr>
        <w:t>9. 关于成立兼职矿山救护队的通知</w:t>
      </w:r>
    </w:p>
    <w:p w14:paraId="67B99817">
      <w:pPr>
        <w:rPr>
          <w:rFonts w:hint="default"/>
          <w:color w:val="auto"/>
          <w:lang w:val="en-US" w:eastAsia="zh-CN"/>
        </w:rPr>
      </w:pPr>
      <w:r>
        <w:rPr>
          <w:rFonts w:hint="eastAsia"/>
          <w:color w:val="auto"/>
          <w:lang w:val="en-US" w:eastAsia="zh-CN"/>
        </w:rPr>
        <w:t>10. 应急预案备案表</w:t>
      </w:r>
    </w:p>
    <w:p w14:paraId="0CB95484">
      <w:pPr>
        <w:rPr>
          <w:rFonts w:hint="eastAsia"/>
          <w:color w:val="auto"/>
          <w:lang w:val="en-US" w:eastAsia="zh-CN"/>
        </w:rPr>
      </w:pPr>
      <w:r>
        <w:rPr>
          <w:rFonts w:hint="eastAsia"/>
          <w:color w:val="auto"/>
          <w:lang w:val="en-US" w:eastAsia="zh-CN"/>
        </w:rPr>
        <w:t>11. 非煤矿生产事故救护协议</w:t>
      </w:r>
    </w:p>
    <w:p w14:paraId="0AFAC6A3">
      <w:pPr>
        <w:rPr>
          <w:rFonts w:hint="eastAsia"/>
          <w:color w:val="auto"/>
          <w:lang w:val="en-US" w:eastAsia="zh-CN"/>
        </w:rPr>
      </w:pPr>
      <w:r>
        <w:rPr>
          <w:rFonts w:hint="eastAsia"/>
          <w:color w:val="auto"/>
          <w:lang w:val="en-US" w:eastAsia="zh-CN"/>
        </w:rPr>
        <w:t>12. 工伤保险、安全生产责任险保单</w:t>
      </w:r>
    </w:p>
    <w:p w14:paraId="092A470E">
      <w:pPr>
        <w:rPr>
          <w:rFonts w:hint="default"/>
          <w:color w:val="auto"/>
          <w:lang w:val="en-US" w:eastAsia="zh-CN"/>
        </w:rPr>
      </w:pPr>
    </w:p>
    <w:p w14:paraId="33BF420A">
      <w:pPr>
        <w:rPr>
          <w:rFonts w:hint="default"/>
          <w:color w:val="auto"/>
          <w:lang w:val="en-US" w:eastAsia="zh-CN"/>
        </w:rPr>
      </w:pPr>
      <w:r>
        <w:rPr>
          <w:rFonts w:hint="default"/>
          <w:color w:val="auto"/>
          <w:lang w:val="en-US" w:eastAsia="zh-CN"/>
        </w:rPr>
        <w:br w:type="page"/>
      </w:r>
    </w:p>
    <w:p w14:paraId="5CBA1FEC">
      <w:pPr>
        <w:rPr>
          <w:rFonts w:hint="default"/>
          <w:b/>
          <w:bCs/>
          <w:color w:val="auto"/>
          <w:lang w:val="en-US" w:eastAsia="zh-CN"/>
        </w:rPr>
      </w:pPr>
      <w:r>
        <w:rPr>
          <w:rFonts w:hint="default"/>
          <w:b/>
          <w:bCs/>
          <w:color w:val="auto"/>
          <w:lang w:val="en-US" w:eastAsia="zh-CN"/>
        </w:rPr>
        <w:t>附：评价人员与企业安全管理人员合影</w:t>
      </w:r>
      <w:r>
        <w:rPr>
          <w:rFonts w:hint="eastAsia"/>
          <w:b/>
          <w:bCs/>
          <w:color w:val="auto"/>
          <w:lang w:val="en-US" w:eastAsia="zh-CN"/>
        </w:rPr>
        <w:t>。</w:t>
      </w:r>
    </w:p>
    <w:p w14:paraId="5DA3D84B">
      <w:pPr>
        <w:ind w:left="0" w:leftChars="0" w:firstLine="0" w:firstLineChars="0"/>
        <w:jc w:val="center"/>
        <w:rPr>
          <w:rFonts w:hint="default"/>
          <w:b/>
          <w:bCs/>
          <w:color w:val="auto"/>
          <w:lang w:val="en-US" w:eastAsia="zh-CN"/>
        </w:rPr>
      </w:pPr>
      <w:r>
        <w:rPr>
          <w:rFonts w:hint="default"/>
          <w:b/>
          <w:bCs/>
          <w:color w:val="auto"/>
          <w:lang w:val="en-US" w:eastAsia="zh-CN"/>
        </w:rPr>
        <w:drawing>
          <wp:inline distT="0" distB="0" distL="114300" distR="114300">
            <wp:extent cx="5039995" cy="3780155"/>
            <wp:effectExtent l="0" t="0" r="8255" b="10795"/>
            <wp:docPr id="1" name="图片 1" descr="IMG_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468"/>
                    <pic:cNvPicPr>
                      <a:picLocks noChangeAspect="1"/>
                    </pic:cNvPicPr>
                  </pic:nvPicPr>
                  <pic:blipFill>
                    <a:blip r:embed="rId12"/>
                    <a:stretch>
                      <a:fillRect/>
                    </a:stretch>
                  </pic:blipFill>
                  <pic:spPr>
                    <a:xfrm>
                      <a:off x="0" y="0"/>
                      <a:ext cx="5039995" cy="3780155"/>
                    </a:xfrm>
                    <a:prstGeom prst="rect">
                      <a:avLst/>
                    </a:prstGeom>
                  </pic:spPr>
                </pic:pic>
              </a:graphicData>
            </a:graphic>
          </wp:inline>
        </w:drawing>
      </w:r>
    </w:p>
    <w:p w14:paraId="700049C6">
      <w:pPr>
        <w:ind w:left="0" w:leftChars="0" w:firstLine="0" w:firstLineChars="0"/>
        <w:jc w:val="center"/>
        <w:rPr>
          <w:rFonts w:hint="default"/>
          <w:b/>
          <w:bCs/>
          <w:color w:val="auto"/>
          <w:lang w:val="en-US" w:eastAsia="zh-CN"/>
        </w:rPr>
      </w:pPr>
    </w:p>
    <w:sectPr>
      <w:pgSz w:w="11906" w:h="16839"/>
      <w:pgMar w:top="1417" w:right="1417" w:bottom="1417" w:left="1417" w:header="850" w:footer="992" w:gutter="0"/>
      <w:pgNumType w:fmt="decimal"/>
      <w:cols w:space="425"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33990E-FAB9-4179-982A-35BFB11B27B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embedRegular r:id="rId2" w:fontKey="{9F421EB3-E670-4DAB-9B2B-834A658B2061}"/>
  </w:font>
  <w:font w:name="仿宋">
    <w:panose1 w:val="02010609060101010101"/>
    <w:charset w:val="86"/>
    <w:family w:val="modern"/>
    <w:pitch w:val="default"/>
    <w:sig w:usb0="800002BF" w:usb1="38CF7CFA" w:usb2="00000016" w:usb3="00000000" w:csb0="00040001" w:csb1="00000000"/>
    <w:embedRegular r:id="rId3" w:fontKey="{F43394E7-0227-405E-A5A4-2F0750CE3644}"/>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F2CAD">
    <w:pPr>
      <w:pStyle w:val="11"/>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6E53D">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766E53D">
                    <w:pPr>
                      <w:pStyle w:val="11"/>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86D8B">
    <w:pPr>
      <w:pStyle w:val="11"/>
      <w:pBdr>
        <w:top w:val="single" w:color="auto" w:sz="4" w:space="0"/>
      </w:pBdr>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EE294">
                          <w:pPr>
                            <w:pStyle w:val="11"/>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1EE294">
                    <w:pPr>
                      <w:pStyle w:val="11"/>
                    </w:pPr>
                    <w:r>
                      <w:fldChar w:fldCharType="begin"/>
                    </w:r>
                    <w:r>
                      <w:instrText xml:space="preserve"> PAGE  \* MERGEFORMAT </w:instrText>
                    </w:r>
                    <w:r>
                      <w:fldChar w:fldCharType="separate"/>
                    </w:r>
                    <w:r>
                      <w:t>7</w:t>
                    </w:r>
                    <w:r>
                      <w:fldChar w:fldCharType="end"/>
                    </w:r>
                  </w:p>
                </w:txbxContent>
              </v:textbox>
            </v:shape>
          </w:pict>
        </mc:Fallback>
      </mc:AlternateContent>
    </w:r>
    <w:r>
      <w:rPr>
        <w:rFonts w:hint="eastAsia"/>
      </w:rPr>
      <w:t>江西赣安安全生产科学技术咨询服务中心</w:t>
    </w:r>
    <w:r>
      <w:rPr>
        <w:rFonts w:hint="eastAsia"/>
        <w:lang w:val="en-US" w:eastAsia="zh-CN"/>
      </w:rPr>
      <w:t xml:space="preserve">                                                   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90933">
    <w:pPr>
      <w:pStyle w:val="12"/>
      <w:ind w:left="0" w:leftChars="0" w:firstLine="0" w:firstLineChars="0"/>
      <w:jc w:val="left"/>
      <w:rPr>
        <w:spacing w:val="-11"/>
        <w:sz w:val="18"/>
        <w:szCs w:val="18"/>
      </w:rPr>
    </w:pPr>
    <w:r>
      <w:rPr>
        <w:rFonts w:hint="eastAsia"/>
        <w:spacing w:val="-6"/>
        <w:sz w:val="18"/>
        <w:szCs w:val="18"/>
      </w:rPr>
      <w:t>弋阳海螺水泥有限责任公司江西省弋阳县曹溪二矿区制碱用灰岩矿安全现状评价报告</w:t>
    </w:r>
    <w:r>
      <w:rPr>
        <w:rFonts w:hint="eastAsia"/>
        <w:spacing w:val="-6"/>
        <w:sz w:val="18"/>
        <w:szCs w:val="18"/>
        <w:lang w:val="en-US" w:eastAsia="zh-CN"/>
      </w:rPr>
      <w:t xml:space="preserve">                </w:t>
    </w:r>
    <w:r>
      <w:rPr>
        <w:rFonts w:hint="default" w:ascii="Times New Roman" w:hAnsi="Times New Roman" w:cs="Times New Roman"/>
        <w:spacing w:val="-11"/>
        <w:sz w:val="18"/>
        <w:szCs w:val="18"/>
      </w:rPr>
      <w:t>GAAP</w:t>
    </w:r>
    <w:r>
      <w:rPr>
        <w:rFonts w:hint="eastAsia" w:ascii="微软雅黑" w:hAnsi="Times New Roman" w:eastAsia="微软雅黑" w:cs="微软雅黑"/>
        <w:spacing w:val="-11"/>
        <w:kern w:val="2"/>
        <w:sz w:val="18"/>
        <w:szCs w:val="18"/>
        <w:lang w:val="en-US" w:eastAsia="zh-CN" w:bidi="ar-SA"/>
      </w:rPr>
      <w:t>〔</w:t>
    </w:r>
    <w:r>
      <w:rPr>
        <w:rFonts w:hint="eastAsia" w:ascii="Times New Roman" w:hAnsi="Times New Roman" w:eastAsia="宋体" w:cs="Times New Roman"/>
        <w:spacing w:val="-11"/>
        <w:kern w:val="2"/>
        <w:sz w:val="18"/>
        <w:szCs w:val="18"/>
        <w:lang w:val="en-US" w:eastAsia="zh-CN" w:bidi="ar-SA"/>
      </w:rPr>
      <w:t>202</w:t>
    </w:r>
    <w:r>
      <w:rPr>
        <w:rFonts w:hint="eastAsia" w:cs="Times New Roman"/>
        <w:spacing w:val="-11"/>
        <w:kern w:val="2"/>
        <w:sz w:val="18"/>
        <w:szCs w:val="18"/>
        <w:lang w:val="en-US" w:eastAsia="zh-CN" w:bidi="ar-SA"/>
      </w:rPr>
      <w:t>6</w:t>
    </w:r>
    <w:r>
      <w:rPr>
        <w:rFonts w:hint="eastAsia" w:ascii="微软雅黑" w:hAnsi="Times New Roman" w:eastAsia="微软雅黑" w:cs="微软雅黑"/>
        <w:spacing w:val="-11"/>
        <w:kern w:val="2"/>
        <w:sz w:val="18"/>
        <w:szCs w:val="18"/>
        <w:lang w:val="en-US" w:eastAsia="zh-CN" w:bidi="ar-SA"/>
      </w:rPr>
      <w:t>〕</w:t>
    </w:r>
    <w:r>
      <w:rPr>
        <w:rFonts w:hint="eastAsia" w:cs="Times New Roman"/>
        <w:spacing w:val="-11"/>
        <w:sz w:val="18"/>
        <w:szCs w:val="18"/>
        <w:lang w:val="en-US" w:eastAsia="zh-CN"/>
      </w:rPr>
      <w:t>0000</w:t>
    </w:r>
    <w:r>
      <w:rPr>
        <w:rFonts w:hint="default" w:ascii="Times New Roman" w:hAnsi="Times New Roman" w:cs="Times New Roman"/>
        <w:spacing w:val="-11"/>
        <w:sz w:val="18"/>
        <w:szCs w:val="18"/>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078CD"/>
    <w:multiLevelType w:val="singleLevel"/>
    <w:tmpl w:val="DFF078CD"/>
    <w:lvl w:ilvl="0" w:tentative="0">
      <w:start w:val="1"/>
      <w:numFmt w:val="decimal"/>
      <w:suff w:val="space"/>
      <w:lvlText w:val="%1."/>
      <w:lvlJc w:val="left"/>
    </w:lvl>
  </w:abstractNum>
  <w:abstractNum w:abstractNumId="1">
    <w:nsid w:val="2BFD7D24"/>
    <w:multiLevelType w:val="singleLevel"/>
    <w:tmpl w:val="2BFD7D24"/>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YWUxNGNmMmUyZTIxY2FmM2YyMWFiMjM3Y2U3MzAifQ=="/>
  </w:docVars>
  <w:rsids>
    <w:rsidRoot w:val="00000000"/>
    <w:rsid w:val="000F5645"/>
    <w:rsid w:val="001A1607"/>
    <w:rsid w:val="00593490"/>
    <w:rsid w:val="005C6C6E"/>
    <w:rsid w:val="006D2A98"/>
    <w:rsid w:val="00A94756"/>
    <w:rsid w:val="00AD7338"/>
    <w:rsid w:val="00DE185F"/>
    <w:rsid w:val="010B45A5"/>
    <w:rsid w:val="010D7DD7"/>
    <w:rsid w:val="01145609"/>
    <w:rsid w:val="01371F49"/>
    <w:rsid w:val="013C708F"/>
    <w:rsid w:val="0155716D"/>
    <w:rsid w:val="01562017"/>
    <w:rsid w:val="01640D09"/>
    <w:rsid w:val="01EF572E"/>
    <w:rsid w:val="02106ABC"/>
    <w:rsid w:val="02283016"/>
    <w:rsid w:val="02290253"/>
    <w:rsid w:val="02596756"/>
    <w:rsid w:val="02852286"/>
    <w:rsid w:val="028E0926"/>
    <w:rsid w:val="0292761B"/>
    <w:rsid w:val="02967F59"/>
    <w:rsid w:val="03126EE3"/>
    <w:rsid w:val="03435D32"/>
    <w:rsid w:val="03546191"/>
    <w:rsid w:val="036033E5"/>
    <w:rsid w:val="03821430"/>
    <w:rsid w:val="03DE20F3"/>
    <w:rsid w:val="03F40C27"/>
    <w:rsid w:val="0400419D"/>
    <w:rsid w:val="042E0790"/>
    <w:rsid w:val="045B71F9"/>
    <w:rsid w:val="047E3532"/>
    <w:rsid w:val="04F449E4"/>
    <w:rsid w:val="05366B04"/>
    <w:rsid w:val="053B7F7E"/>
    <w:rsid w:val="05476ED2"/>
    <w:rsid w:val="05594AD8"/>
    <w:rsid w:val="05740424"/>
    <w:rsid w:val="057B0FFA"/>
    <w:rsid w:val="05A86320"/>
    <w:rsid w:val="05FE4192"/>
    <w:rsid w:val="06345BBB"/>
    <w:rsid w:val="063876A4"/>
    <w:rsid w:val="06464F24"/>
    <w:rsid w:val="067D77AC"/>
    <w:rsid w:val="07283BBC"/>
    <w:rsid w:val="075F6EB2"/>
    <w:rsid w:val="07E618D5"/>
    <w:rsid w:val="07E86EA8"/>
    <w:rsid w:val="07FD72FC"/>
    <w:rsid w:val="08836BD0"/>
    <w:rsid w:val="08B70A65"/>
    <w:rsid w:val="08E12697"/>
    <w:rsid w:val="08F32F05"/>
    <w:rsid w:val="09077801"/>
    <w:rsid w:val="091B57AF"/>
    <w:rsid w:val="093C0D75"/>
    <w:rsid w:val="09736C45"/>
    <w:rsid w:val="09A27895"/>
    <w:rsid w:val="09ED2E9B"/>
    <w:rsid w:val="0A002EDA"/>
    <w:rsid w:val="0A015732"/>
    <w:rsid w:val="0A1042DF"/>
    <w:rsid w:val="0A187F18"/>
    <w:rsid w:val="0B224422"/>
    <w:rsid w:val="0B4C7FEF"/>
    <w:rsid w:val="0B891F50"/>
    <w:rsid w:val="0C6E1BD7"/>
    <w:rsid w:val="0D36577E"/>
    <w:rsid w:val="0D3F0613"/>
    <w:rsid w:val="0D417485"/>
    <w:rsid w:val="0D611BD6"/>
    <w:rsid w:val="0DBF06AB"/>
    <w:rsid w:val="0DCE4EE9"/>
    <w:rsid w:val="0DDE3227"/>
    <w:rsid w:val="0DF742E8"/>
    <w:rsid w:val="0E4B52B2"/>
    <w:rsid w:val="0E5434E9"/>
    <w:rsid w:val="0E6A71F6"/>
    <w:rsid w:val="0EE4067B"/>
    <w:rsid w:val="0F2C7D97"/>
    <w:rsid w:val="0F317370"/>
    <w:rsid w:val="0F503CB0"/>
    <w:rsid w:val="0F575EA0"/>
    <w:rsid w:val="0F5F0397"/>
    <w:rsid w:val="0F667927"/>
    <w:rsid w:val="0F8876CA"/>
    <w:rsid w:val="0F98675A"/>
    <w:rsid w:val="0FFC1742"/>
    <w:rsid w:val="100106CE"/>
    <w:rsid w:val="100D48FD"/>
    <w:rsid w:val="10480E2B"/>
    <w:rsid w:val="104D6442"/>
    <w:rsid w:val="10A404D8"/>
    <w:rsid w:val="11360C84"/>
    <w:rsid w:val="11586E4C"/>
    <w:rsid w:val="115C19F5"/>
    <w:rsid w:val="11A7392F"/>
    <w:rsid w:val="12303925"/>
    <w:rsid w:val="126258E7"/>
    <w:rsid w:val="12705EDC"/>
    <w:rsid w:val="12753A2E"/>
    <w:rsid w:val="12C60FED"/>
    <w:rsid w:val="12DA75C2"/>
    <w:rsid w:val="12ED1816"/>
    <w:rsid w:val="1325541B"/>
    <w:rsid w:val="13350988"/>
    <w:rsid w:val="136647C4"/>
    <w:rsid w:val="141C6857"/>
    <w:rsid w:val="142D3A1C"/>
    <w:rsid w:val="145439BE"/>
    <w:rsid w:val="14596B6E"/>
    <w:rsid w:val="14890557"/>
    <w:rsid w:val="14913DAE"/>
    <w:rsid w:val="14D862F3"/>
    <w:rsid w:val="14DF6A21"/>
    <w:rsid w:val="14FB646C"/>
    <w:rsid w:val="15234043"/>
    <w:rsid w:val="1533356A"/>
    <w:rsid w:val="15362A79"/>
    <w:rsid w:val="15624987"/>
    <w:rsid w:val="15C164C0"/>
    <w:rsid w:val="160D6B52"/>
    <w:rsid w:val="161F618A"/>
    <w:rsid w:val="16767752"/>
    <w:rsid w:val="16DC22CD"/>
    <w:rsid w:val="17214184"/>
    <w:rsid w:val="177034A9"/>
    <w:rsid w:val="17814EBE"/>
    <w:rsid w:val="17D17BE5"/>
    <w:rsid w:val="17DA05D8"/>
    <w:rsid w:val="17E728EB"/>
    <w:rsid w:val="17EF7DDE"/>
    <w:rsid w:val="17F263D6"/>
    <w:rsid w:val="187C3D68"/>
    <w:rsid w:val="18A22B9C"/>
    <w:rsid w:val="18EA221C"/>
    <w:rsid w:val="19012A45"/>
    <w:rsid w:val="19137AFC"/>
    <w:rsid w:val="191F4337"/>
    <w:rsid w:val="196056B2"/>
    <w:rsid w:val="19946E8F"/>
    <w:rsid w:val="19B16915"/>
    <w:rsid w:val="19C75DCA"/>
    <w:rsid w:val="19DB69C3"/>
    <w:rsid w:val="1A44069A"/>
    <w:rsid w:val="1AB85163"/>
    <w:rsid w:val="1AFE41A2"/>
    <w:rsid w:val="1B0F0EC3"/>
    <w:rsid w:val="1B356450"/>
    <w:rsid w:val="1B4723FE"/>
    <w:rsid w:val="1BEC5A46"/>
    <w:rsid w:val="1C207CD0"/>
    <w:rsid w:val="1C312FB0"/>
    <w:rsid w:val="1C42303D"/>
    <w:rsid w:val="1C56042C"/>
    <w:rsid w:val="1C6922AF"/>
    <w:rsid w:val="1C7A0F4E"/>
    <w:rsid w:val="1CF914BF"/>
    <w:rsid w:val="1D3474BE"/>
    <w:rsid w:val="1D64530A"/>
    <w:rsid w:val="1D85546D"/>
    <w:rsid w:val="1D95194F"/>
    <w:rsid w:val="1E2223FC"/>
    <w:rsid w:val="1E292B16"/>
    <w:rsid w:val="1E3252AC"/>
    <w:rsid w:val="1E56406A"/>
    <w:rsid w:val="1E8F073E"/>
    <w:rsid w:val="1EA25BAA"/>
    <w:rsid w:val="1EDF0A76"/>
    <w:rsid w:val="1F260691"/>
    <w:rsid w:val="1F3E55C8"/>
    <w:rsid w:val="1F78690B"/>
    <w:rsid w:val="1FAE738C"/>
    <w:rsid w:val="1FC16504"/>
    <w:rsid w:val="1FDC3F0E"/>
    <w:rsid w:val="2077630A"/>
    <w:rsid w:val="20901CE0"/>
    <w:rsid w:val="21140CED"/>
    <w:rsid w:val="211A595D"/>
    <w:rsid w:val="21BA0FE9"/>
    <w:rsid w:val="21E61054"/>
    <w:rsid w:val="228A6ABE"/>
    <w:rsid w:val="22A44DAF"/>
    <w:rsid w:val="22C34341"/>
    <w:rsid w:val="22D24D60"/>
    <w:rsid w:val="22D622C7"/>
    <w:rsid w:val="22DB168B"/>
    <w:rsid w:val="23290CD7"/>
    <w:rsid w:val="235853C4"/>
    <w:rsid w:val="23A83C63"/>
    <w:rsid w:val="23DB4957"/>
    <w:rsid w:val="24066BDB"/>
    <w:rsid w:val="2420033E"/>
    <w:rsid w:val="24373239"/>
    <w:rsid w:val="246D1ECE"/>
    <w:rsid w:val="247B275E"/>
    <w:rsid w:val="247E2C16"/>
    <w:rsid w:val="248F097F"/>
    <w:rsid w:val="24C04FDC"/>
    <w:rsid w:val="24F63A5D"/>
    <w:rsid w:val="25097693"/>
    <w:rsid w:val="25184E18"/>
    <w:rsid w:val="2556149D"/>
    <w:rsid w:val="25A920F9"/>
    <w:rsid w:val="25D8363B"/>
    <w:rsid w:val="26154EB4"/>
    <w:rsid w:val="262D0755"/>
    <w:rsid w:val="26551754"/>
    <w:rsid w:val="268D5D4F"/>
    <w:rsid w:val="26991759"/>
    <w:rsid w:val="26CF1507"/>
    <w:rsid w:val="2712017D"/>
    <w:rsid w:val="272D447F"/>
    <w:rsid w:val="27392E24"/>
    <w:rsid w:val="275714EA"/>
    <w:rsid w:val="2789206D"/>
    <w:rsid w:val="27D757D3"/>
    <w:rsid w:val="27EB05C2"/>
    <w:rsid w:val="280671AA"/>
    <w:rsid w:val="282D2989"/>
    <w:rsid w:val="289B1FE8"/>
    <w:rsid w:val="28D01566"/>
    <w:rsid w:val="28E8553A"/>
    <w:rsid w:val="291353A0"/>
    <w:rsid w:val="29231FDE"/>
    <w:rsid w:val="292D6E86"/>
    <w:rsid w:val="295D34AF"/>
    <w:rsid w:val="29622B06"/>
    <w:rsid w:val="296353E8"/>
    <w:rsid w:val="299936DC"/>
    <w:rsid w:val="29CA2459"/>
    <w:rsid w:val="29F36060"/>
    <w:rsid w:val="29F70EFE"/>
    <w:rsid w:val="2A720B27"/>
    <w:rsid w:val="2AC23677"/>
    <w:rsid w:val="2B0F45C8"/>
    <w:rsid w:val="2B165DF2"/>
    <w:rsid w:val="2B260BDC"/>
    <w:rsid w:val="2B294E5B"/>
    <w:rsid w:val="2B2D2CA0"/>
    <w:rsid w:val="2B3B360F"/>
    <w:rsid w:val="2BA611ED"/>
    <w:rsid w:val="2BA725F2"/>
    <w:rsid w:val="2BAF7653"/>
    <w:rsid w:val="2BF35C97"/>
    <w:rsid w:val="2C730B86"/>
    <w:rsid w:val="2CFD1020"/>
    <w:rsid w:val="2D1A7254"/>
    <w:rsid w:val="2D4E798A"/>
    <w:rsid w:val="2D7925F4"/>
    <w:rsid w:val="2D7C1CBC"/>
    <w:rsid w:val="2D853E99"/>
    <w:rsid w:val="2DB3760E"/>
    <w:rsid w:val="2DBA7A28"/>
    <w:rsid w:val="2DCD4387"/>
    <w:rsid w:val="2DE07A74"/>
    <w:rsid w:val="2DF83A39"/>
    <w:rsid w:val="2E47051C"/>
    <w:rsid w:val="2E497DF1"/>
    <w:rsid w:val="2E664D9E"/>
    <w:rsid w:val="2EB24CE0"/>
    <w:rsid w:val="2EBB2CB1"/>
    <w:rsid w:val="2EDE0B38"/>
    <w:rsid w:val="2F206A1F"/>
    <w:rsid w:val="2F2C0BAE"/>
    <w:rsid w:val="2F2F348A"/>
    <w:rsid w:val="2F3758E4"/>
    <w:rsid w:val="2F9477B0"/>
    <w:rsid w:val="2F963EF8"/>
    <w:rsid w:val="301628A9"/>
    <w:rsid w:val="30192757"/>
    <w:rsid w:val="301B3A0F"/>
    <w:rsid w:val="303A2E5F"/>
    <w:rsid w:val="30C94C38"/>
    <w:rsid w:val="310221B1"/>
    <w:rsid w:val="31200821"/>
    <w:rsid w:val="312C75C4"/>
    <w:rsid w:val="312E1520"/>
    <w:rsid w:val="314422DD"/>
    <w:rsid w:val="31697D37"/>
    <w:rsid w:val="31AA0C0A"/>
    <w:rsid w:val="31BD2FCF"/>
    <w:rsid w:val="31DF0165"/>
    <w:rsid w:val="31E57E30"/>
    <w:rsid w:val="31F2146B"/>
    <w:rsid w:val="32180206"/>
    <w:rsid w:val="325011E8"/>
    <w:rsid w:val="326055F9"/>
    <w:rsid w:val="32802058"/>
    <w:rsid w:val="328A6C2A"/>
    <w:rsid w:val="329F26D5"/>
    <w:rsid w:val="32DE21FE"/>
    <w:rsid w:val="32EB35B4"/>
    <w:rsid w:val="32F01183"/>
    <w:rsid w:val="33222CB9"/>
    <w:rsid w:val="3353378D"/>
    <w:rsid w:val="33880D03"/>
    <w:rsid w:val="33D22636"/>
    <w:rsid w:val="33E3001E"/>
    <w:rsid w:val="340824FC"/>
    <w:rsid w:val="340C23C5"/>
    <w:rsid w:val="34367D70"/>
    <w:rsid w:val="349831C4"/>
    <w:rsid w:val="35064C8D"/>
    <w:rsid w:val="35366BF5"/>
    <w:rsid w:val="353F360F"/>
    <w:rsid w:val="35897434"/>
    <w:rsid w:val="358C1A52"/>
    <w:rsid w:val="358F63C4"/>
    <w:rsid w:val="35931E3C"/>
    <w:rsid w:val="35B73417"/>
    <w:rsid w:val="35E623C9"/>
    <w:rsid w:val="363F7524"/>
    <w:rsid w:val="36407D2B"/>
    <w:rsid w:val="367D7A3A"/>
    <w:rsid w:val="36A04C6E"/>
    <w:rsid w:val="36A55DE0"/>
    <w:rsid w:val="36D10B7D"/>
    <w:rsid w:val="36F57279"/>
    <w:rsid w:val="371649C0"/>
    <w:rsid w:val="371813B0"/>
    <w:rsid w:val="37272C99"/>
    <w:rsid w:val="3787198A"/>
    <w:rsid w:val="37A54D91"/>
    <w:rsid w:val="37DB610F"/>
    <w:rsid w:val="37DE146E"/>
    <w:rsid w:val="384120F7"/>
    <w:rsid w:val="386B37E8"/>
    <w:rsid w:val="38782491"/>
    <w:rsid w:val="38B30119"/>
    <w:rsid w:val="38B8629F"/>
    <w:rsid w:val="38BD3FCF"/>
    <w:rsid w:val="38FC4B7C"/>
    <w:rsid w:val="390F1C37"/>
    <w:rsid w:val="393022D9"/>
    <w:rsid w:val="397D3044"/>
    <w:rsid w:val="39B0341A"/>
    <w:rsid w:val="39C43F44"/>
    <w:rsid w:val="3A306308"/>
    <w:rsid w:val="3A682102"/>
    <w:rsid w:val="3ADD023E"/>
    <w:rsid w:val="3B0A24EB"/>
    <w:rsid w:val="3B0E11B9"/>
    <w:rsid w:val="3B1874C8"/>
    <w:rsid w:val="3B712735"/>
    <w:rsid w:val="3BA82BFD"/>
    <w:rsid w:val="3C1138EF"/>
    <w:rsid w:val="3C3F28A5"/>
    <w:rsid w:val="3C791EFD"/>
    <w:rsid w:val="3C8203BB"/>
    <w:rsid w:val="3C9A0A83"/>
    <w:rsid w:val="3CA56E5C"/>
    <w:rsid w:val="3CB4251D"/>
    <w:rsid w:val="3D2F6822"/>
    <w:rsid w:val="3D390512"/>
    <w:rsid w:val="3D493F35"/>
    <w:rsid w:val="3D6F4035"/>
    <w:rsid w:val="3D9B618F"/>
    <w:rsid w:val="3DAC3EF8"/>
    <w:rsid w:val="3DDC0BED"/>
    <w:rsid w:val="3E221D9C"/>
    <w:rsid w:val="3E3839DE"/>
    <w:rsid w:val="3E3D7F65"/>
    <w:rsid w:val="3E495BEB"/>
    <w:rsid w:val="3E4F6CB0"/>
    <w:rsid w:val="3E650AC7"/>
    <w:rsid w:val="3E6850E9"/>
    <w:rsid w:val="3E8417B1"/>
    <w:rsid w:val="3E860BED"/>
    <w:rsid w:val="3F481E53"/>
    <w:rsid w:val="3F4D1678"/>
    <w:rsid w:val="3F4D5963"/>
    <w:rsid w:val="3F7603DF"/>
    <w:rsid w:val="3FE730FF"/>
    <w:rsid w:val="3FEC256A"/>
    <w:rsid w:val="409F2538"/>
    <w:rsid w:val="40E52248"/>
    <w:rsid w:val="41110C42"/>
    <w:rsid w:val="411F7EE8"/>
    <w:rsid w:val="41AF3FB7"/>
    <w:rsid w:val="41CA0DF1"/>
    <w:rsid w:val="41CA2B9F"/>
    <w:rsid w:val="41E73751"/>
    <w:rsid w:val="42000BCC"/>
    <w:rsid w:val="42255D7C"/>
    <w:rsid w:val="42405D96"/>
    <w:rsid w:val="427A1F06"/>
    <w:rsid w:val="4283791D"/>
    <w:rsid w:val="433125CD"/>
    <w:rsid w:val="433C007A"/>
    <w:rsid w:val="435B15C5"/>
    <w:rsid w:val="43C2293A"/>
    <w:rsid w:val="43CA332A"/>
    <w:rsid w:val="43E87689"/>
    <w:rsid w:val="440B6BE2"/>
    <w:rsid w:val="44184095"/>
    <w:rsid w:val="445B38A4"/>
    <w:rsid w:val="44BC28D1"/>
    <w:rsid w:val="44BF6C07"/>
    <w:rsid w:val="44CA0203"/>
    <w:rsid w:val="4508562C"/>
    <w:rsid w:val="450B2EEB"/>
    <w:rsid w:val="45357D20"/>
    <w:rsid w:val="456448CF"/>
    <w:rsid w:val="45AE3109"/>
    <w:rsid w:val="45B74BFB"/>
    <w:rsid w:val="45C45BA1"/>
    <w:rsid w:val="4629258A"/>
    <w:rsid w:val="463B050F"/>
    <w:rsid w:val="46A41C10"/>
    <w:rsid w:val="46A80A4B"/>
    <w:rsid w:val="47446D09"/>
    <w:rsid w:val="474A5F7A"/>
    <w:rsid w:val="47586573"/>
    <w:rsid w:val="483B143E"/>
    <w:rsid w:val="483E2E8C"/>
    <w:rsid w:val="48484E0B"/>
    <w:rsid w:val="48537D92"/>
    <w:rsid w:val="48594C7C"/>
    <w:rsid w:val="48B3355A"/>
    <w:rsid w:val="48E15588"/>
    <w:rsid w:val="48EF0574"/>
    <w:rsid w:val="49003905"/>
    <w:rsid w:val="490E3CB9"/>
    <w:rsid w:val="49926698"/>
    <w:rsid w:val="49B17A19"/>
    <w:rsid w:val="49D56702"/>
    <w:rsid w:val="4A17094B"/>
    <w:rsid w:val="4A176B9D"/>
    <w:rsid w:val="4A3C1AFC"/>
    <w:rsid w:val="4A3E412A"/>
    <w:rsid w:val="4A425D44"/>
    <w:rsid w:val="4A4A2ACF"/>
    <w:rsid w:val="4AAF2318"/>
    <w:rsid w:val="4AB935C3"/>
    <w:rsid w:val="4AE536EB"/>
    <w:rsid w:val="4B133808"/>
    <w:rsid w:val="4B2046F8"/>
    <w:rsid w:val="4B810772"/>
    <w:rsid w:val="4BDD5BE0"/>
    <w:rsid w:val="4BE74CD7"/>
    <w:rsid w:val="4C001FDF"/>
    <w:rsid w:val="4C636ED9"/>
    <w:rsid w:val="4CD751A0"/>
    <w:rsid w:val="4D7C3730"/>
    <w:rsid w:val="4DD54DA5"/>
    <w:rsid w:val="4DEA4CF4"/>
    <w:rsid w:val="4DF416CF"/>
    <w:rsid w:val="4E013DEC"/>
    <w:rsid w:val="4E173AED"/>
    <w:rsid w:val="4E1C29D4"/>
    <w:rsid w:val="4E920EE8"/>
    <w:rsid w:val="4EB175C0"/>
    <w:rsid w:val="4F9D7B44"/>
    <w:rsid w:val="4FA15887"/>
    <w:rsid w:val="4FF2374A"/>
    <w:rsid w:val="50334005"/>
    <w:rsid w:val="50993895"/>
    <w:rsid w:val="50A05B3E"/>
    <w:rsid w:val="50CC06E1"/>
    <w:rsid w:val="51120B54"/>
    <w:rsid w:val="51654692"/>
    <w:rsid w:val="51DA56D9"/>
    <w:rsid w:val="521479BD"/>
    <w:rsid w:val="52324DF2"/>
    <w:rsid w:val="523572D3"/>
    <w:rsid w:val="525E7A5F"/>
    <w:rsid w:val="52C27FEE"/>
    <w:rsid w:val="52C35064"/>
    <w:rsid w:val="52D25D57"/>
    <w:rsid w:val="52E52E06"/>
    <w:rsid w:val="534F73A8"/>
    <w:rsid w:val="53C102A5"/>
    <w:rsid w:val="53F040F3"/>
    <w:rsid w:val="543F6A0F"/>
    <w:rsid w:val="54501629"/>
    <w:rsid w:val="549A0AF6"/>
    <w:rsid w:val="549E05E7"/>
    <w:rsid w:val="551A2274"/>
    <w:rsid w:val="552079AD"/>
    <w:rsid w:val="55865E7A"/>
    <w:rsid w:val="55AD03B6"/>
    <w:rsid w:val="565926F8"/>
    <w:rsid w:val="56947B58"/>
    <w:rsid w:val="569A4893"/>
    <w:rsid w:val="56C02A96"/>
    <w:rsid w:val="570F0CE3"/>
    <w:rsid w:val="572B4351"/>
    <w:rsid w:val="57640800"/>
    <w:rsid w:val="577171DB"/>
    <w:rsid w:val="57797E38"/>
    <w:rsid w:val="578F54F0"/>
    <w:rsid w:val="58124259"/>
    <w:rsid w:val="58247055"/>
    <w:rsid w:val="58491124"/>
    <w:rsid w:val="5864315D"/>
    <w:rsid w:val="58695559"/>
    <w:rsid w:val="588F6E1D"/>
    <w:rsid w:val="589870FB"/>
    <w:rsid w:val="58AA7BC4"/>
    <w:rsid w:val="58B303D9"/>
    <w:rsid w:val="58FA06F3"/>
    <w:rsid w:val="593257A1"/>
    <w:rsid w:val="594828CF"/>
    <w:rsid w:val="594F0101"/>
    <w:rsid w:val="59716137"/>
    <w:rsid w:val="597C6A1D"/>
    <w:rsid w:val="599A323A"/>
    <w:rsid w:val="59FD5D36"/>
    <w:rsid w:val="5A0507C0"/>
    <w:rsid w:val="5A106D9C"/>
    <w:rsid w:val="5A1153B7"/>
    <w:rsid w:val="5A3572F7"/>
    <w:rsid w:val="5A5055AA"/>
    <w:rsid w:val="5A643739"/>
    <w:rsid w:val="5A645887"/>
    <w:rsid w:val="5A9D5284"/>
    <w:rsid w:val="5AC266B1"/>
    <w:rsid w:val="5AEA3C95"/>
    <w:rsid w:val="5B860547"/>
    <w:rsid w:val="5B9C6F02"/>
    <w:rsid w:val="5BA31F6D"/>
    <w:rsid w:val="5BAA2CB6"/>
    <w:rsid w:val="5BD14DFE"/>
    <w:rsid w:val="5C1D0043"/>
    <w:rsid w:val="5C60006A"/>
    <w:rsid w:val="5CBC2E8A"/>
    <w:rsid w:val="5CD86660"/>
    <w:rsid w:val="5CF24B72"/>
    <w:rsid w:val="5D984E39"/>
    <w:rsid w:val="5E111E29"/>
    <w:rsid w:val="5E176D14"/>
    <w:rsid w:val="5E256920"/>
    <w:rsid w:val="5E5C0E03"/>
    <w:rsid w:val="5E951201"/>
    <w:rsid w:val="5ECC3F6D"/>
    <w:rsid w:val="5EF977B3"/>
    <w:rsid w:val="5EFD3D22"/>
    <w:rsid w:val="5F7E172D"/>
    <w:rsid w:val="5F8B1CA3"/>
    <w:rsid w:val="5F8B407B"/>
    <w:rsid w:val="5FB46F10"/>
    <w:rsid w:val="601E6FA6"/>
    <w:rsid w:val="60465003"/>
    <w:rsid w:val="60A206C0"/>
    <w:rsid w:val="60BA0F08"/>
    <w:rsid w:val="60C63C94"/>
    <w:rsid w:val="6142054C"/>
    <w:rsid w:val="617565F6"/>
    <w:rsid w:val="617A7C83"/>
    <w:rsid w:val="628F5D29"/>
    <w:rsid w:val="62A414BE"/>
    <w:rsid w:val="62B80AC5"/>
    <w:rsid w:val="634632A4"/>
    <w:rsid w:val="6361115D"/>
    <w:rsid w:val="64274122"/>
    <w:rsid w:val="64532812"/>
    <w:rsid w:val="64780290"/>
    <w:rsid w:val="64B17EC2"/>
    <w:rsid w:val="651421FF"/>
    <w:rsid w:val="651641C9"/>
    <w:rsid w:val="65314B5F"/>
    <w:rsid w:val="65366619"/>
    <w:rsid w:val="654A3ABB"/>
    <w:rsid w:val="65613696"/>
    <w:rsid w:val="6589396E"/>
    <w:rsid w:val="659A0ECE"/>
    <w:rsid w:val="666C01DA"/>
    <w:rsid w:val="667C005C"/>
    <w:rsid w:val="667E51BF"/>
    <w:rsid w:val="66C541BB"/>
    <w:rsid w:val="66ED0F5A"/>
    <w:rsid w:val="67177D85"/>
    <w:rsid w:val="67191D4F"/>
    <w:rsid w:val="671B39FF"/>
    <w:rsid w:val="671C049D"/>
    <w:rsid w:val="677862CF"/>
    <w:rsid w:val="678E44EB"/>
    <w:rsid w:val="67976DF7"/>
    <w:rsid w:val="67CC47DB"/>
    <w:rsid w:val="67E73BFB"/>
    <w:rsid w:val="68324E76"/>
    <w:rsid w:val="6841330B"/>
    <w:rsid w:val="68560FB0"/>
    <w:rsid w:val="6875755D"/>
    <w:rsid w:val="68B15238"/>
    <w:rsid w:val="68DD5B96"/>
    <w:rsid w:val="68E635A2"/>
    <w:rsid w:val="69020CEC"/>
    <w:rsid w:val="69126A56"/>
    <w:rsid w:val="693D7F76"/>
    <w:rsid w:val="694120F5"/>
    <w:rsid w:val="69540E1C"/>
    <w:rsid w:val="69643755"/>
    <w:rsid w:val="69981651"/>
    <w:rsid w:val="69B30FB5"/>
    <w:rsid w:val="69CC6B23"/>
    <w:rsid w:val="69D550CD"/>
    <w:rsid w:val="69DA57C5"/>
    <w:rsid w:val="69E502D2"/>
    <w:rsid w:val="6A2716C9"/>
    <w:rsid w:val="6A610B11"/>
    <w:rsid w:val="6A6A173C"/>
    <w:rsid w:val="6AAB0F10"/>
    <w:rsid w:val="6ACB38E5"/>
    <w:rsid w:val="6AD246EE"/>
    <w:rsid w:val="6AE84A72"/>
    <w:rsid w:val="6B1B3F84"/>
    <w:rsid w:val="6B2F7D93"/>
    <w:rsid w:val="6B4E7EEE"/>
    <w:rsid w:val="6C00421D"/>
    <w:rsid w:val="6C270A6A"/>
    <w:rsid w:val="6C703149"/>
    <w:rsid w:val="6C846764"/>
    <w:rsid w:val="6CA200F0"/>
    <w:rsid w:val="6CAE465D"/>
    <w:rsid w:val="6CFE3B02"/>
    <w:rsid w:val="6D88670D"/>
    <w:rsid w:val="6DE309C1"/>
    <w:rsid w:val="6E761835"/>
    <w:rsid w:val="6EA405A9"/>
    <w:rsid w:val="6EC16F54"/>
    <w:rsid w:val="6ED52B8A"/>
    <w:rsid w:val="6EFE1F56"/>
    <w:rsid w:val="6F265009"/>
    <w:rsid w:val="6F313FA1"/>
    <w:rsid w:val="6F834209"/>
    <w:rsid w:val="6F8D4E4E"/>
    <w:rsid w:val="6F9E3748"/>
    <w:rsid w:val="700A0487"/>
    <w:rsid w:val="704F1B3A"/>
    <w:rsid w:val="706E6C67"/>
    <w:rsid w:val="707A7C41"/>
    <w:rsid w:val="707D05B9"/>
    <w:rsid w:val="709D6E51"/>
    <w:rsid w:val="70A11939"/>
    <w:rsid w:val="70A839C6"/>
    <w:rsid w:val="7116481E"/>
    <w:rsid w:val="71347EB1"/>
    <w:rsid w:val="71421785"/>
    <w:rsid w:val="7158574F"/>
    <w:rsid w:val="7180259E"/>
    <w:rsid w:val="71FE6F26"/>
    <w:rsid w:val="721253F9"/>
    <w:rsid w:val="722578E9"/>
    <w:rsid w:val="72676064"/>
    <w:rsid w:val="728409C4"/>
    <w:rsid w:val="72B54101"/>
    <w:rsid w:val="72CC5EC7"/>
    <w:rsid w:val="7313528F"/>
    <w:rsid w:val="7314591F"/>
    <w:rsid w:val="733C509D"/>
    <w:rsid w:val="7365051D"/>
    <w:rsid w:val="73972979"/>
    <w:rsid w:val="739A6724"/>
    <w:rsid w:val="74237D69"/>
    <w:rsid w:val="74281823"/>
    <w:rsid w:val="745D6D46"/>
    <w:rsid w:val="748527D2"/>
    <w:rsid w:val="74A626EA"/>
    <w:rsid w:val="74CB0B2C"/>
    <w:rsid w:val="753374D4"/>
    <w:rsid w:val="756747A2"/>
    <w:rsid w:val="75734190"/>
    <w:rsid w:val="75742F72"/>
    <w:rsid w:val="75A7382D"/>
    <w:rsid w:val="75B96BD7"/>
    <w:rsid w:val="76005923"/>
    <w:rsid w:val="7625426C"/>
    <w:rsid w:val="762C373B"/>
    <w:rsid w:val="764D1A81"/>
    <w:rsid w:val="76553592"/>
    <w:rsid w:val="76692DB0"/>
    <w:rsid w:val="76C53359"/>
    <w:rsid w:val="76DC4CCE"/>
    <w:rsid w:val="76F42E75"/>
    <w:rsid w:val="7725204A"/>
    <w:rsid w:val="773F3EF6"/>
    <w:rsid w:val="77843214"/>
    <w:rsid w:val="77B5517C"/>
    <w:rsid w:val="77C47A53"/>
    <w:rsid w:val="77D74F78"/>
    <w:rsid w:val="77EA5801"/>
    <w:rsid w:val="78245629"/>
    <w:rsid w:val="782C085B"/>
    <w:rsid w:val="785962C1"/>
    <w:rsid w:val="786B1CDE"/>
    <w:rsid w:val="78832BF4"/>
    <w:rsid w:val="78B00F4C"/>
    <w:rsid w:val="78FA1601"/>
    <w:rsid w:val="791F1447"/>
    <w:rsid w:val="796706F8"/>
    <w:rsid w:val="7A3507F6"/>
    <w:rsid w:val="7A3F36BC"/>
    <w:rsid w:val="7A4647B1"/>
    <w:rsid w:val="7A4822D7"/>
    <w:rsid w:val="7A925C48"/>
    <w:rsid w:val="7A9D044F"/>
    <w:rsid w:val="7ABA6A60"/>
    <w:rsid w:val="7B1440DE"/>
    <w:rsid w:val="7B3343CE"/>
    <w:rsid w:val="7B446F42"/>
    <w:rsid w:val="7B4968BF"/>
    <w:rsid w:val="7B5B603A"/>
    <w:rsid w:val="7B711D02"/>
    <w:rsid w:val="7BA93985"/>
    <w:rsid w:val="7BB57E40"/>
    <w:rsid w:val="7BDD225D"/>
    <w:rsid w:val="7C81665C"/>
    <w:rsid w:val="7C914A80"/>
    <w:rsid w:val="7CB671B0"/>
    <w:rsid w:val="7CDC13FD"/>
    <w:rsid w:val="7D0A3391"/>
    <w:rsid w:val="7D893333"/>
    <w:rsid w:val="7DCC0D4A"/>
    <w:rsid w:val="7DE22A43"/>
    <w:rsid w:val="7E05426C"/>
    <w:rsid w:val="7E3A287F"/>
    <w:rsid w:val="7E696CC0"/>
    <w:rsid w:val="7EEF5417"/>
    <w:rsid w:val="7EF127D4"/>
    <w:rsid w:val="7EF85C16"/>
    <w:rsid w:val="7F0240C9"/>
    <w:rsid w:val="7F4C4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883"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28"/>
    <w:autoRedefine/>
    <w:qFormat/>
    <w:uiPriority w:val="0"/>
    <w:pPr>
      <w:keepNext/>
      <w:keepLines/>
      <w:spacing w:beforeLines="0" w:beforeAutospacing="0" w:afterLines="0" w:afterAutospacing="0" w:line="360" w:lineRule="auto"/>
      <w:ind w:left="0" w:leftChars="0" w:firstLine="0" w:firstLineChars="0"/>
      <w:jc w:val="center"/>
      <w:outlineLvl w:val="0"/>
    </w:pPr>
    <w:rPr>
      <w:rFonts w:ascii="Times New Roman" w:hAnsi="Times New Roman" w:eastAsia="黑体"/>
      <w:b/>
      <w:kern w:val="44"/>
      <w:sz w:val="32"/>
    </w:rPr>
  </w:style>
  <w:style w:type="paragraph" w:styleId="3">
    <w:name w:val="heading 2"/>
    <w:basedOn w:val="1"/>
    <w:next w:val="1"/>
    <w:link w:val="41"/>
    <w:unhideWhenUsed/>
    <w:qFormat/>
    <w:uiPriority w:val="0"/>
    <w:pPr>
      <w:keepNext/>
      <w:keepLines/>
      <w:spacing w:beforeLines="0" w:beforeAutospacing="0" w:afterLines="0" w:afterAutospacing="0" w:line="360" w:lineRule="auto"/>
      <w:ind w:left="280" w:leftChars="100" w:firstLine="0" w:firstLineChars="0"/>
      <w:outlineLvl w:val="1"/>
    </w:pPr>
    <w:rPr>
      <w:rFonts w:eastAsia="黑体"/>
      <w:b/>
      <w:sz w:val="30"/>
    </w:rPr>
  </w:style>
  <w:style w:type="paragraph" w:styleId="4">
    <w:name w:val="heading 3"/>
    <w:basedOn w:val="1"/>
    <w:next w:val="1"/>
    <w:link w:val="37"/>
    <w:autoRedefine/>
    <w:unhideWhenUsed/>
    <w:qFormat/>
    <w:uiPriority w:val="0"/>
    <w:pPr>
      <w:keepNext/>
      <w:keepLines/>
      <w:spacing w:beforeLines="0" w:beforeAutospacing="0" w:afterLines="0" w:afterAutospacing="0" w:line="360" w:lineRule="auto"/>
      <w:ind w:left="560" w:leftChars="200" w:firstLine="0" w:firstLineChars="0"/>
      <w:outlineLvl w:val="2"/>
    </w:pPr>
    <w:rPr>
      <w:rFonts w:eastAsia="黑体"/>
      <w:b/>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1">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table of authorities"/>
    <w:basedOn w:val="1"/>
    <w:next w:val="1"/>
    <w:autoRedefine/>
    <w:qFormat/>
    <w:uiPriority w:val="0"/>
    <w:pPr>
      <w:ind w:left="420" w:leftChars="200"/>
    </w:pPr>
  </w:style>
  <w:style w:type="paragraph" w:styleId="7">
    <w:name w:val="toa heading"/>
    <w:next w:val="1"/>
    <w:qFormat/>
    <w:uiPriority w:val="0"/>
    <w:pPr>
      <w:widowControl w:val="0"/>
      <w:spacing w:before="120"/>
      <w:jc w:val="both"/>
    </w:pPr>
    <w:rPr>
      <w:rFonts w:ascii="Cambria" w:hAnsi="Cambria" w:eastAsia="宋体" w:cs="Times New Roman"/>
      <w:kern w:val="2"/>
      <w:sz w:val="24"/>
      <w:szCs w:val="24"/>
      <w:lang w:val="en-US" w:eastAsia="zh-CN" w:bidi="ar-SA"/>
    </w:rPr>
  </w:style>
  <w:style w:type="paragraph" w:styleId="8">
    <w:name w:val="annotation text"/>
    <w:basedOn w:val="1"/>
    <w:autoRedefine/>
    <w:qFormat/>
    <w:uiPriority w:val="0"/>
    <w:pPr>
      <w:jc w:val="left"/>
    </w:pPr>
  </w:style>
  <w:style w:type="paragraph" w:styleId="9">
    <w:name w:val="Body Text"/>
    <w:basedOn w:val="1"/>
    <w:next w:val="1"/>
    <w:link w:val="31"/>
    <w:autoRedefine/>
    <w:qFormat/>
    <w:uiPriority w:val="0"/>
    <w:pPr>
      <w:widowControl w:val="0"/>
      <w:spacing w:after="120" w:line="360" w:lineRule="auto"/>
      <w:jc w:val="both"/>
    </w:pPr>
    <w:rPr>
      <w:rFonts w:ascii="Times New Roman" w:hAnsi="Times New Roman" w:eastAsia="宋体" w:cs="Times New Roman"/>
      <w:kern w:val="2"/>
      <w:sz w:val="28"/>
      <w:szCs w:val="24"/>
      <w:lang w:val="en-US" w:eastAsia="zh-CN" w:bidi="ar-SA"/>
    </w:rPr>
  </w:style>
  <w:style w:type="paragraph" w:styleId="10">
    <w:name w:val="toc 3"/>
    <w:basedOn w:val="1"/>
    <w:next w:val="1"/>
    <w:autoRedefine/>
    <w:qFormat/>
    <w:uiPriority w:val="0"/>
    <w:pPr>
      <w:spacing w:line="240" w:lineRule="auto"/>
      <w:ind w:left="840" w:leftChars="400" w:firstLine="0" w:firstLineChars="0"/>
    </w:pPr>
    <w:rPr>
      <w:rFonts w:ascii="Times New Roman" w:hAnsi="Times New Roman" w:eastAsia="宋体"/>
      <w:sz w:val="21"/>
    </w:rPr>
  </w:style>
  <w:style w:type="paragraph" w:styleId="11">
    <w:name w:val="footer"/>
    <w:basedOn w:val="1"/>
    <w:autoRedefine/>
    <w:qFormat/>
    <w:uiPriority w:val="0"/>
    <w:pPr>
      <w:tabs>
        <w:tab w:val="center" w:pos="4153"/>
        <w:tab w:val="right" w:pos="8306"/>
      </w:tabs>
      <w:snapToGrid w:val="0"/>
      <w:spacing w:line="240" w:lineRule="auto"/>
      <w:jc w:val="left"/>
    </w:pPr>
    <w:rPr>
      <w:sz w:val="18"/>
      <w:szCs w:val="18"/>
    </w:rPr>
  </w:style>
  <w:style w:type="paragraph" w:styleId="12">
    <w:name w:val="header"/>
    <w:basedOn w:val="1"/>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autoRedefine/>
    <w:qFormat/>
    <w:uiPriority w:val="0"/>
    <w:pPr>
      <w:tabs>
        <w:tab w:val="right" w:leader="dot" w:pos="9072"/>
      </w:tabs>
      <w:spacing w:line="240" w:lineRule="auto"/>
      <w:ind w:firstLine="0" w:firstLineChars="0"/>
    </w:pPr>
    <w:rPr>
      <w:rFonts w:ascii="Times New Roman" w:hAnsi="Times New Roman" w:eastAsia="宋体"/>
      <w:sz w:val="28"/>
      <w:szCs w:val="21"/>
    </w:rPr>
  </w:style>
  <w:style w:type="paragraph" w:styleId="14">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paragraph" w:styleId="15">
    <w:name w:val="Body Text 2"/>
    <w:autoRedefine/>
    <w:qFormat/>
    <w:uiPriority w:val="0"/>
    <w:pPr>
      <w:widowControl w:val="0"/>
      <w:spacing w:after="120" w:line="480" w:lineRule="auto"/>
      <w:jc w:val="both"/>
    </w:pPr>
    <w:rPr>
      <w:rFonts w:ascii="Times New Roman" w:hAnsi="Times New Roman" w:eastAsia="宋体" w:cs="Times New Roman"/>
      <w:kern w:val="2"/>
      <w:sz w:val="28"/>
      <w:szCs w:val="24"/>
      <w:lang w:val="en-US" w:eastAsia="zh-CN" w:bidi="ar-SA"/>
    </w:rPr>
  </w:style>
  <w:style w:type="paragraph" w:styleId="16">
    <w:name w:val="Normal (Web)"/>
    <w:autoRedefine/>
    <w:qFormat/>
    <w:uiPriority w:val="99"/>
    <w:pPr>
      <w:widowControl/>
      <w:spacing w:before="100" w:beforeAutospacing="1" w:after="100" w:afterAutospacing="1"/>
      <w:jc w:val="left"/>
    </w:pPr>
    <w:rPr>
      <w:rFonts w:ascii="宋体" w:hAnsi="宋体" w:eastAsia="宋体" w:cs="宋体"/>
      <w:kern w:val="0"/>
      <w:sz w:val="24"/>
      <w:szCs w:val="24"/>
      <w:lang w:val="en-US" w:eastAsia="zh-CN" w:bidi="ar-SA"/>
    </w:rPr>
  </w:style>
  <w:style w:type="paragraph" w:styleId="17">
    <w:name w:val="Body Text First Indent 2"/>
    <w:basedOn w:val="1"/>
    <w:next w:val="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0">
    <w:name w:val="Table Theme"/>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autoRedefine/>
    <w:qFormat/>
    <w:uiPriority w:val="0"/>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目录1"/>
    <w:basedOn w:val="6"/>
    <w:autoRedefine/>
    <w:qFormat/>
    <w:uiPriority w:val="0"/>
    <w:pPr>
      <w:spacing w:line="240" w:lineRule="auto"/>
      <w:ind w:left="0" w:leftChars="0" w:firstLine="0" w:firstLineChars="0"/>
    </w:pPr>
  </w:style>
  <w:style w:type="paragraph" w:customStyle="1" w:styleId="25">
    <w:name w:val="目录2"/>
    <w:basedOn w:val="6"/>
    <w:autoRedefine/>
    <w:qFormat/>
    <w:uiPriority w:val="0"/>
    <w:pPr>
      <w:spacing w:line="240" w:lineRule="auto"/>
      <w:ind w:firstLine="0" w:firstLineChars="0"/>
    </w:pPr>
    <w:rPr>
      <w:sz w:val="24"/>
    </w:rPr>
  </w:style>
  <w:style w:type="paragraph" w:customStyle="1" w:styleId="26">
    <w:name w:val="目录3"/>
    <w:basedOn w:val="6"/>
    <w:autoRedefine/>
    <w:qFormat/>
    <w:uiPriority w:val="0"/>
    <w:pPr>
      <w:spacing w:line="240" w:lineRule="auto"/>
      <w:ind w:left="1120" w:leftChars="400" w:firstLine="0" w:firstLineChars="0"/>
    </w:pPr>
    <w:rPr>
      <w:sz w:val="21"/>
    </w:rPr>
  </w:style>
  <w:style w:type="paragraph" w:customStyle="1" w:styleId="27">
    <w:name w:val="样式 小四 首行缩进:  0.85 厘米 行距: 固定值 22 磅"/>
    <w:autoRedefine/>
    <w:qFormat/>
    <w:uiPriority w:val="0"/>
    <w:pPr>
      <w:widowControl/>
      <w:spacing w:line="440" w:lineRule="exact"/>
      <w:ind w:firstLine="480" w:firstLineChars="200"/>
      <w:jc w:val="both"/>
    </w:pPr>
    <w:rPr>
      <w:rFonts w:ascii="新宋体" w:hAnsi="新宋体" w:eastAsia="新宋体" w:cs="新宋体"/>
      <w:kern w:val="0"/>
      <w:sz w:val="24"/>
      <w:szCs w:val="20"/>
      <w:lang w:val="en-US" w:eastAsia="en-US" w:bidi="en-US"/>
    </w:rPr>
  </w:style>
  <w:style w:type="character" w:customStyle="1" w:styleId="28">
    <w:name w:val="标题 1 Char1"/>
    <w:link w:val="2"/>
    <w:autoRedefine/>
    <w:qFormat/>
    <w:uiPriority w:val="0"/>
    <w:rPr>
      <w:rFonts w:ascii="Times New Roman" w:hAnsi="Times New Roman" w:eastAsia="黑体"/>
      <w:b/>
      <w:kern w:val="44"/>
      <w:sz w:val="32"/>
    </w:rPr>
  </w:style>
  <w:style w:type="paragraph" w:customStyle="1" w:styleId="29">
    <w:name w:val="Char1"/>
    <w:basedOn w:val="1"/>
    <w:autoRedefine/>
    <w:qFormat/>
    <w:uiPriority w:val="0"/>
    <w:pPr>
      <w:autoSpaceDE w:val="0"/>
      <w:autoSpaceDN w:val="0"/>
      <w:adjustRightInd w:val="0"/>
      <w:snapToGrid w:val="0"/>
      <w:spacing w:before="50" w:after="50"/>
      <w:ind w:firstLine="560" w:firstLineChars="200"/>
    </w:pPr>
    <w:rPr>
      <w:sz w:val="21"/>
      <w:szCs w:val="20"/>
    </w:rPr>
  </w:style>
  <w:style w:type="character" w:customStyle="1" w:styleId="30">
    <w:name w:val="正文文本 + 10.5 pt6"/>
    <w:autoRedefine/>
    <w:qFormat/>
    <w:uiPriority w:val="0"/>
    <w:rPr>
      <w:rFonts w:ascii="宋体" w:hAnsi="宋体" w:eastAsia="宋体" w:cs="宋体"/>
      <w:kern w:val="2"/>
      <w:sz w:val="21"/>
      <w:szCs w:val="21"/>
      <w:u w:val="none"/>
      <w:lang w:val="en-US" w:eastAsia="zh-CN" w:bidi="ar-SA"/>
    </w:rPr>
  </w:style>
  <w:style w:type="character" w:customStyle="1" w:styleId="31">
    <w:name w:val="正文文本_"/>
    <w:link w:val="9"/>
    <w:autoRedefine/>
    <w:qFormat/>
    <w:uiPriority w:val="0"/>
    <w:rPr>
      <w:kern w:val="2"/>
      <w:sz w:val="28"/>
      <w:szCs w:val="24"/>
      <w:lang w:val="en-US" w:eastAsia="zh-CN" w:bidi="ar-SA"/>
    </w:rPr>
  </w:style>
  <w:style w:type="character" w:customStyle="1" w:styleId="32">
    <w:name w:val="正文文本 + Batang19"/>
    <w:autoRedefine/>
    <w:qFormat/>
    <w:uiPriority w:val="0"/>
    <w:rPr>
      <w:rFonts w:ascii="Malgun Gothic" w:hAnsi="宋体" w:eastAsia="Malgun Gothic" w:cs="Malgun Gothic"/>
      <w:kern w:val="2"/>
      <w:sz w:val="19"/>
      <w:szCs w:val="19"/>
      <w:u w:val="none"/>
      <w:lang w:val="en-US" w:eastAsia="en-US" w:bidi="ar-SA"/>
    </w:rPr>
  </w:style>
  <w:style w:type="character" w:customStyle="1" w:styleId="33">
    <w:name w:val="正文文本 + MS Gothic"/>
    <w:autoRedefine/>
    <w:qFormat/>
    <w:uiPriority w:val="0"/>
    <w:rPr>
      <w:rFonts w:ascii="MS Gothic" w:hAnsi="宋体" w:eastAsia="MS Gothic" w:cs="MS Gothic"/>
      <w:spacing w:val="-20"/>
      <w:kern w:val="2"/>
      <w:sz w:val="8"/>
      <w:szCs w:val="8"/>
      <w:u w:val="none"/>
      <w:lang w:val="en-US" w:eastAsia="zh-CN" w:bidi="ar-SA"/>
    </w:rPr>
  </w:style>
  <w:style w:type="character" w:customStyle="1" w:styleId="34">
    <w:name w:val="正文文本 + Batang18"/>
    <w:autoRedefine/>
    <w:qFormat/>
    <w:uiPriority w:val="0"/>
    <w:rPr>
      <w:rFonts w:ascii="Malgun Gothic" w:hAnsi="宋体" w:eastAsia="Malgun Gothic" w:cs="Malgun Gothic"/>
      <w:kern w:val="2"/>
      <w:sz w:val="19"/>
      <w:szCs w:val="19"/>
      <w:u w:val="none"/>
      <w:lang w:val="en-US" w:eastAsia="zh-CN" w:bidi="ar-SA"/>
    </w:rPr>
  </w:style>
  <w:style w:type="table" w:customStyle="1" w:styleId="35">
    <w:name w:val="Table Normal"/>
    <w:autoRedefine/>
    <w:semiHidden/>
    <w:unhideWhenUsed/>
    <w:qFormat/>
    <w:uiPriority w:val="0"/>
    <w:tblPr>
      <w:tblCellMar>
        <w:top w:w="0" w:type="dxa"/>
        <w:left w:w="0" w:type="dxa"/>
        <w:bottom w:w="0" w:type="dxa"/>
        <w:right w:w="0" w:type="dxa"/>
      </w:tblCellMar>
    </w:tblPr>
  </w:style>
  <w:style w:type="paragraph" w:customStyle="1" w:styleId="36">
    <w:name w:val="Table Text"/>
    <w:basedOn w:val="1"/>
    <w:autoRedefine/>
    <w:semiHidden/>
    <w:qFormat/>
    <w:uiPriority w:val="0"/>
    <w:rPr>
      <w:rFonts w:ascii="微软雅黑" w:hAnsi="微软雅黑" w:eastAsia="微软雅黑" w:cs="微软雅黑"/>
      <w:sz w:val="28"/>
      <w:szCs w:val="28"/>
      <w:lang w:val="en-US" w:eastAsia="en-US" w:bidi="ar-SA"/>
    </w:rPr>
  </w:style>
  <w:style w:type="character" w:customStyle="1" w:styleId="37">
    <w:name w:val="标题 3 Char"/>
    <w:link w:val="4"/>
    <w:qFormat/>
    <w:uiPriority w:val="0"/>
    <w:rPr>
      <w:rFonts w:eastAsia="黑体"/>
      <w:b/>
    </w:rPr>
  </w:style>
  <w:style w:type="paragraph" w:customStyle="1" w:styleId="38">
    <w:name w:val="样式 样式 样式 正文文本缩进 + 首行缩进:  2 字符 + 图案: 15% (自动设置 前景 白色 背景) + 图案: 清除"/>
    <w:qFormat/>
    <w:uiPriority w:val="0"/>
    <w:pPr>
      <w:widowControl/>
      <w:tabs>
        <w:tab w:val="left" w:pos="1155"/>
        <w:tab w:val="center" w:pos="4153"/>
      </w:tabs>
      <w:spacing w:line="360" w:lineRule="auto"/>
      <w:ind w:firstLine="560" w:firstLineChars="200"/>
      <w:jc w:val="both"/>
    </w:pPr>
    <w:rPr>
      <w:rFonts w:ascii="Times New Roman" w:hAnsi="Times New Roman" w:eastAsia="宋体" w:cs="宋体"/>
      <w:color w:val="000000"/>
      <w:kern w:val="0"/>
      <w:sz w:val="28"/>
      <w:szCs w:val="28"/>
      <w:lang w:val="en-US" w:eastAsia="zh-CN" w:bidi="ar-SA"/>
    </w:rPr>
  </w:style>
  <w:style w:type="paragraph" w:customStyle="1" w:styleId="39">
    <w:name w:val="样式 标题 2"/>
    <w:basedOn w:val="3"/>
    <w:qFormat/>
    <w:uiPriority w:val="0"/>
    <w:pPr>
      <w:spacing w:before="50" w:after="50"/>
      <w:jc w:val="both"/>
    </w:pPr>
    <w:rPr>
      <w:szCs w:val="28"/>
    </w:rPr>
  </w:style>
  <w:style w:type="paragraph" w:customStyle="1" w:styleId="40">
    <w:name w:val="Table Paragraph"/>
    <w:basedOn w:val="1"/>
    <w:qFormat/>
    <w:uiPriority w:val="0"/>
  </w:style>
  <w:style w:type="character" w:customStyle="1" w:styleId="41">
    <w:name w:val="标题 2 Char1"/>
    <w:link w:val="3"/>
    <w:uiPriority w:val="0"/>
    <w:rPr>
      <w:rFonts w:eastAsia="黑体"/>
      <w:b/>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11538</Words>
  <Characters>14415</Characters>
  <Lines>0</Lines>
  <Paragraphs>0</Paragraphs>
  <TotalTime>26</TotalTime>
  <ScaleCrop>false</ScaleCrop>
  <LinksUpToDate>false</LinksUpToDate>
  <CharactersWithSpaces>15584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2023-03-13T03:26:00Z</dcterms:created>
  <dc:creator>Administrator</dc:creator>
  <cp:lastModifiedBy>爱哭的男孩</cp:lastModifiedBy>
  <cp:lastPrinted>2025-05-30T07:13:00Z</cp:lastPrinted>
  <dcterms:modified xsi:type="dcterms:W3CDTF">2026-04-23T06:08:00Z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B1C61FD6A7CB416B823A93B2F1477084</vt:lpwstr>
  </property>
  <property fmtid="{D5CDD505-2E9C-101B-9397-08002B2CF9AE}" pid="4" name="KSOTemplateDocerSaveRecord">
    <vt:lpwstr>eyJoZGlkIjoiZDI0Njk3ZWQ2ZmQyYmJiOTI3YmFiOTc3MjlkMjYxZmEiLCJ1c2VySWQiOiI0MDI5OTA3NDkifQ==</vt:lpwstr>
  </property>
</Properties>
</file>