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029EB96">
      <w:pPr>
        <w:jc w:val="center"/>
        <w:rPr>
          <w:rFonts w:ascii="宋体" w:hAnsi="宋体" w:cs="宋体"/>
          <w:b/>
          <w:bCs/>
          <w:color w:val="auto"/>
          <w:sz w:val="44"/>
          <w:szCs w:val="44"/>
        </w:rPr>
      </w:pPr>
    </w:p>
    <w:p w14:paraId="3F93ABB7">
      <w:pPr>
        <w:jc w:val="center"/>
        <w:rPr>
          <w:rFonts w:ascii="宋体" w:hAnsi="宋体" w:cs="宋体"/>
          <w:b/>
          <w:bCs/>
          <w:color w:val="auto"/>
          <w:sz w:val="44"/>
          <w:szCs w:val="44"/>
        </w:rPr>
      </w:pPr>
    </w:p>
    <w:p w14:paraId="03836CBF">
      <w:pPr>
        <w:jc w:val="center"/>
        <w:rPr>
          <w:rFonts w:hint="eastAsia" w:ascii="宋体" w:hAnsi="宋体" w:cs="宋体"/>
          <w:b/>
          <w:bCs/>
          <w:color w:val="auto"/>
          <w:sz w:val="44"/>
          <w:szCs w:val="44"/>
        </w:rPr>
      </w:pPr>
      <w:r>
        <w:rPr>
          <w:rFonts w:hint="eastAsia" w:ascii="宋体" w:hAnsi="宋体" w:cs="宋体"/>
          <w:b/>
          <w:bCs/>
          <w:color w:val="auto"/>
          <w:sz w:val="44"/>
          <w:szCs w:val="44"/>
        </w:rPr>
        <w:t>中国石化销售股份有限公司</w:t>
      </w:r>
    </w:p>
    <w:p w14:paraId="6F540244">
      <w:pPr>
        <w:jc w:val="center"/>
        <w:rPr>
          <w:rFonts w:hint="eastAsia" w:ascii="宋体" w:hAnsi="宋体" w:eastAsia="宋体" w:cs="宋体"/>
          <w:b/>
          <w:bCs/>
          <w:color w:val="auto"/>
          <w:sz w:val="44"/>
          <w:szCs w:val="44"/>
          <w:lang w:eastAsia="zh-CN"/>
        </w:rPr>
      </w:pPr>
      <w:r>
        <w:rPr>
          <w:rFonts w:hint="eastAsia" w:ascii="宋体" w:hAnsi="宋体" w:cs="宋体"/>
          <w:b/>
          <w:bCs/>
          <w:color w:val="auto"/>
          <w:sz w:val="44"/>
          <w:szCs w:val="44"/>
        </w:rPr>
        <w:t>江西赣州</w:t>
      </w:r>
      <w:r>
        <w:rPr>
          <w:rFonts w:hint="eastAsia" w:ascii="宋体" w:hAnsi="宋体" w:cs="宋体"/>
          <w:b/>
          <w:bCs/>
          <w:color w:val="auto"/>
          <w:sz w:val="44"/>
          <w:szCs w:val="44"/>
          <w:lang w:eastAsia="zh-CN"/>
        </w:rPr>
        <w:t>兴国石油分公司江背加油站</w:t>
      </w:r>
    </w:p>
    <w:p w14:paraId="40FD5D09">
      <w:pPr>
        <w:jc w:val="center"/>
        <w:rPr>
          <w:rFonts w:hint="eastAsia" w:ascii="宋体" w:hAnsi="宋体" w:cs="宋体"/>
          <w:b/>
          <w:bCs/>
          <w:color w:val="auto"/>
          <w:sz w:val="44"/>
          <w:szCs w:val="44"/>
        </w:rPr>
      </w:pPr>
      <w:r>
        <w:rPr>
          <w:rFonts w:hint="eastAsia" w:ascii="宋体" w:hAnsi="宋体" w:cs="宋体"/>
          <w:b/>
          <w:bCs/>
          <w:color w:val="auto"/>
          <w:sz w:val="44"/>
          <w:szCs w:val="44"/>
        </w:rPr>
        <w:t>安全设施符合性诊断及整改设计</w:t>
      </w:r>
    </w:p>
    <w:p w14:paraId="0ADAC841">
      <w:pPr>
        <w:jc w:val="center"/>
        <w:rPr>
          <w:rFonts w:ascii="宋体" w:cs="Times New Roman"/>
          <w:b/>
          <w:bCs/>
          <w:color w:val="auto"/>
          <w:sz w:val="44"/>
          <w:szCs w:val="44"/>
        </w:rPr>
      </w:pPr>
      <w:r>
        <w:rPr>
          <w:rFonts w:hint="eastAsia" w:ascii="宋体" w:hAnsi="宋体" w:eastAsia="宋体" w:cs="宋体"/>
          <w:b/>
          <w:bCs/>
          <w:color w:val="auto"/>
          <w:sz w:val="44"/>
          <w:szCs w:val="44"/>
        </w:rPr>
        <w:t>安全设施竣工</w:t>
      </w:r>
      <w:r>
        <w:rPr>
          <w:rFonts w:hint="eastAsia" w:ascii="宋体" w:hAnsi="宋体" w:cs="宋体"/>
          <w:b/>
          <w:bCs/>
          <w:color w:val="auto"/>
          <w:sz w:val="44"/>
          <w:szCs w:val="44"/>
        </w:rPr>
        <w:t>验收评价报告</w:t>
      </w:r>
    </w:p>
    <w:p w14:paraId="55B64135">
      <w:pPr>
        <w:pStyle w:val="33"/>
        <w:jc w:val="center"/>
        <w:rPr>
          <w:rFonts w:hint="eastAsia" w:hAnsi="宋体" w:eastAsia="宋体" w:cs="Times New Roman"/>
          <w:b/>
          <w:bCs/>
          <w:color w:val="auto"/>
          <w:sz w:val="44"/>
          <w:szCs w:val="44"/>
          <w:lang w:eastAsia="zh-CN"/>
        </w:rPr>
      </w:pPr>
      <w:r>
        <w:rPr>
          <w:rFonts w:hint="eastAsia" w:hAnsi="宋体" w:cs="Times New Roman"/>
          <w:b/>
          <w:bCs/>
          <w:color w:val="auto"/>
          <w:sz w:val="44"/>
          <w:szCs w:val="44"/>
          <w:lang w:eastAsia="zh-CN"/>
        </w:rPr>
        <w:t>（</w:t>
      </w:r>
      <w:r>
        <w:rPr>
          <w:rFonts w:hint="eastAsia" w:hAnsi="宋体" w:cs="Times New Roman"/>
          <w:b/>
          <w:bCs/>
          <w:color w:val="auto"/>
          <w:sz w:val="44"/>
          <w:szCs w:val="44"/>
          <w:lang w:val="en-US" w:eastAsia="zh-CN"/>
        </w:rPr>
        <w:t>终稿</w:t>
      </w:r>
      <w:r>
        <w:rPr>
          <w:rFonts w:hint="eastAsia" w:hAnsi="宋体" w:cs="Times New Roman"/>
          <w:b/>
          <w:bCs/>
          <w:color w:val="auto"/>
          <w:sz w:val="44"/>
          <w:szCs w:val="44"/>
          <w:lang w:eastAsia="zh-CN"/>
        </w:rPr>
        <w:t>）</w:t>
      </w:r>
    </w:p>
    <w:p w14:paraId="76581743">
      <w:pPr>
        <w:pStyle w:val="33"/>
        <w:jc w:val="center"/>
        <w:rPr>
          <w:rFonts w:hAnsi="宋体" w:cs="Times New Roman"/>
          <w:b/>
          <w:bCs/>
          <w:color w:val="auto"/>
          <w:sz w:val="44"/>
          <w:szCs w:val="44"/>
        </w:rPr>
      </w:pPr>
    </w:p>
    <w:p w14:paraId="740017B8">
      <w:pPr>
        <w:pStyle w:val="33"/>
        <w:jc w:val="center"/>
        <w:rPr>
          <w:rFonts w:hAnsi="宋体" w:cs="Times New Roman"/>
          <w:b/>
          <w:bCs/>
          <w:color w:val="auto"/>
          <w:sz w:val="44"/>
          <w:szCs w:val="44"/>
        </w:rPr>
      </w:pPr>
    </w:p>
    <w:p w14:paraId="40EA031A">
      <w:pPr>
        <w:pStyle w:val="33"/>
        <w:jc w:val="center"/>
        <w:rPr>
          <w:rFonts w:hAnsi="宋体" w:cs="Times New Roman"/>
          <w:b/>
          <w:bCs/>
          <w:color w:val="auto"/>
          <w:sz w:val="44"/>
          <w:szCs w:val="44"/>
        </w:rPr>
      </w:pPr>
    </w:p>
    <w:p w14:paraId="0128A738">
      <w:pPr>
        <w:spacing w:line="600" w:lineRule="atLeast"/>
        <w:ind w:firstLine="1285" w:firstLineChars="400"/>
        <w:jc w:val="left"/>
        <w:rPr>
          <w:rFonts w:ascii="仿宋" w:hAnsi="仿宋" w:eastAsia="仿宋" w:cs="仿宋"/>
          <w:b/>
          <w:bCs/>
          <w:color w:val="auto"/>
          <w:sz w:val="32"/>
          <w:szCs w:val="32"/>
        </w:rPr>
      </w:pPr>
      <w:r>
        <w:rPr>
          <w:rFonts w:hint="eastAsia" w:ascii="仿宋" w:hAnsi="仿宋" w:eastAsia="仿宋" w:cs="仿宋"/>
          <w:b/>
          <w:bCs/>
          <w:color w:val="auto"/>
          <w:sz w:val="32"/>
          <w:szCs w:val="32"/>
        </w:rPr>
        <w:t>建设单位：中国石化销售股份有限公司</w:t>
      </w:r>
    </w:p>
    <w:p w14:paraId="161A62C2">
      <w:pPr>
        <w:spacing w:line="600" w:lineRule="atLeast"/>
        <w:ind w:firstLine="2891" w:firstLineChars="900"/>
        <w:jc w:val="left"/>
        <w:rPr>
          <w:rFonts w:hint="eastAsia" w:ascii="仿宋" w:hAnsi="仿宋" w:eastAsia="仿宋" w:cs="Times New Roman"/>
          <w:b/>
          <w:bCs/>
          <w:color w:val="auto"/>
          <w:sz w:val="32"/>
          <w:szCs w:val="32"/>
          <w:lang w:eastAsia="zh-CN"/>
        </w:rPr>
      </w:pPr>
      <w:r>
        <w:rPr>
          <w:rFonts w:hint="eastAsia" w:ascii="仿宋" w:hAnsi="仿宋" w:eastAsia="仿宋" w:cs="仿宋"/>
          <w:b/>
          <w:bCs/>
          <w:color w:val="auto"/>
          <w:sz w:val="32"/>
          <w:szCs w:val="32"/>
        </w:rPr>
        <w:t>江西赣州</w:t>
      </w:r>
      <w:r>
        <w:rPr>
          <w:rFonts w:hint="eastAsia" w:ascii="仿宋" w:hAnsi="仿宋" w:eastAsia="仿宋" w:cs="仿宋"/>
          <w:b/>
          <w:bCs/>
          <w:color w:val="auto"/>
          <w:sz w:val="32"/>
          <w:szCs w:val="32"/>
          <w:lang w:eastAsia="zh-CN"/>
        </w:rPr>
        <w:t>兴国石油分公司江背加油站</w:t>
      </w:r>
    </w:p>
    <w:p w14:paraId="01F65DDD">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建设单位负责人：</w:t>
      </w:r>
      <w:r>
        <w:rPr>
          <w:rFonts w:hint="eastAsia" w:ascii="仿宋" w:hAnsi="仿宋" w:eastAsia="仿宋" w:cs="仿宋"/>
          <w:b/>
          <w:bCs/>
          <w:color w:val="auto"/>
          <w:sz w:val="32"/>
          <w:szCs w:val="32"/>
          <w:lang w:eastAsia="zh-CN"/>
        </w:rPr>
        <w:t>李子丰</w:t>
      </w:r>
    </w:p>
    <w:p w14:paraId="69D4FC4B">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建设项目单位主要负责人：</w:t>
      </w:r>
      <w:r>
        <w:rPr>
          <w:rFonts w:hint="eastAsia" w:ascii="仿宋" w:hAnsi="仿宋" w:eastAsia="仿宋" w:cs="仿宋"/>
          <w:b/>
          <w:bCs/>
          <w:color w:val="auto"/>
          <w:sz w:val="32"/>
          <w:szCs w:val="32"/>
          <w:lang w:eastAsia="zh-CN"/>
        </w:rPr>
        <w:t>江礼香</w:t>
      </w:r>
    </w:p>
    <w:p w14:paraId="0A1CC2AC">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建设项目单位联系人：</w:t>
      </w:r>
      <w:r>
        <w:rPr>
          <w:rFonts w:hint="eastAsia" w:ascii="仿宋" w:hAnsi="仿宋" w:eastAsia="仿宋" w:cs="仿宋"/>
          <w:b/>
          <w:bCs/>
          <w:color w:val="auto"/>
          <w:sz w:val="32"/>
          <w:szCs w:val="32"/>
          <w:lang w:eastAsia="zh-CN"/>
        </w:rPr>
        <w:t>江礼香</w:t>
      </w:r>
    </w:p>
    <w:p w14:paraId="7051593B">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建设项目单位联系电话：</w:t>
      </w:r>
    </w:p>
    <w:p w14:paraId="67A443B0">
      <w:pPr>
        <w:spacing w:line="600" w:lineRule="atLeast"/>
        <w:ind w:firstLine="1285" w:firstLineChars="400"/>
        <w:jc w:val="left"/>
        <w:rPr>
          <w:rFonts w:ascii="仿宋" w:hAnsi="仿宋" w:eastAsia="仿宋" w:cs="仿宋"/>
          <w:b/>
          <w:bCs/>
          <w:color w:val="auto"/>
          <w:sz w:val="32"/>
          <w:szCs w:val="32"/>
        </w:rPr>
      </w:pPr>
    </w:p>
    <w:p w14:paraId="2E0319A2">
      <w:pPr>
        <w:spacing w:line="600" w:lineRule="exact"/>
        <w:jc w:val="center"/>
        <w:rPr>
          <w:rFonts w:hAnsi="宋体" w:cs="Times New Roman"/>
          <w:b/>
          <w:bCs/>
          <w:color w:val="auto"/>
          <w:sz w:val="44"/>
          <w:szCs w:val="44"/>
        </w:rPr>
      </w:pPr>
    </w:p>
    <w:p w14:paraId="0BFC0738">
      <w:pPr>
        <w:spacing w:line="640" w:lineRule="exact"/>
        <w:jc w:val="center"/>
        <w:rPr>
          <w:rFonts w:ascii="Times New Roman" w:hAnsi="Times New Roman" w:cs="Times New Roman"/>
          <w:b/>
          <w:bCs/>
          <w:color w:val="auto"/>
          <w:sz w:val="32"/>
          <w:szCs w:val="32"/>
        </w:rPr>
      </w:pPr>
    </w:p>
    <w:p w14:paraId="59DB540F">
      <w:pPr>
        <w:spacing w:line="640" w:lineRule="exact"/>
        <w:jc w:val="center"/>
        <w:rPr>
          <w:rFonts w:ascii="Times New Roman" w:hAnsi="Times New Roman" w:cs="Times New Roman"/>
          <w:b/>
          <w:bCs/>
          <w:color w:val="auto"/>
          <w:sz w:val="32"/>
          <w:szCs w:val="32"/>
        </w:rPr>
      </w:pPr>
      <w:r>
        <w:rPr>
          <w:rFonts w:hint="eastAsia" w:ascii="Times New Roman" w:hAnsi="Times New Roman" w:cs="Times New Roman"/>
          <w:b/>
          <w:bCs/>
          <w:color w:val="auto"/>
          <w:sz w:val="32"/>
          <w:szCs w:val="32"/>
        </w:rPr>
        <w:t>202</w:t>
      </w:r>
      <w:r>
        <w:rPr>
          <w:rFonts w:hint="eastAsia" w:ascii="Times New Roman" w:hAnsi="Times New Roman" w:cs="Times New Roman"/>
          <w:b/>
          <w:bCs/>
          <w:color w:val="auto"/>
          <w:sz w:val="32"/>
          <w:szCs w:val="32"/>
          <w:lang w:val="en-US" w:eastAsia="zh-CN"/>
        </w:rPr>
        <w:t>6</w:t>
      </w:r>
      <w:r>
        <w:rPr>
          <w:rFonts w:hint="eastAsia" w:ascii="Times New Roman" w:hAnsi="Times New Roman" w:cs="Times New Roman"/>
          <w:b/>
          <w:bCs/>
          <w:color w:val="auto"/>
          <w:sz w:val="32"/>
          <w:szCs w:val="32"/>
        </w:rPr>
        <w:t>年</w:t>
      </w:r>
      <w:r>
        <w:rPr>
          <w:rFonts w:hint="eastAsia" w:ascii="Times New Roman" w:hAnsi="Times New Roman" w:cs="Times New Roman"/>
          <w:b/>
          <w:bCs/>
          <w:color w:val="auto"/>
          <w:sz w:val="32"/>
          <w:szCs w:val="32"/>
          <w:lang w:val="en-US" w:eastAsia="zh-CN"/>
        </w:rPr>
        <w:t>5</w:t>
      </w:r>
      <w:r>
        <w:rPr>
          <w:rFonts w:hint="eastAsia" w:ascii="Times New Roman" w:hAnsi="Times New Roman" w:cs="Times New Roman"/>
          <w:b/>
          <w:bCs/>
          <w:color w:val="auto"/>
          <w:sz w:val="32"/>
          <w:szCs w:val="32"/>
        </w:rPr>
        <w:t>月</w:t>
      </w:r>
    </w:p>
    <w:p w14:paraId="4F573034">
      <w:pPr>
        <w:jc w:val="center"/>
        <w:rPr>
          <w:rFonts w:ascii="Times New Roman" w:hAnsi="Times New Roman" w:cs="Times New Roman"/>
          <w:b/>
          <w:bCs/>
          <w:color w:val="auto"/>
          <w:sz w:val="32"/>
          <w:szCs w:val="32"/>
        </w:rPr>
        <w:sectPr>
          <w:headerReference r:id="rId4" w:type="first"/>
          <w:headerReference r:id="rId3" w:type="default"/>
          <w:footerReference r:id="rId5" w:type="default"/>
          <w:pgSz w:w="11906" w:h="16838"/>
          <w:pgMar w:top="1418" w:right="1418" w:bottom="1418" w:left="1418" w:header="851" w:footer="992" w:gutter="0"/>
          <w:pgNumType w:fmt="upperRoman" w:start="1"/>
          <w:cols w:space="720" w:num="1"/>
          <w:titlePg/>
          <w:docGrid w:type="lines" w:linePitch="312" w:charSpace="0"/>
        </w:sectPr>
      </w:pPr>
    </w:p>
    <w:p w14:paraId="5597BDA9">
      <w:pPr>
        <w:jc w:val="center"/>
        <w:rPr>
          <w:rFonts w:ascii="Times New Roman" w:hAnsi="Times New Roman" w:cs="宋体"/>
          <w:b/>
          <w:bCs/>
          <w:color w:val="auto"/>
          <w:sz w:val="32"/>
          <w:szCs w:val="32"/>
        </w:rPr>
      </w:pPr>
    </w:p>
    <w:p w14:paraId="776B2448">
      <w:pPr>
        <w:jc w:val="center"/>
        <w:rPr>
          <w:rFonts w:ascii="Times New Roman" w:hAnsi="Times New Roman" w:cs="宋体"/>
          <w:b/>
          <w:bCs/>
          <w:color w:val="auto"/>
          <w:sz w:val="32"/>
          <w:szCs w:val="32"/>
        </w:rPr>
      </w:pPr>
    </w:p>
    <w:p w14:paraId="3D29752B">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中国石化销售股份有限公司</w:t>
      </w:r>
    </w:p>
    <w:p w14:paraId="183FBDFE">
      <w:pPr>
        <w:jc w:val="center"/>
        <w:rPr>
          <w:rFonts w:hint="eastAsia" w:ascii="Times New Roman" w:hAnsi="Times New Roman" w:eastAsia="宋体" w:cs="宋体"/>
          <w:b/>
          <w:bCs/>
          <w:color w:val="auto"/>
          <w:sz w:val="32"/>
          <w:szCs w:val="32"/>
          <w:lang w:eastAsia="zh-CN"/>
        </w:rPr>
      </w:pPr>
      <w:r>
        <w:rPr>
          <w:rFonts w:hint="eastAsia" w:ascii="Times New Roman" w:hAnsi="Times New Roman" w:cs="宋体"/>
          <w:b/>
          <w:bCs/>
          <w:color w:val="auto"/>
          <w:sz w:val="32"/>
          <w:szCs w:val="32"/>
        </w:rPr>
        <w:t>江西赣州</w:t>
      </w:r>
      <w:r>
        <w:rPr>
          <w:rFonts w:hint="eastAsia" w:ascii="Times New Roman" w:hAnsi="Times New Roman" w:cs="宋体"/>
          <w:b/>
          <w:bCs/>
          <w:color w:val="auto"/>
          <w:sz w:val="32"/>
          <w:szCs w:val="32"/>
          <w:lang w:eastAsia="zh-CN"/>
        </w:rPr>
        <w:t>兴国石油分公司江背加油站</w:t>
      </w:r>
    </w:p>
    <w:p w14:paraId="30DE7FAD">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安全设施符合性诊断及整改设计</w:t>
      </w:r>
    </w:p>
    <w:p w14:paraId="0C9C7F98">
      <w:pPr>
        <w:jc w:val="center"/>
        <w:rPr>
          <w:rFonts w:hint="eastAsia" w:ascii="Times New Roman" w:hAnsi="Times New Roman" w:cs="宋体"/>
          <w:b/>
          <w:bCs/>
          <w:color w:val="auto"/>
          <w:sz w:val="32"/>
          <w:szCs w:val="32"/>
        </w:rPr>
      </w:pPr>
      <w:r>
        <w:rPr>
          <w:rFonts w:hint="eastAsia" w:ascii="Times New Roman" w:hAnsi="Times New Roman" w:cs="宋体"/>
          <w:b/>
          <w:bCs/>
          <w:color w:val="auto"/>
          <w:sz w:val="32"/>
          <w:szCs w:val="32"/>
        </w:rPr>
        <w:t>安全设施竣工验收评价报告</w:t>
      </w:r>
    </w:p>
    <w:p w14:paraId="154E6CB8">
      <w:pPr>
        <w:jc w:val="center"/>
        <w:rPr>
          <w:rFonts w:hint="eastAsia" w:ascii="Times New Roman" w:hAnsi="Times New Roman" w:eastAsia="宋体" w:cs="Times New Roman"/>
          <w:b/>
          <w:bCs/>
          <w:color w:val="auto"/>
          <w:sz w:val="32"/>
          <w:szCs w:val="32"/>
          <w:lang w:eastAsia="zh-CN"/>
        </w:rPr>
      </w:pPr>
      <w:r>
        <w:rPr>
          <w:rFonts w:hint="eastAsia" w:ascii="Times New Roman" w:hAnsi="Times New Roman" w:cs="宋体"/>
          <w:b/>
          <w:bCs/>
          <w:color w:val="auto"/>
          <w:sz w:val="32"/>
          <w:szCs w:val="32"/>
          <w:lang w:eastAsia="zh-CN"/>
        </w:rPr>
        <w:t>（</w:t>
      </w:r>
      <w:r>
        <w:rPr>
          <w:rFonts w:hint="eastAsia" w:ascii="Times New Roman" w:hAnsi="Times New Roman" w:cs="宋体"/>
          <w:b/>
          <w:bCs/>
          <w:color w:val="auto"/>
          <w:sz w:val="32"/>
          <w:szCs w:val="32"/>
          <w:lang w:val="en-US" w:eastAsia="zh-CN"/>
        </w:rPr>
        <w:t>终稿</w:t>
      </w:r>
      <w:r>
        <w:rPr>
          <w:rFonts w:hint="eastAsia" w:ascii="Times New Roman" w:hAnsi="Times New Roman" w:cs="宋体"/>
          <w:b/>
          <w:bCs/>
          <w:color w:val="auto"/>
          <w:sz w:val="32"/>
          <w:szCs w:val="32"/>
          <w:lang w:eastAsia="zh-CN"/>
        </w:rPr>
        <w:t>）</w:t>
      </w:r>
    </w:p>
    <w:p w14:paraId="1DE84B23">
      <w:pPr>
        <w:pStyle w:val="33"/>
        <w:rPr>
          <w:color w:val="auto"/>
        </w:rPr>
      </w:pPr>
    </w:p>
    <w:p w14:paraId="7777510D">
      <w:pPr>
        <w:pStyle w:val="33"/>
        <w:jc w:val="center"/>
        <w:rPr>
          <w:rFonts w:cs="Times New Roman"/>
          <w:color w:val="auto"/>
        </w:rPr>
      </w:pPr>
    </w:p>
    <w:p w14:paraId="40DBA430">
      <w:pPr>
        <w:jc w:val="center"/>
        <w:rPr>
          <w:rFonts w:ascii="Times New Roman" w:hAnsi="Times New Roman" w:cs="Times New Roman"/>
          <w:color w:val="auto"/>
          <w:sz w:val="28"/>
          <w:szCs w:val="28"/>
        </w:rPr>
      </w:pPr>
    </w:p>
    <w:p w14:paraId="79CC6689">
      <w:pPr>
        <w:spacing w:line="360" w:lineRule="auto"/>
        <w:ind w:firstLine="640" w:firstLineChars="200"/>
        <w:rPr>
          <w:rFonts w:hint="eastAsia" w:eastAsia="宋体"/>
          <w:color w:val="auto"/>
          <w:kern w:val="0"/>
          <w:sz w:val="32"/>
          <w:szCs w:val="32"/>
          <w:lang w:eastAsia="zh-CN"/>
        </w:rPr>
      </w:pPr>
      <w:r>
        <w:rPr>
          <w:color w:val="auto"/>
          <w:kern w:val="0"/>
          <w:sz w:val="32"/>
          <w:szCs w:val="32"/>
        </w:rPr>
        <w:t>评价机构名称：</w:t>
      </w:r>
      <w:r>
        <w:rPr>
          <w:rFonts w:hint="eastAsia"/>
          <w:color w:val="auto"/>
          <w:kern w:val="0"/>
          <w:sz w:val="32"/>
          <w:szCs w:val="32"/>
          <w:lang w:eastAsia="zh-CN"/>
        </w:rPr>
        <w:t>江西赣安安全生产科学技术咨询服务中心</w:t>
      </w:r>
    </w:p>
    <w:p w14:paraId="09D7E6D3">
      <w:pPr>
        <w:spacing w:line="360" w:lineRule="auto"/>
        <w:ind w:firstLine="640" w:firstLineChars="200"/>
        <w:rPr>
          <w:rFonts w:hint="eastAsia" w:eastAsia="宋体"/>
          <w:color w:val="auto"/>
          <w:kern w:val="0"/>
          <w:sz w:val="32"/>
          <w:szCs w:val="32"/>
          <w:lang w:eastAsia="zh-CN"/>
        </w:rPr>
      </w:pPr>
      <w:r>
        <w:rPr>
          <w:color w:val="auto"/>
          <w:kern w:val="0"/>
          <w:sz w:val="32"/>
          <w:szCs w:val="32"/>
        </w:rPr>
        <w:t>资质证书编号：</w:t>
      </w:r>
      <w:r>
        <w:rPr>
          <w:rFonts w:hint="eastAsia"/>
          <w:color w:val="auto"/>
          <w:kern w:val="0"/>
          <w:sz w:val="32"/>
          <w:szCs w:val="32"/>
        </w:rPr>
        <w:t>APJ-（赣）-00</w:t>
      </w:r>
      <w:r>
        <w:rPr>
          <w:rFonts w:hint="eastAsia"/>
          <w:color w:val="auto"/>
          <w:kern w:val="0"/>
          <w:sz w:val="32"/>
          <w:szCs w:val="32"/>
          <w:lang w:val="en-US" w:eastAsia="zh-CN"/>
        </w:rPr>
        <w:t>2</w:t>
      </w:r>
    </w:p>
    <w:p w14:paraId="69AC7B64">
      <w:pPr>
        <w:spacing w:line="360" w:lineRule="auto"/>
        <w:ind w:firstLine="640" w:firstLineChars="200"/>
        <w:rPr>
          <w:rFonts w:hint="eastAsia"/>
          <w:color w:val="auto"/>
          <w:kern w:val="0"/>
          <w:sz w:val="32"/>
          <w:szCs w:val="32"/>
        </w:rPr>
      </w:pPr>
      <w:r>
        <w:rPr>
          <w:rFonts w:hint="eastAsia"/>
          <w:color w:val="auto"/>
          <w:kern w:val="0"/>
          <w:sz w:val="32"/>
          <w:szCs w:val="32"/>
        </w:rPr>
        <w:t>法定代表人：应  宏</w:t>
      </w:r>
    </w:p>
    <w:p w14:paraId="45EB0760">
      <w:pPr>
        <w:spacing w:line="360" w:lineRule="auto"/>
        <w:ind w:firstLine="640" w:firstLineChars="200"/>
        <w:rPr>
          <w:rFonts w:hint="eastAsia"/>
          <w:color w:val="auto"/>
          <w:kern w:val="0"/>
          <w:sz w:val="32"/>
          <w:szCs w:val="32"/>
        </w:rPr>
      </w:pPr>
      <w:r>
        <w:rPr>
          <w:rFonts w:hint="eastAsia"/>
          <w:color w:val="auto"/>
          <w:kern w:val="0"/>
          <w:sz w:val="32"/>
          <w:szCs w:val="32"/>
        </w:rPr>
        <w:t>技术负责人：周红波</w:t>
      </w:r>
    </w:p>
    <w:p w14:paraId="4E5B8960">
      <w:pPr>
        <w:spacing w:line="360" w:lineRule="auto"/>
        <w:ind w:firstLine="640" w:firstLineChars="200"/>
        <w:rPr>
          <w:color w:val="auto"/>
          <w:kern w:val="0"/>
          <w:sz w:val="32"/>
          <w:szCs w:val="32"/>
        </w:rPr>
      </w:pPr>
      <w:r>
        <w:rPr>
          <w:rFonts w:hint="eastAsia"/>
          <w:color w:val="auto"/>
          <w:kern w:val="0"/>
          <w:sz w:val="32"/>
          <w:szCs w:val="32"/>
        </w:rPr>
        <w:t>项目负责人：郑  强</w:t>
      </w:r>
    </w:p>
    <w:p w14:paraId="036C6E9B">
      <w:pPr>
        <w:spacing w:line="360" w:lineRule="auto"/>
        <w:rPr>
          <w:color w:val="auto"/>
          <w:kern w:val="0"/>
          <w:sz w:val="32"/>
          <w:szCs w:val="32"/>
        </w:rPr>
      </w:pPr>
    </w:p>
    <w:p w14:paraId="3131A0DB">
      <w:pPr>
        <w:spacing w:line="360" w:lineRule="auto"/>
        <w:rPr>
          <w:color w:val="auto"/>
          <w:kern w:val="0"/>
          <w:sz w:val="32"/>
          <w:szCs w:val="32"/>
        </w:rPr>
      </w:pPr>
    </w:p>
    <w:p w14:paraId="79D839B8">
      <w:pPr>
        <w:spacing w:line="360" w:lineRule="auto"/>
        <w:rPr>
          <w:color w:val="auto"/>
          <w:kern w:val="0"/>
          <w:sz w:val="32"/>
          <w:szCs w:val="32"/>
        </w:rPr>
      </w:pPr>
    </w:p>
    <w:p w14:paraId="6E0E4B06">
      <w:pPr>
        <w:spacing w:line="360" w:lineRule="auto"/>
        <w:jc w:val="center"/>
        <w:rPr>
          <w:rFonts w:hint="eastAsia" w:eastAsia="宋体"/>
          <w:b/>
          <w:bCs/>
          <w:color w:val="auto"/>
          <w:kern w:val="0"/>
          <w:sz w:val="32"/>
          <w:szCs w:val="32"/>
          <w:lang w:eastAsia="zh-CN"/>
        </w:rPr>
      </w:pPr>
      <w:r>
        <w:rPr>
          <w:rFonts w:hint="eastAsia"/>
          <w:b/>
          <w:bCs/>
          <w:color w:val="auto"/>
          <w:kern w:val="0"/>
          <w:sz w:val="32"/>
          <w:szCs w:val="32"/>
          <w:lang w:eastAsia="zh-CN"/>
        </w:rPr>
        <w:t>江西赣安安全生产科学技术咨询服务中心</w:t>
      </w:r>
    </w:p>
    <w:p w14:paraId="663BD02B">
      <w:pPr>
        <w:spacing w:line="360" w:lineRule="auto"/>
        <w:jc w:val="center"/>
        <w:rPr>
          <w:b/>
          <w:color w:val="auto"/>
          <w:kern w:val="0"/>
          <w:sz w:val="32"/>
          <w:szCs w:val="32"/>
        </w:rPr>
      </w:pPr>
      <w:r>
        <w:rPr>
          <w:rFonts w:hint="eastAsia"/>
          <w:b/>
          <w:color w:val="auto"/>
          <w:kern w:val="0"/>
          <w:sz w:val="32"/>
          <w:szCs w:val="32"/>
        </w:rPr>
        <w:t>202</w:t>
      </w:r>
      <w:r>
        <w:rPr>
          <w:rFonts w:hint="eastAsia"/>
          <w:b/>
          <w:color w:val="auto"/>
          <w:kern w:val="0"/>
          <w:sz w:val="32"/>
          <w:szCs w:val="32"/>
          <w:lang w:val="en-US" w:eastAsia="zh-CN"/>
        </w:rPr>
        <w:t>6</w:t>
      </w:r>
      <w:r>
        <w:rPr>
          <w:rFonts w:hint="eastAsia"/>
          <w:b/>
          <w:color w:val="auto"/>
          <w:kern w:val="0"/>
          <w:sz w:val="32"/>
          <w:szCs w:val="32"/>
        </w:rPr>
        <w:t>年</w:t>
      </w:r>
      <w:r>
        <w:rPr>
          <w:rFonts w:hint="eastAsia"/>
          <w:b/>
          <w:color w:val="auto"/>
          <w:kern w:val="0"/>
          <w:sz w:val="32"/>
          <w:szCs w:val="32"/>
          <w:lang w:val="en-US" w:eastAsia="zh-CN"/>
        </w:rPr>
        <w:t>5</w:t>
      </w:r>
      <w:r>
        <w:rPr>
          <w:rFonts w:hint="eastAsia"/>
          <w:b/>
          <w:color w:val="auto"/>
          <w:kern w:val="0"/>
          <w:sz w:val="32"/>
          <w:szCs w:val="32"/>
        </w:rPr>
        <w:t>月</w:t>
      </w:r>
    </w:p>
    <w:p w14:paraId="523FDE00">
      <w:pPr>
        <w:jc w:val="center"/>
        <w:rPr>
          <w:rFonts w:eastAsia="黑体"/>
          <w:color w:val="auto"/>
          <w:sz w:val="36"/>
        </w:rPr>
      </w:pPr>
    </w:p>
    <w:p w14:paraId="0AA5AEE4">
      <w:pPr>
        <w:rPr>
          <w:color w:val="auto"/>
        </w:rPr>
      </w:pPr>
    </w:p>
    <w:p w14:paraId="287A14CB">
      <w:pPr>
        <w:jc w:val="center"/>
        <w:rPr>
          <w:rFonts w:ascii="Times New Roman" w:hAnsi="Times New Roman" w:cs="宋体"/>
          <w:b/>
          <w:bCs/>
          <w:color w:val="auto"/>
          <w:sz w:val="32"/>
          <w:szCs w:val="32"/>
        </w:rPr>
      </w:pPr>
    </w:p>
    <w:p w14:paraId="63224AE4">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中国石化销售股份有限公司</w:t>
      </w:r>
    </w:p>
    <w:p w14:paraId="7BC4801C">
      <w:pPr>
        <w:jc w:val="center"/>
        <w:rPr>
          <w:rFonts w:hint="eastAsia" w:ascii="Times New Roman" w:hAnsi="Times New Roman" w:eastAsia="宋体" w:cs="宋体"/>
          <w:b/>
          <w:bCs/>
          <w:color w:val="auto"/>
          <w:sz w:val="32"/>
          <w:szCs w:val="32"/>
          <w:lang w:eastAsia="zh-CN"/>
        </w:rPr>
      </w:pPr>
      <w:r>
        <w:rPr>
          <w:rFonts w:hint="eastAsia" w:ascii="Times New Roman" w:hAnsi="Times New Roman" w:cs="宋体"/>
          <w:b/>
          <w:bCs/>
          <w:color w:val="auto"/>
          <w:sz w:val="32"/>
          <w:szCs w:val="32"/>
        </w:rPr>
        <w:t>江西赣州</w:t>
      </w:r>
      <w:r>
        <w:rPr>
          <w:rFonts w:hint="eastAsia" w:ascii="Times New Roman" w:hAnsi="Times New Roman" w:cs="宋体"/>
          <w:b/>
          <w:bCs/>
          <w:color w:val="auto"/>
          <w:sz w:val="32"/>
          <w:szCs w:val="32"/>
          <w:lang w:eastAsia="zh-CN"/>
        </w:rPr>
        <w:t>兴国石油分公司江背加油站</w:t>
      </w:r>
    </w:p>
    <w:p w14:paraId="438CF907">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安全设施符合性诊断及整改设计</w:t>
      </w:r>
    </w:p>
    <w:p w14:paraId="4CA81001">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安全设施竣工验收评价技术服务承诺书</w:t>
      </w:r>
    </w:p>
    <w:p w14:paraId="3D6912CC">
      <w:pPr>
        <w:jc w:val="center"/>
        <w:rPr>
          <w:rFonts w:ascii="Times New Roman" w:hAnsi="Times New Roman" w:cs="Times New Roman"/>
          <w:b/>
          <w:bCs/>
          <w:color w:val="auto"/>
          <w:kern w:val="0"/>
          <w:sz w:val="36"/>
          <w:szCs w:val="36"/>
        </w:rPr>
      </w:pPr>
    </w:p>
    <w:p w14:paraId="1E146940">
      <w:pPr>
        <w:widowControl/>
        <w:wordWrap w:val="0"/>
        <w:spacing w:line="425" w:lineRule="auto"/>
        <w:jc w:val="left"/>
        <w:rPr>
          <w:rFonts w:ascii="Times New Roman" w:hAnsi="Times New Roman" w:eastAsia="仿宋"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eastAsia="仿宋" w:cs="仿宋"/>
          <w:color w:val="auto"/>
          <w:kern w:val="0"/>
          <w:sz w:val="32"/>
          <w:szCs w:val="32"/>
        </w:rPr>
        <w:t>一、在本项目安全评价活动过程中，我单位严格遵守《安全生产法》及相关法律、法规和标准的要求。</w:t>
      </w:r>
      <w:r>
        <w:rPr>
          <w:rFonts w:ascii="Times New Roman" w:hAnsi="Times New Roman" w:eastAsia="仿宋" w:cs="Times New Roman"/>
          <w:color w:val="auto"/>
          <w:kern w:val="0"/>
          <w:sz w:val="32"/>
          <w:szCs w:val="32"/>
        </w:rPr>
        <w:t xml:space="preserve">   </w:t>
      </w:r>
    </w:p>
    <w:p w14:paraId="38FD6B46">
      <w:pPr>
        <w:widowControl/>
        <w:wordWrap w:val="0"/>
        <w:spacing w:line="425" w:lineRule="auto"/>
        <w:jc w:val="left"/>
        <w:rPr>
          <w:rFonts w:ascii="Times New Roman" w:hAnsi="Times New Roman" w:eastAsia="仿宋" w:cs="Times New Roman"/>
          <w:color w:val="auto"/>
          <w:kern w:val="0"/>
          <w:sz w:val="32"/>
          <w:szCs w:val="32"/>
        </w:rPr>
      </w:pPr>
      <w:r>
        <w:rPr>
          <w:rFonts w:ascii="Times New Roman" w:hAnsi="Times New Roman" w:eastAsia="仿宋" w:cs="Times New Roman"/>
          <w:color w:val="auto"/>
          <w:kern w:val="0"/>
          <w:sz w:val="32"/>
          <w:szCs w:val="32"/>
        </w:rPr>
        <w:t xml:space="preserve">    </w:t>
      </w:r>
      <w:r>
        <w:rPr>
          <w:rFonts w:hint="eastAsia" w:ascii="Times New Roman" w:hAnsi="Times New Roman" w:eastAsia="仿宋" w:cs="仿宋"/>
          <w:color w:val="auto"/>
          <w:kern w:val="0"/>
          <w:sz w:val="32"/>
          <w:szCs w:val="32"/>
        </w:rPr>
        <w:t>二、在本项目安全评价活动过程中，我单位作为第三方，未受到任何组织和个人的干预和影响，依法独立开展工作，保证了技术服务活动的客观公正性。</w:t>
      </w:r>
    </w:p>
    <w:p w14:paraId="6440A165">
      <w:pPr>
        <w:widowControl/>
        <w:wordWrap w:val="0"/>
        <w:spacing w:line="425" w:lineRule="auto"/>
        <w:ind w:firstLine="640" w:firstLineChars="200"/>
        <w:jc w:val="left"/>
        <w:rPr>
          <w:rFonts w:ascii="Times New Roman" w:hAnsi="Times New Roman" w:eastAsia="仿宋" w:cs="Times New Roman"/>
          <w:color w:val="auto"/>
          <w:kern w:val="0"/>
          <w:sz w:val="32"/>
          <w:szCs w:val="32"/>
        </w:rPr>
      </w:pPr>
      <w:r>
        <w:rPr>
          <w:rFonts w:hint="eastAsia" w:ascii="Times New Roman" w:hAnsi="Times New Roman" w:eastAsia="仿宋" w:cs="仿宋"/>
          <w:color w:val="auto"/>
          <w:kern w:val="0"/>
          <w:sz w:val="32"/>
          <w:szCs w:val="32"/>
        </w:rPr>
        <w:t>三、我单位按照实事求是的原则，对本项目进行安全评价，确保出具的报告均真实有效，报告所提出的措施具有针对性、有效性和可行性。</w:t>
      </w:r>
    </w:p>
    <w:p w14:paraId="58B833F9">
      <w:pPr>
        <w:widowControl/>
        <w:wordWrap w:val="0"/>
        <w:spacing w:line="425" w:lineRule="auto"/>
        <w:ind w:firstLine="640" w:firstLineChars="200"/>
        <w:jc w:val="left"/>
        <w:rPr>
          <w:rFonts w:ascii="Times New Roman" w:hAnsi="Times New Roman" w:eastAsia="仿宋" w:cs="Times New Roman"/>
          <w:color w:val="auto"/>
          <w:kern w:val="0"/>
          <w:sz w:val="32"/>
          <w:szCs w:val="32"/>
        </w:rPr>
      </w:pPr>
      <w:r>
        <w:rPr>
          <w:rFonts w:hint="eastAsia" w:ascii="Times New Roman" w:hAnsi="Times New Roman" w:eastAsia="仿宋" w:cs="仿宋"/>
          <w:color w:val="auto"/>
          <w:kern w:val="0"/>
          <w:sz w:val="32"/>
          <w:szCs w:val="32"/>
        </w:rPr>
        <w:t>四、我单位对本项目安全评价报告中结论性内容承担法律责任。</w:t>
      </w:r>
    </w:p>
    <w:p w14:paraId="0F3B2E63">
      <w:pPr>
        <w:widowControl/>
        <w:wordWrap w:val="0"/>
        <w:spacing w:before="100" w:beforeAutospacing="1" w:after="100" w:afterAutospacing="1" w:line="425" w:lineRule="auto"/>
        <w:ind w:firstLine="480"/>
        <w:jc w:val="lef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p>
    <w:p w14:paraId="460A4843">
      <w:pPr>
        <w:widowControl/>
        <w:wordWrap w:val="0"/>
        <w:spacing w:before="100" w:beforeAutospacing="1" w:after="100" w:afterAutospacing="1" w:line="425" w:lineRule="auto"/>
        <w:ind w:firstLine="480"/>
        <w:jc w:val="righ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cs="宋体"/>
          <w:color w:val="auto"/>
          <w:kern w:val="0"/>
          <w:sz w:val="32"/>
          <w:szCs w:val="32"/>
          <w:lang w:eastAsia="zh-CN"/>
        </w:rPr>
        <w:t>江西赣安安全生产科学技术咨询服务中心</w:t>
      </w:r>
      <w:r>
        <w:rPr>
          <w:rFonts w:hint="eastAsia" w:ascii="Times New Roman" w:hAnsi="Times New Roman" w:cs="宋体"/>
          <w:color w:val="auto"/>
          <w:kern w:val="0"/>
          <w:sz w:val="32"/>
          <w:szCs w:val="32"/>
        </w:rPr>
        <w:t>（公章）</w:t>
      </w:r>
    </w:p>
    <w:p w14:paraId="73311D2A">
      <w:pPr>
        <w:widowControl/>
        <w:wordWrap w:val="0"/>
        <w:spacing w:before="100" w:beforeAutospacing="1" w:after="100" w:afterAutospacing="1" w:line="425" w:lineRule="auto"/>
        <w:ind w:firstLine="480"/>
        <w:jc w:val="righ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cs="Times New Roman"/>
          <w:color w:val="auto"/>
          <w:kern w:val="0"/>
          <w:sz w:val="32"/>
          <w:szCs w:val="32"/>
        </w:rPr>
        <w:t>202</w:t>
      </w:r>
      <w:r>
        <w:rPr>
          <w:rFonts w:hint="eastAsia" w:ascii="Times New Roman" w:hAnsi="Times New Roman" w:cs="Times New Roman"/>
          <w:color w:val="auto"/>
          <w:kern w:val="0"/>
          <w:sz w:val="32"/>
          <w:szCs w:val="32"/>
          <w:lang w:val="en-US" w:eastAsia="zh-CN"/>
        </w:rPr>
        <w:t>6</w:t>
      </w:r>
      <w:r>
        <w:rPr>
          <w:rFonts w:hint="eastAsia" w:ascii="Times New Roman" w:hAnsi="Times New Roman" w:cs="Times New Roman"/>
          <w:color w:val="auto"/>
          <w:kern w:val="0"/>
          <w:sz w:val="32"/>
          <w:szCs w:val="32"/>
        </w:rPr>
        <w:t>年</w:t>
      </w:r>
      <w:r>
        <w:rPr>
          <w:rFonts w:hint="eastAsia" w:ascii="Times New Roman" w:hAnsi="Times New Roman" w:cs="Times New Roman"/>
          <w:color w:val="auto"/>
          <w:kern w:val="0"/>
          <w:sz w:val="32"/>
          <w:szCs w:val="32"/>
          <w:lang w:val="en-US" w:eastAsia="zh-CN"/>
        </w:rPr>
        <w:t>5</w:t>
      </w:r>
      <w:r>
        <w:rPr>
          <w:rFonts w:hint="eastAsia" w:ascii="Times New Roman" w:hAnsi="Times New Roman" w:cs="Times New Roman"/>
          <w:color w:val="auto"/>
          <w:kern w:val="0"/>
          <w:sz w:val="32"/>
          <w:szCs w:val="32"/>
        </w:rPr>
        <w:t>月</w:t>
      </w:r>
      <w:r>
        <w:rPr>
          <w:rFonts w:ascii="Times New Roman" w:hAnsi="Times New Roman" w:cs="Times New Roman"/>
          <w:color w:val="auto"/>
          <w:kern w:val="0"/>
          <w:sz w:val="32"/>
          <w:szCs w:val="32"/>
        </w:rPr>
        <w:t xml:space="preserve"> </w:t>
      </w:r>
    </w:p>
    <w:p w14:paraId="570F8EB2">
      <w:pPr>
        <w:rPr>
          <w:rFonts w:ascii="Times New Roman" w:hAnsi="Times New Roman" w:cs="宋体"/>
          <w:b/>
          <w:bCs/>
          <w:color w:val="auto"/>
          <w:sz w:val="36"/>
          <w:szCs w:val="36"/>
        </w:rPr>
      </w:pPr>
      <w:r>
        <w:rPr>
          <w:rFonts w:hint="eastAsia" w:ascii="Times New Roman" w:hAnsi="Times New Roman" w:cs="宋体"/>
          <w:b/>
          <w:bCs/>
          <w:color w:val="auto"/>
          <w:sz w:val="36"/>
          <w:szCs w:val="36"/>
        </w:rPr>
        <w:br w:type="page"/>
      </w:r>
    </w:p>
    <w:p w14:paraId="137B10B3">
      <w:pPr>
        <w:pStyle w:val="21"/>
        <w:spacing w:before="0" w:beforeLines="0" w:line="240" w:lineRule="auto"/>
        <w:outlineLvl w:val="9"/>
        <w:rPr>
          <w:rFonts w:ascii="宋体" w:hAnsi="宋体" w:eastAsia="宋体" w:cs="宋体"/>
          <w:color w:val="auto"/>
          <w:sz w:val="36"/>
          <w:szCs w:val="36"/>
        </w:rPr>
      </w:pPr>
    </w:p>
    <w:p w14:paraId="0B9E121A">
      <w:pPr>
        <w:pStyle w:val="21"/>
        <w:spacing w:before="0" w:beforeLines="0" w:line="240" w:lineRule="auto"/>
        <w:outlineLvl w:val="9"/>
        <w:rPr>
          <w:rFonts w:ascii="宋体" w:hAnsi="宋体" w:eastAsia="宋体" w:cs="宋体"/>
          <w:color w:val="auto"/>
          <w:sz w:val="36"/>
          <w:szCs w:val="36"/>
        </w:rPr>
      </w:pPr>
      <w:r>
        <w:rPr>
          <w:rFonts w:hint="eastAsia" w:ascii="宋体" w:hAnsi="宋体" w:eastAsia="宋体" w:cs="宋体"/>
          <w:color w:val="auto"/>
          <w:sz w:val="36"/>
          <w:szCs w:val="36"/>
        </w:rPr>
        <w:t>安全评价人员</w:t>
      </w:r>
    </w:p>
    <w:p w14:paraId="39AC3A29">
      <w:pPr>
        <w:pStyle w:val="21"/>
        <w:spacing w:before="0" w:beforeLines="0" w:line="240" w:lineRule="auto"/>
        <w:outlineLvl w:val="9"/>
        <w:rPr>
          <w:rFonts w:ascii="宋体" w:hAnsi="宋体" w:eastAsia="宋体" w:cs="宋体"/>
          <w:color w:val="auto"/>
          <w:sz w:val="36"/>
          <w:szCs w:val="36"/>
        </w:rPr>
      </w:pPr>
    </w:p>
    <w:p w14:paraId="5ECD4D4F">
      <w:pPr>
        <w:jc w:val="center"/>
        <w:rPr>
          <w:rFonts w:hint="eastAsia" w:eastAsia="黑体"/>
          <w:b/>
          <w:color w:val="auto"/>
          <w:sz w:val="32"/>
        </w:rPr>
      </w:pPr>
    </w:p>
    <w:p w14:paraId="50EEEDF3">
      <w:pPr>
        <w:jc w:val="center"/>
        <w:rPr>
          <w:rFonts w:eastAsia="黑体"/>
          <w:b/>
          <w:color w:val="auto"/>
          <w:sz w:val="32"/>
        </w:rPr>
      </w:pPr>
      <w:r>
        <w:rPr>
          <w:rFonts w:hint="eastAsia" w:eastAsia="黑体"/>
          <w:b/>
          <w:color w:val="auto"/>
          <w:sz w:val="32"/>
        </w:rPr>
        <w:t>参 与</w:t>
      </w:r>
      <w:r>
        <w:rPr>
          <w:rFonts w:eastAsia="黑体"/>
          <w:b/>
          <w:color w:val="auto"/>
          <w:sz w:val="32"/>
        </w:rPr>
        <w:t xml:space="preserve"> </w:t>
      </w:r>
      <w:r>
        <w:rPr>
          <w:rFonts w:hint="eastAsia" w:eastAsia="黑体"/>
          <w:b/>
          <w:color w:val="auto"/>
          <w:sz w:val="32"/>
        </w:rPr>
        <w:t>人</w:t>
      </w:r>
      <w:r>
        <w:rPr>
          <w:rFonts w:eastAsia="黑体"/>
          <w:b/>
          <w:color w:val="auto"/>
          <w:sz w:val="32"/>
        </w:rPr>
        <w:t xml:space="preserve"> </w:t>
      </w:r>
      <w:r>
        <w:rPr>
          <w:rFonts w:hint="eastAsia" w:eastAsia="黑体"/>
          <w:b/>
          <w:color w:val="auto"/>
          <w:sz w:val="32"/>
        </w:rPr>
        <w:t>员</w:t>
      </w:r>
    </w:p>
    <w:p w14:paraId="37C4BA3D">
      <w:pPr>
        <w:jc w:val="center"/>
        <w:rPr>
          <w:rFonts w:ascii="Times New Roman" w:hAnsi="Times New Roman" w:cs="Times New Roman"/>
          <w:b/>
          <w:bCs/>
          <w:color w:val="auto"/>
          <w:sz w:val="32"/>
          <w:szCs w:val="32"/>
        </w:rPr>
      </w:pPr>
      <w:r>
        <w:rPr>
          <w:rFonts w:eastAsia="黑体"/>
          <w:b/>
          <w:bCs/>
          <w:color w:val="auto"/>
          <w:sz w:val="32"/>
        </w:rPr>
        <w:br w:type="page"/>
      </w:r>
      <w:r>
        <w:rPr>
          <w:rFonts w:hint="eastAsia" w:ascii="Times New Roman" w:hAnsi="Times New Roman" w:cs="宋体"/>
          <w:b/>
          <w:bCs/>
          <w:color w:val="auto"/>
          <w:sz w:val="32"/>
          <w:szCs w:val="32"/>
        </w:rPr>
        <w:t xml:space="preserve">前 </w:t>
      </w:r>
      <w:r>
        <w:rPr>
          <w:rFonts w:ascii="Times New Roman" w:hAnsi="Times New Roman" w:cs="Times New Roman"/>
          <w:b/>
          <w:bCs/>
          <w:color w:val="auto"/>
          <w:sz w:val="32"/>
          <w:szCs w:val="32"/>
        </w:rPr>
        <w:t xml:space="preserve"> </w:t>
      </w:r>
      <w:r>
        <w:rPr>
          <w:rFonts w:hint="eastAsia" w:ascii="Times New Roman" w:hAnsi="Times New Roman" w:cs="Times New Roman"/>
          <w:b/>
          <w:bCs/>
          <w:color w:val="auto"/>
          <w:sz w:val="32"/>
          <w:szCs w:val="32"/>
        </w:rPr>
        <w:t xml:space="preserve">  </w:t>
      </w:r>
      <w:r>
        <w:rPr>
          <w:rFonts w:hint="eastAsia" w:ascii="Times New Roman" w:hAnsi="Times New Roman" w:cs="宋体"/>
          <w:b/>
          <w:bCs/>
          <w:color w:val="auto"/>
          <w:sz w:val="32"/>
          <w:szCs w:val="32"/>
        </w:rPr>
        <w:t>言</w:t>
      </w:r>
    </w:p>
    <w:p w14:paraId="259D3114">
      <w:pPr>
        <w:spacing w:line="600" w:lineRule="exact"/>
        <w:ind w:firstLine="560" w:firstLineChars="200"/>
        <w:rPr>
          <w:rFonts w:ascii="Times New Roman" w:hAnsi="Times New Roman" w:cs="Times New Roman"/>
          <w:color w:val="auto"/>
          <w:sz w:val="28"/>
          <w:szCs w:val="28"/>
        </w:rPr>
      </w:pPr>
    </w:p>
    <w:p w14:paraId="36A9EEAD">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中国石化销售股份有限公司江西赣州</w:t>
      </w:r>
      <w:r>
        <w:rPr>
          <w:rFonts w:hint="eastAsia" w:ascii="Times New Roman" w:hAnsi="Times New Roman" w:cs="Times New Roman"/>
          <w:color w:val="auto"/>
          <w:sz w:val="28"/>
          <w:szCs w:val="28"/>
          <w:lang w:eastAsia="zh-CN"/>
        </w:rPr>
        <w:t>兴国石油分公司江背加油站</w:t>
      </w:r>
      <w:r>
        <w:rPr>
          <w:rFonts w:ascii="Times New Roman" w:hAnsi="Times New Roman" w:cs="Times New Roman"/>
          <w:color w:val="auto"/>
          <w:sz w:val="28"/>
          <w:szCs w:val="28"/>
        </w:rPr>
        <w:t>（以下简称</w:t>
      </w:r>
      <w:r>
        <w:rPr>
          <w:rFonts w:hint="eastAsia" w:ascii="Times New Roman" w:hAnsi="Times New Roman" w:cs="Times New Roman"/>
          <w:color w:val="auto"/>
          <w:sz w:val="28"/>
          <w:szCs w:val="28"/>
        </w:rPr>
        <w:t>“</w:t>
      </w:r>
      <w:r>
        <w:rPr>
          <w:rFonts w:ascii="Times New Roman" w:hAnsi="Times New Roman" w:cs="Times New Roman"/>
          <w:color w:val="auto"/>
          <w:sz w:val="28"/>
          <w:szCs w:val="28"/>
        </w:rPr>
        <w:t>中石化</w:t>
      </w:r>
      <w:r>
        <w:rPr>
          <w:rFonts w:hint="eastAsia" w:ascii="Times New Roman" w:hAnsi="Times New Roman" w:cs="Times New Roman"/>
          <w:color w:val="auto"/>
          <w:sz w:val="28"/>
          <w:szCs w:val="28"/>
          <w:lang w:val="en-US" w:eastAsia="zh-CN"/>
        </w:rPr>
        <w:t>兴国江背加油站</w:t>
      </w:r>
      <w:r>
        <w:rPr>
          <w:rFonts w:hint="eastAsia" w:ascii="Times New Roman" w:hAnsi="Times New Roman" w:cs="Times New Roman"/>
          <w:color w:val="auto"/>
          <w:sz w:val="28"/>
          <w:szCs w:val="28"/>
        </w:rPr>
        <w:t>”</w:t>
      </w:r>
      <w:r>
        <w:rPr>
          <w:rFonts w:ascii="Times New Roman" w:hAnsi="Times New Roman" w:cs="Times New Roman"/>
          <w:color w:val="auto"/>
          <w:sz w:val="28"/>
          <w:szCs w:val="28"/>
        </w:rPr>
        <w:t>）成立时间为</w:t>
      </w:r>
      <w:r>
        <w:rPr>
          <w:rFonts w:hint="eastAsia" w:ascii="Times New Roman" w:hAnsi="Times New Roman" w:cs="Times New Roman"/>
          <w:color w:val="auto"/>
          <w:sz w:val="28"/>
          <w:szCs w:val="28"/>
        </w:rPr>
        <w:t>200</w:t>
      </w:r>
      <w:r>
        <w:rPr>
          <w:rFonts w:hint="eastAsia" w:ascii="Times New Roman" w:hAnsi="Times New Roman" w:cs="Times New Roman"/>
          <w:color w:val="auto"/>
          <w:sz w:val="28"/>
          <w:szCs w:val="28"/>
          <w:lang w:val="en-US" w:eastAsia="zh-CN"/>
        </w:rPr>
        <w:t>4</w:t>
      </w:r>
      <w:r>
        <w:rPr>
          <w:rFonts w:hint="eastAsia"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08</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10</w:t>
      </w:r>
      <w:r>
        <w:rPr>
          <w:rFonts w:hint="eastAsia" w:ascii="Times New Roman" w:hAnsi="Times New Roman" w:cs="Times New Roman"/>
          <w:color w:val="auto"/>
          <w:sz w:val="28"/>
          <w:szCs w:val="28"/>
        </w:rPr>
        <w:t>日</w:t>
      </w:r>
      <w:r>
        <w:rPr>
          <w:rFonts w:ascii="Times New Roman" w:hAnsi="Times New Roman" w:cs="Times New Roman"/>
          <w:color w:val="auto"/>
          <w:sz w:val="28"/>
          <w:szCs w:val="28"/>
        </w:rPr>
        <w:t>，位于</w:t>
      </w:r>
      <w:r>
        <w:rPr>
          <w:rFonts w:hint="eastAsia" w:ascii="Times New Roman" w:hAnsi="Times New Roman" w:cs="Times New Roman"/>
          <w:color w:val="auto"/>
          <w:sz w:val="28"/>
          <w:szCs w:val="28"/>
          <w:lang w:eastAsia="zh-CN"/>
        </w:rPr>
        <w:t>兴国县江背镇兴前组</w:t>
      </w:r>
      <w:r>
        <w:rPr>
          <w:rFonts w:ascii="Times New Roman" w:hAnsi="Times New Roman" w:cs="Times New Roman"/>
          <w:color w:val="auto"/>
          <w:sz w:val="28"/>
          <w:szCs w:val="28"/>
        </w:rPr>
        <w:t>，是从事成品油零售经营的企业，主要经营汽油、柴油。站内建筑、设备为自有，</w:t>
      </w:r>
      <w:r>
        <w:rPr>
          <w:rFonts w:ascii="Times New Roman" w:hAnsi="Times New Roman" w:cs="Times New Roman"/>
          <w:color w:val="auto"/>
          <w:spacing w:val="-4"/>
          <w:sz w:val="28"/>
          <w:szCs w:val="28"/>
        </w:rPr>
        <w:t>设有</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个</w:t>
      </w:r>
      <w:r>
        <w:rPr>
          <w:rFonts w:hint="eastAsia" w:ascii="Times New Roman" w:hAnsi="Times New Roman" w:cs="Times New Roman"/>
          <w:color w:val="auto"/>
          <w:spacing w:val="-4"/>
          <w:sz w:val="28"/>
          <w:szCs w:val="28"/>
          <w:lang w:val="en-US" w:eastAsia="zh-CN"/>
        </w:rPr>
        <w:t>双层油罐</w:t>
      </w:r>
      <w:r>
        <w:rPr>
          <w:rFonts w:ascii="Times New Roman" w:hAnsi="Times New Roman" w:cs="Times New Roman"/>
          <w:color w:val="auto"/>
          <w:spacing w:val="-4"/>
          <w:sz w:val="28"/>
          <w:szCs w:val="28"/>
        </w:rPr>
        <w:t>（</w:t>
      </w:r>
      <w:r>
        <w:rPr>
          <w:rFonts w:hint="eastAsia" w:ascii="Times New Roman" w:hAnsi="Times New Roman" w:cs="Times New Roman"/>
          <w:color w:val="auto"/>
          <w:spacing w:val="-4"/>
          <w:sz w:val="28"/>
          <w:szCs w:val="28"/>
        </w:rPr>
        <w:t>属于承重罐区</w:t>
      </w:r>
      <w:r>
        <w:rPr>
          <w:rFonts w:ascii="Times New Roman" w:hAnsi="Times New Roman" w:cs="Times New Roman"/>
          <w:color w:val="auto"/>
          <w:spacing w:val="-4"/>
          <w:sz w:val="28"/>
          <w:szCs w:val="28"/>
        </w:rPr>
        <w:t>），其中</w:t>
      </w:r>
      <w:r>
        <w:rPr>
          <w:rFonts w:hint="eastAsia" w:ascii="Times New Roman" w:hAnsi="Times New Roman" w:cs="Times New Roman"/>
          <w:color w:val="auto"/>
          <w:spacing w:val="-4"/>
          <w:sz w:val="28"/>
          <w:szCs w:val="28"/>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5</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2</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lang w:eastAsia="zh-CN"/>
        </w:rPr>
        <w:t>，</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的0#柴油储罐1个，总容积为</w:t>
      </w:r>
      <w:r>
        <w:rPr>
          <w:rFonts w:hint="eastAsia" w:ascii="Times New Roman" w:hAnsi="Times New Roman" w:cs="Times New Roman"/>
          <w:color w:val="auto"/>
          <w:spacing w:val="-4"/>
          <w:sz w:val="28"/>
          <w:szCs w:val="28"/>
          <w:lang w:val="en-US" w:eastAsia="zh-CN"/>
        </w:rPr>
        <w:t>90</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，折算后容积（柴油折半）为</w:t>
      </w:r>
      <w:r>
        <w:rPr>
          <w:rFonts w:hint="eastAsia" w:ascii="Times New Roman" w:hAnsi="Times New Roman" w:cs="Times New Roman"/>
          <w:color w:val="auto"/>
          <w:spacing w:val="-4"/>
          <w:sz w:val="28"/>
          <w:szCs w:val="28"/>
          <w:lang w:val="en-US" w:eastAsia="zh-CN"/>
        </w:rPr>
        <w:t>75</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，为</w:t>
      </w:r>
      <w:r>
        <w:rPr>
          <w:rFonts w:hint="eastAsia" w:ascii="Times New Roman" w:hAnsi="Times New Roman" w:cs="Times New Roman"/>
          <w:color w:val="auto"/>
          <w:spacing w:val="-4"/>
          <w:sz w:val="28"/>
          <w:szCs w:val="28"/>
          <w:lang w:val="en-US" w:eastAsia="zh-CN"/>
        </w:rPr>
        <w:t>三</w:t>
      </w:r>
      <w:r>
        <w:rPr>
          <w:rFonts w:ascii="Times New Roman" w:hAnsi="Times New Roman" w:cs="Times New Roman"/>
          <w:color w:val="auto"/>
          <w:spacing w:val="-4"/>
          <w:sz w:val="28"/>
          <w:szCs w:val="28"/>
        </w:rPr>
        <w:t>级加油站</w:t>
      </w:r>
      <w:r>
        <w:rPr>
          <w:rFonts w:ascii="Times New Roman" w:hAnsi="Times New Roman" w:cs="Times New Roman"/>
          <w:color w:val="auto"/>
          <w:sz w:val="28"/>
          <w:szCs w:val="28"/>
        </w:rPr>
        <w:t>。该站于202</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17</w:t>
      </w:r>
      <w:r>
        <w:rPr>
          <w:rFonts w:ascii="Times New Roman" w:hAnsi="Times New Roman" w:cs="Times New Roman"/>
          <w:color w:val="auto"/>
          <w:sz w:val="28"/>
          <w:szCs w:val="28"/>
        </w:rPr>
        <w:t>日取得《危险化学品经营许可证》，证号：</w:t>
      </w:r>
      <w:r>
        <w:rPr>
          <w:rFonts w:hint="eastAsia" w:ascii="Times New Roman" w:hAnsi="Times New Roman" w:cs="Times New Roman"/>
          <w:color w:val="auto"/>
          <w:sz w:val="28"/>
          <w:szCs w:val="28"/>
        </w:rPr>
        <w:t>(赣)36073213202300016</w:t>
      </w:r>
      <w:r>
        <w:rPr>
          <w:rFonts w:ascii="Times New Roman" w:hAnsi="Times New Roman" w:cs="Times New Roman"/>
          <w:color w:val="auto"/>
          <w:sz w:val="28"/>
          <w:szCs w:val="28"/>
        </w:rPr>
        <w:t>，有效期延续至202</w:t>
      </w:r>
      <w:r>
        <w:rPr>
          <w:rFonts w:hint="eastAsia" w:ascii="Times New Roman" w:hAnsi="Times New Roman" w:cs="Times New Roman"/>
          <w:color w:val="auto"/>
          <w:sz w:val="28"/>
          <w:szCs w:val="28"/>
          <w:lang w:val="en-US" w:eastAsia="zh-CN"/>
        </w:rPr>
        <w:t>6</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16</w:t>
      </w:r>
      <w:r>
        <w:rPr>
          <w:rFonts w:ascii="Times New Roman" w:hAnsi="Times New Roman" w:cs="Times New Roman"/>
          <w:color w:val="auto"/>
          <w:sz w:val="28"/>
          <w:szCs w:val="28"/>
        </w:rPr>
        <w:t>日，许可经营范围为汽油、柴油，经营方式为</w:t>
      </w:r>
      <w:r>
        <w:rPr>
          <w:rFonts w:hint="eastAsia" w:ascii="Times New Roman" w:hAnsi="Times New Roman" w:cs="Times New Roman"/>
          <w:color w:val="auto"/>
          <w:sz w:val="28"/>
          <w:szCs w:val="28"/>
        </w:rPr>
        <w:t>零售</w:t>
      </w:r>
      <w:r>
        <w:rPr>
          <w:rFonts w:hint="eastAsia" w:ascii="Times New Roman" w:hAnsi="Times New Roman" w:cs="宋体"/>
          <w:color w:val="auto"/>
          <w:sz w:val="28"/>
          <w:szCs w:val="28"/>
        </w:rPr>
        <w:t>。</w:t>
      </w:r>
    </w:p>
    <w:p w14:paraId="21A3C456">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加油站经营多年，部分设施与原设计或与现状存在出入，有的资料也缺失，加油站为了加强安全管理，隐患排查，补齐资料，于202</w:t>
      </w:r>
      <w:r>
        <w:rPr>
          <w:rFonts w:hint="eastAsia" w:ascii="Times New Roman" w:hAnsi="Times New Roman" w:cs="宋体"/>
          <w:color w:val="auto"/>
          <w:sz w:val="28"/>
          <w:szCs w:val="28"/>
          <w:lang w:val="en-US" w:eastAsia="zh-CN"/>
        </w:rPr>
        <w:t>6</w:t>
      </w:r>
      <w:r>
        <w:rPr>
          <w:rFonts w:hint="eastAsia" w:ascii="Times New Roman" w:hAnsi="Times New Roman" w:cs="宋体"/>
          <w:color w:val="auto"/>
          <w:sz w:val="28"/>
          <w:szCs w:val="28"/>
        </w:rPr>
        <w:t>年</w:t>
      </w:r>
      <w:r>
        <w:rPr>
          <w:rFonts w:hint="eastAsia" w:ascii="Times New Roman" w:hAnsi="Times New Roman" w:cs="宋体"/>
          <w:color w:val="auto"/>
          <w:sz w:val="28"/>
          <w:szCs w:val="28"/>
          <w:lang w:val="en-US" w:eastAsia="zh-CN"/>
        </w:rPr>
        <w:t>1</w:t>
      </w:r>
      <w:r>
        <w:rPr>
          <w:rFonts w:hint="eastAsia" w:ascii="Times New Roman" w:hAnsi="Times New Roman" w:cs="宋体"/>
          <w:color w:val="auto"/>
          <w:sz w:val="28"/>
          <w:szCs w:val="28"/>
        </w:rPr>
        <w:t>月委托海湾工程有限公司出具了《中国石化销售股份有限公司江西赣州</w:t>
      </w:r>
      <w:r>
        <w:rPr>
          <w:rFonts w:hint="eastAsia" w:ascii="Times New Roman" w:hAnsi="Times New Roman" w:cs="宋体"/>
          <w:color w:val="auto"/>
          <w:sz w:val="28"/>
          <w:szCs w:val="28"/>
          <w:lang w:eastAsia="zh-CN"/>
        </w:rPr>
        <w:t>兴国石油分公司江背加油站</w:t>
      </w:r>
      <w:r>
        <w:rPr>
          <w:rFonts w:hint="eastAsia" w:ascii="Times New Roman" w:hAnsi="Times New Roman" w:cs="宋体"/>
          <w:color w:val="auto"/>
          <w:sz w:val="28"/>
          <w:szCs w:val="28"/>
        </w:rPr>
        <w:t>安全设施符合性诊断及整改设计》。</w:t>
      </w:r>
    </w:p>
    <w:p w14:paraId="7D7BBAF3">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依据《江西省应急管理厅办公室关于规范危险化学品经营许可工作的通知》（赣应急办字〔2025〕58号）的相关规定，老企业安全设施“三同时”资料不全，缺乏安全设施设计等关键资料的，企业应在一个延期换证周期内进行安全设计诊断，并根据设计诊断结论，开展安全设施设计整改，验收通过后方可延期换证。</w:t>
      </w:r>
    </w:p>
    <w:p w14:paraId="39916991">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因此</w:t>
      </w:r>
      <w:r>
        <w:rPr>
          <w:rFonts w:hint="eastAsia" w:ascii="Times New Roman" w:hAnsi="Times New Roman" w:cs="宋体"/>
          <w:color w:val="auto"/>
          <w:sz w:val="28"/>
          <w:szCs w:val="28"/>
          <w:lang w:eastAsia="zh-CN"/>
        </w:rPr>
        <w:t>，根据</w:t>
      </w:r>
      <w:r>
        <w:rPr>
          <w:rFonts w:hint="eastAsia" w:ascii="Times New Roman" w:hAnsi="Times New Roman" w:cs="宋体"/>
          <w:color w:val="auto"/>
          <w:sz w:val="28"/>
          <w:szCs w:val="28"/>
        </w:rPr>
        <w:t>《江西省应急管理厅办公室关于规范危险化学品经营许可工作的通知》（赣应急办字〔2025〕58号）、《中华人民共和国安全生产法》（国家主席令〔2021〕第88号）、《危险化学品安全管理条例》（国务院令〔2011〕第591号，〔2013〕第645号修订）、《危险化学品经营许可证管理办法》安监总局令第55号（安监总局令第79号修正）、《危险化学品建设项目安全监督管理办法》安监总局45号令（安监总局令第79号修正）的要求，中国石化销售股份有限公司江西赣州</w:t>
      </w:r>
      <w:r>
        <w:rPr>
          <w:rFonts w:hint="eastAsia" w:ascii="Times New Roman" w:hAnsi="Times New Roman" w:cs="宋体"/>
          <w:color w:val="auto"/>
          <w:sz w:val="28"/>
          <w:szCs w:val="28"/>
          <w:lang w:eastAsia="zh-CN"/>
        </w:rPr>
        <w:t>兴国石油分公司</w:t>
      </w:r>
      <w:r>
        <w:rPr>
          <w:rFonts w:hint="eastAsia" w:ascii="Times New Roman" w:hAnsi="Times New Roman" w:cs="宋体"/>
          <w:color w:val="auto"/>
          <w:sz w:val="28"/>
          <w:szCs w:val="28"/>
        </w:rPr>
        <w:t>委托</w:t>
      </w:r>
      <w:r>
        <w:rPr>
          <w:rFonts w:hint="eastAsia" w:ascii="Times New Roman" w:hAnsi="Times New Roman" w:cs="宋体"/>
          <w:color w:val="auto"/>
          <w:sz w:val="28"/>
          <w:szCs w:val="28"/>
          <w:lang w:eastAsia="zh-CN"/>
        </w:rPr>
        <w:t>江西赣安安全生产科学技术咨询服务中心</w:t>
      </w:r>
      <w:r>
        <w:rPr>
          <w:rFonts w:hint="eastAsia" w:ascii="Times New Roman" w:hAnsi="Times New Roman" w:cs="宋体"/>
          <w:color w:val="auto"/>
          <w:sz w:val="28"/>
          <w:szCs w:val="28"/>
        </w:rPr>
        <w:t>对中石化</w:t>
      </w:r>
      <w:r>
        <w:rPr>
          <w:rFonts w:hint="eastAsia" w:ascii="Times New Roman" w:hAnsi="Times New Roman" w:cs="宋体"/>
          <w:color w:val="auto"/>
          <w:sz w:val="28"/>
          <w:szCs w:val="28"/>
          <w:lang w:eastAsia="zh-CN"/>
        </w:rPr>
        <w:t>兴国江背加油站</w:t>
      </w:r>
      <w:r>
        <w:rPr>
          <w:rFonts w:hint="eastAsia" w:ascii="Times New Roman" w:hAnsi="Times New Roman" w:cs="宋体"/>
          <w:color w:val="auto"/>
          <w:sz w:val="28"/>
          <w:szCs w:val="28"/>
        </w:rPr>
        <w:t>进行安全设施符合性诊断及整改设计验收。</w:t>
      </w:r>
    </w:p>
    <w:p w14:paraId="34EAD0E9">
      <w:pPr>
        <w:pStyle w:val="9"/>
        <w:spacing w:after="0" w:line="600" w:lineRule="exact"/>
        <w:ind w:left="0" w:leftChars="0"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需说明，本验收评价报告及结论，系基于评价期间加油站实际运行与现场现状编制，评价小组仅对评价时加油站的真实状况负责。</w:t>
      </w:r>
    </w:p>
    <w:p w14:paraId="1642EA1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评价小组在工作中得到了中国石化销售股份有限公司江西赣州</w:t>
      </w:r>
      <w:r>
        <w:rPr>
          <w:rFonts w:hint="eastAsia" w:ascii="Times New Roman" w:hAnsi="Times New Roman" w:cs="宋体"/>
          <w:color w:val="auto"/>
          <w:sz w:val="28"/>
          <w:szCs w:val="28"/>
          <w:lang w:eastAsia="zh-CN"/>
        </w:rPr>
        <w:t>兴国石油分公司</w:t>
      </w:r>
      <w:r>
        <w:rPr>
          <w:rFonts w:hint="eastAsia" w:ascii="Times New Roman" w:hAnsi="Times New Roman" w:cs="宋体"/>
          <w:color w:val="auto"/>
          <w:sz w:val="28"/>
          <w:szCs w:val="28"/>
        </w:rPr>
        <w:t>的大力支持，在此表示感谢。</w:t>
      </w:r>
    </w:p>
    <w:p w14:paraId="59C82D8C">
      <w:pPr>
        <w:spacing w:line="600" w:lineRule="exact"/>
        <w:ind w:firstLine="560" w:firstLineChars="20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需要特别说明的是，根据《江西省应急管理厅办公室关于规范危险化学品经营许可工作的通知》（赣应急办字〔2025〕58号），加油站应进行安全设计诊断并进行验收后方可延期换证</w:t>
      </w:r>
      <w:r>
        <w:rPr>
          <w:rFonts w:hint="eastAsia" w:ascii="Times New Roman" w:hAnsi="Times New Roman" w:cs="Times New Roman"/>
          <w:color w:val="auto"/>
          <w:sz w:val="28"/>
          <w:szCs w:val="28"/>
          <w:lang w:eastAsia="zh-CN"/>
        </w:rPr>
        <w:t>，经整改完成后，该加油站安全设施符合设计文件及竣工相关规范要求，已具备验收条件。</w:t>
      </w:r>
      <w:r>
        <w:rPr>
          <w:rFonts w:hint="eastAsia" w:ascii="Times New Roman" w:hAnsi="Times New Roman" w:cs="Times New Roman"/>
          <w:color w:val="auto"/>
          <w:sz w:val="28"/>
          <w:szCs w:val="28"/>
        </w:rPr>
        <w:t>因此中石化江西赣州</w:t>
      </w:r>
      <w:r>
        <w:rPr>
          <w:rFonts w:hint="eastAsia" w:ascii="Times New Roman" w:hAnsi="Times New Roman" w:cs="Times New Roman"/>
          <w:color w:val="auto"/>
          <w:sz w:val="28"/>
          <w:szCs w:val="28"/>
          <w:lang w:eastAsia="zh-CN"/>
        </w:rPr>
        <w:t>兴国石油分公司</w:t>
      </w:r>
      <w:r>
        <w:rPr>
          <w:rFonts w:hint="eastAsia" w:ascii="Times New Roman" w:hAnsi="Times New Roman" w:cs="Times New Roman"/>
          <w:color w:val="auto"/>
          <w:sz w:val="28"/>
          <w:szCs w:val="28"/>
        </w:rPr>
        <w:t>委托</w:t>
      </w:r>
      <w:r>
        <w:rPr>
          <w:rFonts w:hint="eastAsia" w:ascii="Times New Roman" w:hAnsi="Times New Roman" w:cs="Times New Roman"/>
          <w:color w:val="auto"/>
          <w:sz w:val="28"/>
          <w:szCs w:val="28"/>
          <w:lang w:eastAsia="zh-CN"/>
        </w:rPr>
        <w:t>江西赣安安全生产科学技术咨询服务中心</w:t>
      </w:r>
      <w:r>
        <w:rPr>
          <w:rFonts w:hint="eastAsia" w:ascii="Times New Roman" w:hAnsi="Times New Roman" w:cs="Times New Roman"/>
          <w:color w:val="auto"/>
          <w:sz w:val="28"/>
          <w:szCs w:val="28"/>
        </w:rPr>
        <w:t>对该加油站进行安全设施符合性诊断及整改设计验收。</w:t>
      </w:r>
    </w:p>
    <w:p w14:paraId="3013BB2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lang w:eastAsia="zh-CN"/>
        </w:rPr>
        <w:t>江西赣安安全生产科学技术咨询服务中心</w:t>
      </w:r>
      <w:r>
        <w:rPr>
          <w:rFonts w:hint="eastAsia" w:ascii="Times New Roman" w:hAnsi="Times New Roman" w:cs="宋体"/>
          <w:color w:val="auto"/>
          <w:sz w:val="28"/>
          <w:szCs w:val="28"/>
        </w:rPr>
        <w:t>于</w:t>
      </w:r>
      <w:r>
        <w:rPr>
          <w:rFonts w:ascii="Times New Roman" w:hAnsi="Times New Roman" w:cs="Times New Roman"/>
          <w:color w:val="auto"/>
          <w:sz w:val="28"/>
          <w:szCs w:val="28"/>
        </w:rPr>
        <w:t>202</w:t>
      </w:r>
      <w:r>
        <w:rPr>
          <w:rFonts w:hint="eastAsia" w:ascii="Times New Roman" w:hAnsi="Times New Roman" w:cs="Times New Roman"/>
          <w:color w:val="auto"/>
          <w:sz w:val="28"/>
          <w:szCs w:val="28"/>
          <w:lang w:val="en-US" w:eastAsia="zh-CN"/>
        </w:rPr>
        <w:t>6</w:t>
      </w:r>
      <w:r>
        <w:rPr>
          <w:rFonts w:hint="eastAsia" w:ascii="Times New Roman" w:hAnsi="Times New Roman" w:cs="宋体"/>
          <w:color w:val="auto"/>
          <w:sz w:val="28"/>
          <w:szCs w:val="28"/>
        </w:rPr>
        <w:t>年</w:t>
      </w:r>
      <w:r>
        <w:rPr>
          <w:rFonts w:hint="eastAsia" w:ascii="Times New Roman" w:hAnsi="Times New Roman" w:cs="Times New Roman"/>
          <w:color w:val="auto"/>
          <w:sz w:val="28"/>
          <w:szCs w:val="28"/>
          <w:lang w:val="en-US" w:eastAsia="zh-CN"/>
        </w:rPr>
        <w:t>5</w:t>
      </w:r>
      <w:r>
        <w:rPr>
          <w:rFonts w:hint="eastAsia" w:ascii="Times New Roman" w:hAnsi="Times New Roman" w:cs="宋体"/>
          <w:color w:val="auto"/>
          <w:sz w:val="28"/>
          <w:szCs w:val="28"/>
        </w:rPr>
        <w:t>月组成评价小组，对所提供的资料、文件</w:t>
      </w:r>
      <w:r>
        <w:rPr>
          <w:rFonts w:hint="eastAsia" w:ascii="Times New Roman" w:hAnsi="Times New Roman" w:cs="宋体"/>
          <w:color w:val="auto"/>
          <w:sz w:val="28"/>
          <w:szCs w:val="28"/>
          <w:lang w:eastAsia="zh-CN"/>
        </w:rPr>
        <w:t>进行</w:t>
      </w:r>
      <w:r>
        <w:rPr>
          <w:rFonts w:hint="eastAsia" w:ascii="Times New Roman" w:hAnsi="Times New Roman" w:cs="宋体"/>
          <w:color w:val="auto"/>
          <w:sz w:val="28"/>
          <w:szCs w:val="28"/>
        </w:rPr>
        <w:t>审核，对现场</w:t>
      </w:r>
      <w:r>
        <w:rPr>
          <w:rFonts w:hint="eastAsia" w:ascii="Times New Roman" w:hAnsi="Times New Roman" w:cs="宋体"/>
          <w:color w:val="auto"/>
          <w:sz w:val="28"/>
          <w:szCs w:val="28"/>
          <w:lang w:eastAsia="zh-CN"/>
        </w:rPr>
        <w:t>进行</w:t>
      </w:r>
      <w:r>
        <w:rPr>
          <w:rFonts w:hint="eastAsia" w:ascii="Times New Roman" w:hAnsi="Times New Roman" w:cs="宋体"/>
          <w:color w:val="auto"/>
          <w:sz w:val="28"/>
          <w:szCs w:val="28"/>
        </w:rPr>
        <w:t>实地检测，根据《安全评价通则》</w:t>
      </w:r>
      <w:r>
        <w:rPr>
          <w:rFonts w:ascii="Times New Roman" w:hAnsi="Times New Roman" w:cs="Times New Roman"/>
          <w:color w:val="auto"/>
          <w:sz w:val="28"/>
          <w:szCs w:val="28"/>
        </w:rPr>
        <w:t>AQ8001-2007</w:t>
      </w:r>
      <w:r>
        <w:rPr>
          <w:rFonts w:hint="eastAsia" w:ascii="Times New Roman" w:hAnsi="Times New Roman" w:cs="宋体"/>
          <w:color w:val="auto"/>
          <w:sz w:val="28"/>
          <w:szCs w:val="28"/>
        </w:rPr>
        <w:t>和《安全验收评价导则》</w:t>
      </w:r>
      <w:r>
        <w:rPr>
          <w:rFonts w:ascii="Times New Roman" w:hAnsi="Times New Roman" w:cs="Times New Roman"/>
          <w:color w:val="auto"/>
          <w:sz w:val="28"/>
          <w:szCs w:val="28"/>
        </w:rPr>
        <w:t>AQ8003-2007</w:t>
      </w:r>
      <w:r>
        <w:rPr>
          <w:rFonts w:hint="eastAsia" w:ascii="Times New Roman" w:hAnsi="Times New Roman" w:cs="Times New Roman"/>
          <w:color w:val="auto"/>
          <w:sz w:val="28"/>
          <w:szCs w:val="28"/>
        </w:rPr>
        <w:t>的</w:t>
      </w:r>
      <w:r>
        <w:rPr>
          <w:rFonts w:hint="eastAsia" w:ascii="Times New Roman" w:hAnsi="Times New Roman" w:cs="宋体"/>
          <w:color w:val="auto"/>
          <w:sz w:val="28"/>
          <w:szCs w:val="28"/>
        </w:rPr>
        <w:t>要求，编写此评价报告。</w:t>
      </w:r>
    </w:p>
    <w:p w14:paraId="4E419BE1">
      <w:pPr>
        <w:pageBreakBefore/>
        <w:widowControl/>
        <w:spacing w:line="500" w:lineRule="exact"/>
        <w:jc w:val="center"/>
        <w:rPr>
          <w:rFonts w:ascii="Times New Roman" w:hAnsi="Times New Roman" w:cs="Times New Roman"/>
          <w:b/>
          <w:bCs/>
          <w:color w:val="auto"/>
          <w:sz w:val="28"/>
          <w:szCs w:val="28"/>
        </w:rPr>
      </w:pPr>
      <w:r>
        <w:rPr>
          <w:rFonts w:hint="eastAsia" w:ascii="Times New Roman" w:hAnsi="Times New Roman" w:cs="宋体"/>
          <w:b/>
          <w:bCs/>
          <w:color w:val="auto"/>
          <w:sz w:val="28"/>
          <w:szCs w:val="28"/>
        </w:rPr>
        <w:t>目</w:t>
      </w:r>
      <w:r>
        <w:rPr>
          <w:rFonts w:ascii="Times New Roman" w:hAnsi="Times New Roman" w:cs="Times New Roman"/>
          <w:b/>
          <w:bCs/>
          <w:color w:val="auto"/>
          <w:sz w:val="28"/>
          <w:szCs w:val="28"/>
        </w:rPr>
        <w:t xml:space="preserve"> </w:t>
      </w:r>
      <w:r>
        <w:rPr>
          <w:rFonts w:hint="eastAsia"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录</w:t>
      </w:r>
    </w:p>
    <w:p w14:paraId="57F166C4">
      <w:pPr>
        <w:pStyle w:val="16"/>
        <w:tabs>
          <w:tab w:val="right" w:leader="dot" w:pos="9072"/>
        </w:tabs>
        <w:spacing w:line="520" w:lineRule="exact"/>
        <w:rPr>
          <w:rFonts w:ascii="Times New Roman" w:hAnsi="Times New Roman" w:cs="Times New Roman"/>
          <w:b/>
          <w:bCs/>
          <w:color w:val="auto"/>
          <w:sz w:val="24"/>
          <w:szCs w:val="24"/>
        </w:rPr>
      </w:pPr>
    </w:p>
    <w:p w14:paraId="10E5A91C">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
          <w:bCs/>
          <w:color w:val="auto"/>
          <w:sz w:val="24"/>
          <w:szCs w:val="24"/>
        </w:rPr>
        <w:fldChar w:fldCharType="begin"/>
      </w:r>
      <w:r>
        <w:rPr>
          <w:rFonts w:ascii="Times New Roman" w:hAnsi="Times New Roman" w:cs="Times New Roman"/>
          <w:b/>
          <w:bCs/>
          <w:color w:val="auto"/>
          <w:sz w:val="24"/>
          <w:szCs w:val="24"/>
        </w:rPr>
        <w:instrText xml:space="preserve">TOC \o "1-2" \h \u </w:instrText>
      </w:r>
      <w:r>
        <w:rPr>
          <w:rFonts w:ascii="Times New Roman" w:hAnsi="Times New Roman" w:cs="Times New Roman"/>
          <w:b/>
          <w:bCs/>
          <w:color w:val="auto"/>
          <w:sz w:val="24"/>
          <w:szCs w:val="24"/>
        </w:rPr>
        <w:fldChar w:fldCharType="separate"/>
      </w: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_Toc19016 </w:instrText>
      </w:r>
      <w:r>
        <w:rPr>
          <w:rFonts w:ascii="Times New Roman" w:hAnsi="Times New Roman" w:cs="Times New Roman"/>
          <w:bCs/>
          <w:color w:val="auto"/>
          <w:szCs w:val="24"/>
        </w:rPr>
        <w:fldChar w:fldCharType="separate"/>
      </w:r>
      <w:r>
        <w:rPr>
          <w:color w:val="auto"/>
          <w:szCs w:val="32"/>
        </w:rPr>
        <w:t xml:space="preserve">1 </w:t>
      </w:r>
      <w:r>
        <w:rPr>
          <w:rFonts w:hint="eastAsia" w:cs="宋体"/>
          <w:color w:val="auto"/>
          <w:szCs w:val="32"/>
        </w:rPr>
        <w:t>评价概述</w:t>
      </w:r>
      <w:r>
        <w:rPr>
          <w:color w:val="auto"/>
        </w:rPr>
        <w:tab/>
      </w:r>
      <w:r>
        <w:rPr>
          <w:color w:val="auto"/>
        </w:rPr>
        <w:fldChar w:fldCharType="begin"/>
      </w:r>
      <w:r>
        <w:rPr>
          <w:color w:val="auto"/>
        </w:rPr>
        <w:instrText xml:space="preserve"> PAGEREF _Toc19016 \h </w:instrText>
      </w:r>
      <w:r>
        <w:rPr>
          <w:color w:val="auto"/>
        </w:rPr>
        <w:fldChar w:fldCharType="separate"/>
      </w:r>
      <w:r>
        <w:rPr>
          <w:color w:val="auto"/>
        </w:rPr>
        <w:t>1</w:t>
      </w:r>
      <w:r>
        <w:rPr>
          <w:color w:val="auto"/>
        </w:rPr>
        <w:fldChar w:fldCharType="end"/>
      </w:r>
      <w:r>
        <w:rPr>
          <w:rFonts w:ascii="Times New Roman" w:hAnsi="Times New Roman" w:cs="Times New Roman"/>
          <w:bCs/>
          <w:color w:val="auto"/>
          <w:szCs w:val="24"/>
        </w:rPr>
        <w:fldChar w:fldCharType="end"/>
      </w:r>
    </w:p>
    <w:p w14:paraId="55363D76">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_Toc12544 </w:instrText>
      </w:r>
      <w:r>
        <w:rPr>
          <w:rFonts w:ascii="Times New Roman" w:hAnsi="Times New Roman" w:cs="Times New Roman"/>
          <w:bCs/>
          <w:color w:val="auto"/>
          <w:szCs w:val="24"/>
        </w:rPr>
        <w:fldChar w:fldCharType="separate"/>
      </w:r>
      <w:r>
        <w:rPr>
          <w:color w:val="auto"/>
          <w:szCs w:val="32"/>
        </w:rPr>
        <w:t>1.1</w:t>
      </w:r>
      <w:r>
        <w:rPr>
          <w:rFonts w:hint="eastAsia" w:cs="宋体"/>
          <w:color w:val="auto"/>
          <w:szCs w:val="32"/>
        </w:rPr>
        <w:t>评价的目的和原则</w:t>
      </w:r>
      <w:r>
        <w:rPr>
          <w:color w:val="auto"/>
        </w:rPr>
        <w:tab/>
      </w:r>
      <w:r>
        <w:rPr>
          <w:color w:val="auto"/>
        </w:rPr>
        <w:fldChar w:fldCharType="begin"/>
      </w:r>
      <w:r>
        <w:rPr>
          <w:color w:val="auto"/>
        </w:rPr>
        <w:instrText xml:space="preserve"> PAGEREF _Toc12544 \h </w:instrText>
      </w:r>
      <w:r>
        <w:rPr>
          <w:color w:val="auto"/>
        </w:rPr>
        <w:fldChar w:fldCharType="separate"/>
      </w:r>
      <w:r>
        <w:rPr>
          <w:color w:val="auto"/>
        </w:rPr>
        <w:t>1</w:t>
      </w:r>
      <w:r>
        <w:rPr>
          <w:color w:val="auto"/>
        </w:rPr>
        <w:fldChar w:fldCharType="end"/>
      </w:r>
      <w:r>
        <w:rPr>
          <w:rFonts w:ascii="Times New Roman" w:hAnsi="Times New Roman" w:cs="Times New Roman"/>
          <w:bCs/>
          <w:color w:val="auto"/>
          <w:szCs w:val="24"/>
        </w:rPr>
        <w:fldChar w:fldCharType="end"/>
      </w:r>
    </w:p>
    <w:p w14:paraId="4BAEE54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_Toc1989 </w:instrText>
      </w:r>
      <w:r>
        <w:rPr>
          <w:rFonts w:ascii="Times New Roman" w:hAnsi="Times New Roman" w:cs="Times New Roman"/>
          <w:bCs/>
          <w:color w:val="auto"/>
          <w:szCs w:val="24"/>
        </w:rPr>
        <w:fldChar w:fldCharType="separate"/>
      </w:r>
      <w:r>
        <w:rPr>
          <w:color w:val="auto"/>
        </w:rPr>
        <w:t>1.2</w:t>
      </w:r>
      <w:r>
        <w:rPr>
          <w:rFonts w:hint="eastAsia" w:cs="宋体"/>
          <w:color w:val="auto"/>
        </w:rPr>
        <w:t>评价依据</w:t>
      </w:r>
      <w:r>
        <w:rPr>
          <w:color w:val="auto"/>
        </w:rPr>
        <w:tab/>
      </w:r>
      <w:r>
        <w:rPr>
          <w:color w:val="auto"/>
        </w:rPr>
        <w:fldChar w:fldCharType="begin"/>
      </w:r>
      <w:r>
        <w:rPr>
          <w:color w:val="auto"/>
        </w:rPr>
        <w:instrText xml:space="preserve"> PAGEREF _Toc1989 \h </w:instrText>
      </w:r>
      <w:r>
        <w:rPr>
          <w:color w:val="auto"/>
        </w:rPr>
        <w:fldChar w:fldCharType="separate"/>
      </w:r>
      <w:r>
        <w:rPr>
          <w:color w:val="auto"/>
        </w:rPr>
        <w:t>1</w:t>
      </w:r>
      <w:r>
        <w:rPr>
          <w:color w:val="auto"/>
        </w:rPr>
        <w:fldChar w:fldCharType="end"/>
      </w:r>
      <w:r>
        <w:rPr>
          <w:rFonts w:ascii="Times New Roman" w:hAnsi="Times New Roman" w:cs="Times New Roman"/>
          <w:bCs/>
          <w:color w:val="auto"/>
          <w:szCs w:val="24"/>
        </w:rPr>
        <w:fldChar w:fldCharType="end"/>
      </w:r>
    </w:p>
    <w:p w14:paraId="7EFCCA01">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_Toc8155 </w:instrText>
      </w:r>
      <w:r>
        <w:rPr>
          <w:rFonts w:ascii="Times New Roman" w:hAnsi="Times New Roman" w:cs="Times New Roman"/>
          <w:bCs/>
          <w:color w:val="auto"/>
          <w:szCs w:val="24"/>
        </w:rPr>
        <w:fldChar w:fldCharType="separate"/>
      </w:r>
      <w:r>
        <w:rPr>
          <w:color w:val="auto"/>
        </w:rPr>
        <w:t>1.3</w:t>
      </w:r>
      <w:r>
        <w:rPr>
          <w:rFonts w:hint="eastAsia" w:cs="宋体"/>
          <w:color w:val="auto"/>
        </w:rPr>
        <w:t>评价范围及内容</w:t>
      </w:r>
      <w:r>
        <w:rPr>
          <w:color w:val="auto"/>
        </w:rPr>
        <w:tab/>
      </w:r>
      <w:r>
        <w:rPr>
          <w:color w:val="auto"/>
        </w:rPr>
        <w:fldChar w:fldCharType="begin"/>
      </w:r>
      <w:r>
        <w:rPr>
          <w:color w:val="auto"/>
        </w:rPr>
        <w:instrText xml:space="preserve"> PAGEREF _Toc8155 \h </w:instrText>
      </w:r>
      <w:r>
        <w:rPr>
          <w:color w:val="auto"/>
        </w:rPr>
        <w:fldChar w:fldCharType="separate"/>
      </w:r>
      <w:r>
        <w:rPr>
          <w:color w:val="auto"/>
        </w:rPr>
        <w:t>9</w:t>
      </w:r>
      <w:r>
        <w:rPr>
          <w:color w:val="auto"/>
        </w:rPr>
        <w:fldChar w:fldCharType="end"/>
      </w:r>
      <w:r>
        <w:rPr>
          <w:rFonts w:ascii="Times New Roman" w:hAnsi="Times New Roman" w:cs="Times New Roman"/>
          <w:bCs/>
          <w:color w:val="auto"/>
          <w:szCs w:val="24"/>
        </w:rPr>
        <w:fldChar w:fldCharType="end"/>
      </w:r>
    </w:p>
    <w:p w14:paraId="5EA23ED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_Toc2772 </w:instrText>
      </w:r>
      <w:r>
        <w:rPr>
          <w:rFonts w:ascii="Times New Roman" w:hAnsi="Times New Roman" w:cs="Times New Roman"/>
          <w:bCs/>
          <w:color w:val="auto"/>
          <w:szCs w:val="24"/>
        </w:rPr>
        <w:fldChar w:fldCharType="separate"/>
      </w:r>
      <w:r>
        <w:rPr>
          <w:color w:val="auto"/>
        </w:rPr>
        <w:t>1.4</w:t>
      </w:r>
      <w:r>
        <w:rPr>
          <w:rFonts w:hint="eastAsia" w:cs="宋体"/>
          <w:color w:val="auto"/>
        </w:rPr>
        <w:t>评价程序</w:t>
      </w:r>
      <w:r>
        <w:rPr>
          <w:color w:val="auto"/>
        </w:rPr>
        <w:tab/>
      </w:r>
      <w:r>
        <w:rPr>
          <w:color w:val="auto"/>
        </w:rPr>
        <w:fldChar w:fldCharType="begin"/>
      </w:r>
      <w:r>
        <w:rPr>
          <w:color w:val="auto"/>
        </w:rPr>
        <w:instrText xml:space="preserve"> PAGEREF _Toc2772 \h </w:instrText>
      </w:r>
      <w:r>
        <w:rPr>
          <w:color w:val="auto"/>
        </w:rPr>
        <w:fldChar w:fldCharType="separate"/>
      </w:r>
      <w:r>
        <w:rPr>
          <w:color w:val="auto"/>
        </w:rPr>
        <w:t>10</w:t>
      </w:r>
      <w:r>
        <w:rPr>
          <w:color w:val="auto"/>
        </w:rPr>
        <w:fldChar w:fldCharType="end"/>
      </w:r>
      <w:r>
        <w:rPr>
          <w:rFonts w:ascii="Times New Roman" w:hAnsi="Times New Roman" w:cs="Times New Roman"/>
          <w:bCs/>
          <w:color w:val="auto"/>
          <w:szCs w:val="24"/>
        </w:rPr>
        <w:fldChar w:fldCharType="end"/>
      </w:r>
    </w:p>
    <w:p w14:paraId="5E2D2C74">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_Toc22252 </w:instrText>
      </w:r>
      <w:r>
        <w:rPr>
          <w:rFonts w:ascii="Times New Roman" w:hAnsi="Times New Roman" w:cs="Times New Roman"/>
          <w:bCs/>
          <w:color w:val="auto"/>
          <w:szCs w:val="24"/>
        </w:rPr>
        <w:fldChar w:fldCharType="separate"/>
      </w:r>
      <w:r>
        <w:rPr>
          <w:rFonts w:hint="eastAsia" w:ascii="Times New Roman"/>
          <w:bCs/>
          <w:color w:val="auto"/>
          <w:kern w:val="36"/>
          <w:szCs w:val="32"/>
        </w:rPr>
        <w:t>2 加油站概况</w:t>
      </w:r>
      <w:r>
        <w:rPr>
          <w:color w:val="auto"/>
        </w:rPr>
        <w:tab/>
      </w:r>
      <w:r>
        <w:rPr>
          <w:color w:val="auto"/>
        </w:rPr>
        <w:fldChar w:fldCharType="begin"/>
      </w:r>
      <w:r>
        <w:rPr>
          <w:color w:val="auto"/>
        </w:rPr>
        <w:instrText xml:space="preserve"> PAGEREF _Toc22252 \h </w:instrText>
      </w:r>
      <w:r>
        <w:rPr>
          <w:color w:val="auto"/>
        </w:rPr>
        <w:fldChar w:fldCharType="separate"/>
      </w:r>
      <w:r>
        <w:rPr>
          <w:color w:val="auto"/>
        </w:rPr>
        <w:t>11</w:t>
      </w:r>
      <w:r>
        <w:rPr>
          <w:color w:val="auto"/>
        </w:rPr>
        <w:fldChar w:fldCharType="end"/>
      </w:r>
      <w:r>
        <w:rPr>
          <w:rFonts w:ascii="Times New Roman" w:hAnsi="Times New Roman" w:cs="Times New Roman"/>
          <w:bCs/>
          <w:color w:val="auto"/>
          <w:szCs w:val="24"/>
        </w:rPr>
        <w:fldChar w:fldCharType="end"/>
      </w:r>
    </w:p>
    <w:p w14:paraId="44299FCA">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_Toc6028 </w:instrText>
      </w:r>
      <w:r>
        <w:rPr>
          <w:rFonts w:ascii="Times New Roman" w:hAnsi="Times New Roman" w:cs="Times New Roman"/>
          <w:bCs/>
          <w:color w:val="auto"/>
          <w:szCs w:val="24"/>
        </w:rPr>
        <w:fldChar w:fldCharType="separate"/>
      </w:r>
      <w:r>
        <w:rPr>
          <w:color w:val="auto"/>
        </w:rPr>
        <w:t>2.1</w:t>
      </w:r>
      <w:r>
        <w:rPr>
          <w:rFonts w:hint="eastAsia" w:cs="宋体"/>
          <w:color w:val="auto"/>
        </w:rPr>
        <w:t>建设项目基本情况</w:t>
      </w:r>
      <w:r>
        <w:rPr>
          <w:color w:val="auto"/>
        </w:rPr>
        <w:tab/>
      </w:r>
      <w:r>
        <w:rPr>
          <w:color w:val="auto"/>
        </w:rPr>
        <w:fldChar w:fldCharType="begin"/>
      </w:r>
      <w:r>
        <w:rPr>
          <w:color w:val="auto"/>
        </w:rPr>
        <w:instrText xml:space="preserve"> PAGEREF _Toc6028 \h </w:instrText>
      </w:r>
      <w:r>
        <w:rPr>
          <w:color w:val="auto"/>
        </w:rPr>
        <w:fldChar w:fldCharType="separate"/>
      </w:r>
      <w:r>
        <w:rPr>
          <w:color w:val="auto"/>
        </w:rPr>
        <w:t>11</w:t>
      </w:r>
      <w:r>
        <w:rPr>
          <w:color w:val="auto"/>
        </w:rPr>
        <w:fldChar w:fldCharType="end"/>
      </w:r>
      <w:r>
        <w:rPr>
          <w:rFonts w:ascii="Times New Roman" w:hAnsi="Times New Roman" w:cs="Times New Roman"/>
          <w:bCs/>
          <w:color w:val="auto"/>
          <w:szCs w:val="24"/>
        </w:rPr>
        <w:fldChar w:fldCharType="end"/>
      </w:r>
    </w:p>
    <w:p w14:paraId="32B7BD8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_Toc17186 </w:instrText>
      </w:r>
      <w:r>
        <w:rPr>
          <w:rFonts w:ascii="Times New Roman" w:hAnsi="Times New Roman" w:cs="Times New Roman"/>
          <w:bCs/>
          <w:color w:val="auto"/>
          <w:szCs w:val="24"/>
        </w:rPr>
        <w:fldChar w:fldCharType="separate"/>
      </w:r>
      <w:r>
        <w:rPr>
          <w:color w:val="auto"/>
        </w:rPr>
        <w:t xml:space="preserve">2.2 </w:t>
      </w:r>
      <w:r>
        <w:rPr>
          <w:rFonts w:hint="eastAsia" w:cs="宋体"/>
          <w:color w:val="auto"/>
        </w:rPr>
        <w:t>加油站概况</w:t>
      </w:r>
      <w:r>
        <w:rPr>
          <w:color w:val="auto"/>
        </w:rPr>
        <w:tab/>
      </w:r>
      <w:r>
        <w:rPr>
          <w:color w:val="auto"/>
        </w:rPr>
        <w:fldChar w:fldCharType="begin"/>
      </w:r>
      <w:r>
        <w:rPr>
          <w:color w:val="auto"/>
        </w:rPr>
        <w:instrText xml:space="preserve"> PAGEREF _Toc17186 \h </w:instrText>
      </w:r>
      <w:r>
        <w:rPr>
          <w:color w:val="auto"/>
        </w:rPr>
        <w:fldChar w:fldCharType="separate"/>
      </w:r>
      <w:r>
        <w:rPr>
          <w:color w:val="auto"/>
        </w:rPr>
        <w:t>13</w:t>
      </w:r>
      <w:r>
        <w:rPr>
          <w:color w:val="auto"/>
        </w:rPr>
        <w:fldChar w:fldCharType="end"/>
      </w:r>
      <w:r>
        <w:rPr>
          <w:rFonts w:ascii="Times New Roman" w:hAnsi="Times New Roman" w:cs="Times New Roman"/>
          <w:bCs/>
          <w:color w:val="auto"/>
          <w:szCs w:val="24"/>
        </w:rPr>
        <w:fldChar w:fldCharType="end"/>
      </w:r>
    </w:p>
    <w:p w14:paraId="28225DE5">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_Toc9074 </w:instrText>
      </w:r>
      <w:r>
        <w:rPr>
          <w:rFonts w:ascii="Times New Roman" w:hAnsi="Times New Roman" w:cs="Times New Roman"/>
          <w:bCs/>
          <w:color w:val="auto"/>
          <w:szCs w:val="24"/>
        </w:rPr>
        <w:fldChar w:fldCharType="separate"/>
      </w:r>
      <w:r>
        <w:rPr>
          <w:color w:val="auto"/>
        </w:rPr>
        <w:t>2.3</w:t>
      </w:r>
      <w:r>
        <w:rPr>
          <w:rFonts w:hint="eastAsia" w:cs="宋体"/>
          <w:color w:val="auto"/>
        </w:rPr>
        <w:t>主要设备、建筑物及工艺：</w:t>
      </w:r>
      <w:r>
        <w:rPr>
          <w:color w:val="auto"/>
        </w:rPr>
        <w:tab/>
      </w:r>
      <w:r>
        <w:rPr>
          <w:color w:val="auto"/>
        </w:rPr>
        <w:fldChar w:fldCharType="begin"/>
      </w:r>
      <w:r>
        <w:rPr>
          <w:color w:val="auto"/>
        </w:rPr>
        <w:instrText xml:space="preserve"> PAGEREF _Toc9074 \h </w:instrText>
      </w:r>
      <w:r>
        <w:rPr>
          <w:color w:val="auto"/>
        </w:rPr>
        <w:fldChar w:fldCharType="separate"/>
      </w:r>
      <w:r>
        <w:rPr>
          <w:color w:val="auto"/>
        </w:rPr>
        <w:t>16</w:t>
      </w:r>
      <w:r>
        <w:rPr>
          <w:color w:val="auto"/>
        </w:rPr>
        <w:fldChar w:fldCharType="end"/>
      </w:r>
      <w:r>
        <w:rPr>
          <w:rFonts w:ascii="Times New Roman" w:hAnsi="Times New Roman" w:cs="Times New Roman"/>
          <w:bCs/>
          <w:color w:val="auto"/>
          <w:szCs w:val="24"/>
        </w:rPr>
        <w:fldChar w:fldCharType="end"/>
      </w:r>
    </w:p>
    <w:p w14:paraId="3DAACCC1">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_Toc5879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 xml:space="preserve">2.4 </w:t>
      </w:r>
      <w:r>
        <w:rPr>
          <w:rFonts w:hint="eastAsia" w:ascii="Times New Roman" w:hAnsi="Times New Roman" w:cs="宋体"/>
          <w:bCs/>
          <w:color w:val="auto"/>
          <w:szCs w:val="28"/>
        </w:rPr>
        <w:t>辅助设施</w:t>
      </w:r>
      <w:r>
        <w:rPr>
          <w:color w:val="auto"/>
        </w:rPr>
        <w:tab/>
      </w:r>
      <w:r>
        <w:rPr>
          <w:color w:val="auto"/>
        </w:rPr>
        <w:fldChar w:fldCharType="begin"/>
      </w:r>
      <w:r>
        <w:rPr>
          <w:color w:val="auto"/>
        </w:rPr>
        <w:instrText xml:space="preserve"> PAGEREF _Toc5879 \h </w:instrText>
      </w:r>
      <w:r>
        <w:rPr>
          <w:color w:val="auto"/>
        </w:rPr>
        <w:fldChar w:fldCharType="separate"/>
      </w:r>
      <w:r>
        <w:rPr>
          <w:color w:val="auto"/>
        </w:rPr>
        <w:t>18</w:t>
      </w:r>
      <w:r>
        <w:rPr>
          <w:color w:val="auto"/>
        </w:rPr>
        <w:fldChar w:fldCharType="end"/>
      </w:r>
      <w:r>
        <w:rPr>
          <w:rFonts w:ascii="Times New Roman" w:hAnsi="Times New Roman" w:cs="Times New Roman"/>
          <w:bCs/>
          <w:color w:val="auto"/>
          <w:szCs w:val="24"/>
        </w:rPr>
        <w:fldChar w:fldCharType="end"/>
      </w:r>
    </w:p>
    <w:p w14:paraId="47A9566E">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_Toc1531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 xml:space="preserve">2.5 </w:t>
      </w:r>
      <w:r>
        <w:rPr>
          <w:rFonts w:hint="eastAsia" w:ascii="Times New Roman" w:hAnsi="Times New Roman" w:cs="宋体"/>
          <w:bCs/>
          <w:color w:val="auto"/>
          <w:szCs w:val="28"/>
        </w:rPr>
        <w:t>消防、安全设施</w:t>
      </w:r>
      <w:r>
        <w:rPr>
          <w:color w:val="auto"/>
        </w:rPr>
        <w:tab/>
      </w:r>
      <w:r>
        <w:rPr>
          <w:color w:val="auto"/>
        </w:rPr>
        <w:fldChar w:fldCharType="begin"/>
      </w:r>
      <w:r>
        <w:rPr>
          <w:color w:val="auto"/>
        </w:rPr>
        <w:instrText xml:space="preserve"> PAGEREF _Toc1531 \h </w:instrText>
      </w:r>
      <w:r>
        <w:rPr>
          <w:color w:val="auto"/>
        </w:rPr>
        <w:fldChar w:fldCharType="separate"/>
      </w:r>
      <w:r>
        <w:rPr>
          <w:color w:val="auto"/>
        </w:rPr>
        <w:t>20</w:t>
      </w:r>
      <w:r>
        <w:rPr>
          <w:color w:val="auto"/>
        </w:rPr>
        <w:fldChar w:fldCharType="end"/>
      </w:r>
      <w:r>
        <w:rPr>
          <w:rFonts w:ascii="Times New Roman" w:hAnsi="Times New Roman" w:cs="Times New Roman"/>
          <w:bCs/>
          <w:color w:val="auto"/>
          <w:szCs w:val="24"/>
        </w:rPr>
        <w:fldChar w:fldCharType="end"/>
      </w:r>
    </w:p>
    <w:p w14:paraId="229CC1E7">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_Toc1899 </w:instrText>
      </w:r>
      <w:r>
        <w:rPr>
          <w:rFonts w:ascii="Times New Roman" w:hAnsi="Times New Roman" w:cs="Times New Roman"/>
          <w:bCs/>
          <w:color w:val="auto"/>
          <w:szCs w:val="24"/>
        </w:rPr>
        <w:fldChar w:fldCharType="separate"/>
      </w:r>
      <w:r>
        <w:rPr>
          <w:rFonts w:ascii="Times New Roman" w:hAnsi="Times New Roman" w:cs="Times New Roman"/>
          <w:bCs/>
          <w:color w:val="auto"/>
          <w:kern w:val="36"/>
          <w:szCs w:val="32"/>
        </w:rPr>
        <w:t xml:space="preserve">3 </w:t>
      </w:r>
      <w:r>
        <w:rPr>
          <w:rFonts w:hint="eastAsia" w:ascii="Times New Roman" w:hAnsi="Times New Roman" w:cs="宋体"/>
          <w:bCs/>
          <w:color w:val="auto"/>
          <w:kern w:val="36"/>
          <w:szCs w:val="32"/>
        </w:rPr>
        <w:t>主要危险、有害因素分析</w:t>
      </w:r>
      <w:r>
        <w:rPr>
          <w:color w:val="auto"/>
        </w:rPr>
        <w:tab/>
      </w:r>
      <w:r>
        <w:rPr>
          <w:color w:val="auto"/>
        </w:rPr>
        <w:fldChar w:fldCharType="begin"/>
      </w:r>
      <w:r>
        <w:rPr>
          <w:color w:val="auto"/>
        </w:rPr>
        <w:instrText xml:space="preserve"> PAGEREF _Toc1899 \h </w:instrText>
      </w:r>
      <w:r>
        <w:rPr>
          <w:color w:val="auto"/>
        </w:rPr>
        <w:fldChar w:fldCharType="separate"/>
      </w:r>
      <w:r>
        <w:rPr>
          <w:color w:val="auto"/>
        </w:rPr>
        <w:t>24</w:t>
      </w:r>
      <w:r>
        <w:rPr>
          <w:color w:val="auto"/>
        </w:rPr>
        <w:fldChar w:fldCharType="end"/>
      </w:r>
      <w:r>
        <w:rPr>
          <w:rFonts w:ascii="Times New Roman" w:hAnsi="Times New Roman" w:cs="Times New Roman"/>
          <w:bCs/>
          <w:color w:val="auto"/>
          <w:szCs w:val="24"/>
        </w:rPr>
        <w:fldChar w:fldCharType="end"/>
      </w:r>
    </w:p>
    <w:p w14:paraId="47A82B9E">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_Toc22037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 xml:space="preserve">3.1 </w:t>
      </w:r>
      <w:r>
        <w:rPr>
          <w:rFonts w:hint="eastAsia" w:ascii="Times New Roman" w:hAnsi="Times New Roman" w:cs="宋体"/>
          <w:bCs/>
          <w:color w:val="auto"/>
          <w:szCs w:val="28"/>
        </w:rPr>
        <w:t>物料的危险、有害因素分析</w:t>
      </w:r>
      <w:r>
        <w:rPr>
          <w:color w:val="auto"/>
        </w:rPr>
        <w:tab/>
      </w:r>
      <w:r>
        <w:rPr>
          <w:color w:val="auto"/>
        </w:rPr>
        <w:fldChar w:fldCharType="begin"/>
      </w:r>
      <w:r>
        <w:rPr>
          <w:color w:val="auto"/>
        </w:rPr>
        <w:instrText xml:space="preserve"> PAGEREF _Toc22037 \h </w:instrText>
      </w:r>
      <w:r>
        <w:rPr>
          <w:color w:val="auto"/>
        </w:rPr>
        <w:fldChar w:fldCharType="separate"/>
      </w:r>
      <w:r>
        <w:rPr>
          <w:color w:val="auto"/>
        </w:rPr>
        <w:t>24</w:t>
      </w:r>
      <w:r>
        <w:rPr>
          <w:color w:val="auto"/>
        </w:rPr>
        <w:fldChar w:fldCharType="end"/>
      </w:r>
      <w:r>
        <w:rPr>
          <w:rFonts w:ascii="Times New Roman" w:hAnsi="Times New Roman" w:cs="Times New Roman"/>
          <w:bCs/>
          <w:color w:val="auto"/>
          <w:szCs w:val="24"/>
        </w:rPr>
        <w:fldChar w:fldCharType="end"/>
      </w:r>
    </w:p>
    <w:p w14:paraId="0193B0D7">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_Toc30170 </w:instrText>
      </w:r>
      <w:r>
        <w:rPr>
          <w:rFonts w:ascii="Times New Roman" w:hAnsi="Times New Roman" w:cs="Times New Roman"/>
          <w:bCs/>
          <w:color w:val="auto"/>
          <w:szCs w:val="24"/>
        </w:rPr>
        <w:fldChar w:fldCharType="separate"/>
      </w:r>
      <w:r>
        <w:rPr>
          <w:color w:val="auto"/>
        </w:rPr>
        <w:t>3.2</w:t>
      </w:r>
      <w:r>
        <w:rPr>
          <w:rFonts w:hint="eastAsia" w:cs="宋体"/>
          <w:color w:val="auto"/>
        </w:rPr>
        <w:t>危险化学品及危险工艺辨识</w:t>
      </w:r>
      <w:r>
        <w:rPr>
          <w:color w:val="auto"/>
        </w:rPr>
        <w:tab/>
      </w:r>
      <w:r>
        <w:rPr>
          <w:color w:val="auto"/>
        </w:rPr>
        <w:fldChar w:fldCharType="begin"/>
      </w:r>
      <w:r>
        <w:rPr>
          <w:color w:val="auto"/>
        </w:rPr>
        <w:instrText xml:space="preserve"> PAGEREF _Toc30170 \h </w:instrText>
      </w:r>
      <w:r>
        <w:rPr>
          <w:color w:val="auto"/>
        </w:rPr>
        <w:fldChar w:fldCharType="separate"/>
      </w:r>
      <w:r>
        <w:rPr>
          <w:color w:val="auto"/>
        </w:rPr>
        <w:t>27</w:t>
      </w:r>
      <w:r>
        <w:rPr>
          <w:color w:val="auto"/>
        </w:rPr>
        <w:fldChar w:fldCharType="end"/>
      </w:r>
      <w:r>
        <w:rPr>
          <w:rFonts w:ascii="Times New Roman" w:hAnsi="Times New Roman" w:cs="Times New Roman"/>
          <w:bCs/>
          <w:color w:val="auto"/>
          <w:szCs w:val="24"/>
        </w:rPr>
        <w:fldChar w:fldCharType="end"/>
      </w:r>
    </w:p>
    <w:p w14:paraId="66DE267B">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_Toc9520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 xml:space="preserve">3.3 </w:t>
      </w:r>
      <w:r>
        <w:rPr>
          <w:rFonts w:hint="eastAsia" w:ascii="Times New Roman" w:hAnsi="Times New Roman" w:cs="宋体"/>
          <w:bCs/>
          <w:color w:val="auto"/>
          <w:szCs w:val="28"/>
        </w:rPr>
        <w:t>重大危险源辨识</w:t>
      </w:r>
      <w:r>
        <w:rPr>
          <w:color w:val="auto"/>
        </w:rPr>
        <w:tab/>
      </w:r>
      <w:r>
        <w:rPr>
          <w:color w:val="auto"/>
        </w:rPr>
        <w:fldChar w:fldCharType="begin"/>
      </w:r>
      <w:r>
        <w:rPr>
          <w:color w:val="auto"/>
        </w:rPr>
        <w:instrText xml:space="preserve"> PAGEREF _Toc9520 \h </w:instrText>
      </w:r>
      <w:r>
        <w:rPr>
          <w:color w:val="auto"/>
        </w:rPr>
        <w:fldChar w:fldCharType="separate"/>
      </w:r>
      <w:r>
        <w:rPr>
          <w:color w:val="auto"/>
        </w:rPr>
        <w:t>28</w:t>
      </w:r>
      <w:r>
        <w:rPr>
          <w:color w:val="auto"/>
        </w:rPr>
        <w:fldChar w:fldCharType="end"/>
      </w:r>
      <w:r>
        <w:rPr>
          <w:rFonts w:ascii="Times New Roman" w:hAnsi="Times New Roman" w:cs="Times New Roman"/>
          <w:bCs/>
          <w:color w:val="auto"/>
          <w:szCs w:val="24"/>
        </w:rPr>
        <w:fldChar w:fldCharType="end"/>
      </w:r>
    </w:p>
    <w:p w14:paraId="0A8D0E1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_Toc5487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3.4</w:t>
      </w:r>
      <w:r>
        <w:rPr>
          <w:rFonts w:hint="eastAsia" w:ascii="Times New Roman" w:hAnsi="Times New Roman" w:cs="宋体"/>
          <w:bCs/>
          <w:color w:val="auto"/>
          <w:szCs w:val="28"/>
        </w:rPr>
        <w:t>加油站主要危险因素分析</w:t>
      </w:r>
      <w:r>
        <w:rPr>
          <w:color w:val="auto"/>
        </w:rPr>
        <w:tab/>
      </w:r>
      <w:r>
        <w:rPr>
          <w:color w:val="auto"/>
        </w:rPr>
        <w:fldChar w:fldCharType="begin"/>
      </w:r>
      <w:r>
        <w:rPr>
          <w:color w:val="auto"/>
        </w:rPr>
        <w:instrText xml:space="preserve"> PAGEREF _Toc5487 \h </w:instrText>
      </w:r>
      <w:r>
        <w:rPr>
          <w:color w:val="auto"/>
        </w:rPr>
        <w:fldChar w:fldCharType="separate"/>
      </w:r>
      <w:r>
        <w:rPr>
          <w:color w:val="auto"/>
        </w:rPr>
        <w:t>30</w:t>
      </w:r>
      <w:r>
        <w:rPr>
          <w:color w:val="auto"/>
        </w:rPr>
        <w:fldChar w:fldCharType="end"/>
      </w:r>
      <w:r>
        <w:rPr>
          <w:rFonts w:ascii="Times New Roman" w:hAnsi="Times New Roman" w:cs="Times New Roman"/>
          <w:bCs/>
          <w:color w:val="auto"/>
          <w:szCs w:val="24"/>
        </w:rPr>
        <w:fldChar w:fldCharType="end"/>
      </w:r>
    </w:p>
    <w:p w14:paraId="1D87AA0C">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_Toc2908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3.5</w:t>
      </w:r>
      <w:r>
        <w:rPr>
          <w:rFonts w:hint="eastAsia" w:ascii="Times New Roman" w:hAnsi="Times New Roman" w:cs="宋体"/>
          <w:bCs/>
          <w:color w:val="auto"/>
          <w:szCs w:val="28"/>
        </w:rPr>
        <w:t>经营过程中的危险辨识</w:t>
      </w:r>
      <w:r>
        <w:rPr>
          <w:color w:val="auto"/>
        </w:rPr>
        <w:tab/>
      </w:r>
      <w:r>
        <w:rPr>
          <w:color w:val="auto"/>
        </w:rPr>
        <w:fldChar w:fldCharType="begin"/>
      </w:r>
      <w:r>
        <w:rPr>
          <w:color w:val="auto"/>
        </w:rPr>
        <w:instrText xml:space="preserve"> PAGEREF _Toc2908 \h </w:instrText>
      </w:r>
      <w:r>
        <w:rPr>
          <w:color w:val="auto"/>
        </w:rPr>
        <w:fldChar w:fldCharType="separate"/>
      </w:r>
      <w:r>
        <w:rPr>
          <w:color w:val="auto"/>
        </w:rPr>
        <w:t>33</w:t>
      </w:r>
      <w:r>
        <w:rPr>
          <w:color w:val="auto"/>
        </w:rPr>
        <w:fldChar w:fldCharType="end"/>
      </w:r>
      <w:r>
        <w:rPr>
          <w:rFonts w:ascii="Times New Roman" w:hAnsi="Times New Roman" w:cs="Times New Roman"/>
          <w:bCs/>
          <w:color w:val="auto"/>
          <w:szCs w:val="24"/>
        </w:rPr>
        <w:fldChar w:fldCharType="end"/>
      </w:r>
    </w:p>
    <w:p w14:paraId="481DF960">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_Toc20804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3.6</w:t>
      </w:r>
      <w:r>
        <w:rPr>
          <w:rFonts w:hint="eastAsia" w:ascii="Times New Roman" w:hAnsi="Times New Roman" w:cs="宋体"/>
          <w:bCs/>
          <w:color w:val="auto"/>
          <w:szCs w:val="28"/>
        </w:rPr>
        <w:t>环境、自然危害因素分析</w:t>
      </w:r>
      <w:r>
        <w:rPr>
          <w:color w:val="auto"/>
        </w:rPr>
        <w:tab/>
      </w:r>
      <w:r>
        <w:rPr>
          <w:color w:val="auto"/>
        </w:rPr>
        <w:fldChar w:fldCharType="begin"/>
      </w:r>
      <w:r>
        <w:rPr>
          <w:color w:val="auto"/>
        </w:rPr>
        <w:instrText xml:space="preserve"> PAGEREF _Toc20804 \h </w:instrText>
      </w:r>
      <w:r>
        <w:rPr>
          <w:color w:val="auto"/>
        </w:rPr>
        <w:fldChar w:fldCharType="separate"/>
      </w:r>
      <w:r>
        <w:rPr>
          <w:color w:val="auto"/>
        </w:rPr>
        <w:t>40</w:t>
      </w:r>
      <w:r>
        <w:rPr>
          <w:color w:val="auto"/>
        </w:rPr>
        <w:fldChar w:fldCharType="end"/>
      </w:r>
      <w:r>
        <w:rPr>
          <w:rFonts w:ascii="Times New Roman" w:hAnsi="Times New Roman" w:cs="Times New Roman"/>
          <w:bCs/>
          <w:color w:val="auto"/>
          <w:szCs w:val="24"/>
        </w:rPr>
        <w:fldChar w:fldCharType="end"/>
      </w:r>
    </w:p>
    <w:p w14:paraId="76C420D8">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_Toc21872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3.7</w:t>
      </w:r>
      <w:r>
        <w:rPr>
          <w:rFonts w:hint="eastAsia" w:ascii="Times New Roman" w:hAnsi="Times New Roman" w:cs="宋体"/>
          <w:bCs/>
          <w:color w:val="auto"/>
          <w:szCs w:val="28"/>
        </w:rPr>
        <w:t>有害因素分析</w:t>
      </w:r>
      <w:r>
        <w:rPr>
          <w:color w:val="auto"/>
        </w:rPr>
        <w:tab/>
      </w:r>
      <w:r>
        <w:rPr>
          <w:color w:val="auto"/>
        </w:rPr>
        <w:fldChar w:fldCharType="begin"/>
      </w:r>
      <w:r>
        <w:rPr>
          <w:color w:val="auto"/>
        </w:rPr>
        <w:instrText xml:space="preserve"> PAGEREF _Toc21872 \h </w:instrText>
      </w:r>
      <w:r>
        <w:rPr>
          <w:color w:val="auto"/>
        </w:rPr>
        <w:fldChar w:fldCharType="separate"/>
      </w:r>
      <w:r>
        <w:rPr>
          <w:color w:val="auto"/>
        </w:rPr>
        <w:t>41</w:t>
      </w:r>
      <w:r>
        <w:rPr>
          <w:color w:val="auto"/>
        </w:rPr>
        <w:fldChar w:fldCharType="end"/>
      </w:r>
      <w:r>
        <w:rPr>
          <w:rFonts w:ascii="Times New Roman" w:hAnsi="Times New Roman" w:cs="Times New Roman"/>
          <w:bCs/>
          <w:color w:val="auto"/>
          <w:szCs w:val="24"/>
        </w:rPr>
        <w:fldChar w:fldCharType="end"/>
      </w:r>
    </w:p>
    <w:p w14:paraId="3FDECF1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_Toc8303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3.8</w:t>
      </w:r>
      <w:r>
        <w:rPr>
          <w:rFonts w:hint="eastAsia" w:ascii="Times New Roman" w:hAnsi="Times New Roman" w:cs="宋体"/>
          <w:bCs/>
          <w:color w:val="auto"/>
          <w:szCs w:val="28"/>
        </w:rPr>
        <w:t>危险和有害因素分析总结</w:t>
      </w:r>
      <w:r>
        <w:rPr>
          <w:color w:val="auto"/>
        </w:rPr>
        <w:tab/>
      </w:r>
      <w:r>
        <w:rPr>
          <w:color w:val="auto"/>
        </w:rPr>
        <w:fldChar w:fldCharType="begin"/>
      </w:r>
      <w:r>
        <w:rPr>
          <w:color w:val="auto"/>
        </w:rPr>
        <w:instrText xml:space="preserve"> PAGEREF _Toc8303 \h </w:instrText>
      </w:r>
      <w:r>
        <w:rPr>
          <w:color w:val="auto"/>
        </w:rPr>
        <w:fldChar w:fldCharType="separate"/>
      </w:r>
      <w:r>
        <w:rPr>
          <w:color w:val="auto"/>
        </w:rPr>
        <w:t>41</w:t>
      </w:r>
      <w:r>
        <w:rPr>
          <w:color w:val="auto"/>
        </w:rPr>
        <w:fldChar w:fldCharType="end"/>
      </w:r>
      <w:r>
        <w:rPr>
          <w:rFonts w:ascii="Times New Roman" w:hAnsi="Times New Roman" w:cs="Times New Roman"/>
          <w:bCs/>
          <w:color w:val="auto"/>
          <w:szCs w:val="24"/>
        </w:rPr>
        <w:fldChar w:fldCharType="end"/>
      </w:r>
    </w:p>
    <w:p w14:paraId="679EBEF2">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_Toc27996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3.9</w:t>
      </w:r>
      <w:r>
        <w:rPr>
          <w:rFonts w:hint="eastAsia" w:ascii="Times New Roman" w:hAnsi="Times New Roman" w:cs="宋体"/>
          <w:bCs/>
          <w:color w:val="auto"/>
          <w:szCs w:val="28"/>
        </w:rPr>
        <w:t>爆炸危险区域划分</w:t>
      </w:r>
      <w:r>
        <w:rPr>
          <w:color w:val="auto"/>
        </w:rPr>
        <w:tab/>
      </w:r>
      <w:r>
        <w:rPr>
          <w:color w:val="auto"/>
        </w:rPr>
        <w:fldChar w:fldCharType="begin"/>
      </w:r>
      <w:r>
        <w:rPr>
          <w:color w:val="auto"/>
        </w:rPr>
        <w:instrText xml:space="preserve"> PAGEREF _Toc27996 \h </w:instrText>
      </w:r>
      <w:r>
        <w:rPr>
          <w:color w:val="auto"/>
        </w:rPr>
        <w:fldChar w:fldCharType="separate"/>
      </w:r>
      <w:r>
        <w:rPr>
          <w:color w:val="auto"/>
        </w:rPr>
        <w:t>41</w:t>
      </w:r>
      <w:r>
        <w:rPr>
          <w:color w:val="auto"/>
        </w:rPr>
        <w:fldChar w:fldCharType="end"/>
      </w:r>
      <w:r>
        <w:rPr>
          <w:rFonts w:ascii="Times New Roman" w:hAnsi="Times New Roman" w:cs="Times New Roman"/>
          <w:bCs/>
          <w:color w:val="auto"/>
          <w:szCs w:val="24"/>
        </w:rPr>
        <w:fldChar w:fldCharType="end"/>
      </w:r>
    </w:p>
    <w:p w14:paraId="6D02C597">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_Toc8074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 xml:space="preserve">3.10 </w:t>
      </w:r>
      <w:r>
        <w:rPr>
          <w:rFonts w:hint="eastAsia" w:ascii="Times New Roman" w:hAnsi="Times New Roman" w:cs="宋体"/>
          <w:bCs/>
          <w:color w:val="auto"/>
          <w:szCs w:val="28"/>
        </w:rPr>
        <w:t>典型事故案例</w:t>
      </w:r>
      <w:r>
        <w:rPr>
          <w:color w:val="auto"/>
        </w:rPr>
        <w:tab/>
      </w:r>
      <w:r>
        <w:rPr>
          <w:color w:val="auto"/>
        </w:rPr>
        <w:fldChar w:fldCharType="begin"/>
      </w:r>
      <w:r>
        <w:rPr>
          <w:color w:val="auto"/>
        </w:rPr>
        <w:instrText xml:space="preserve"> PAGEREF _Toc8074 \h </w:instrText>
      </w:r>
      <w:r>
        <w:rPr>
          <w:color w:val="auto"/>
        </w:rPr>
        <w:fldChar w:fldCharType="separate"/>
      </w:r>
      <w:r>
        <w:rPr>
          <w:color w:val="auto"/>
        </w:rPr>
        <w:t>43</w:t>
      </w:r>
      <w:r>
        <w:rPr>
          <w:color w:val="auto"/>
        </w:rPr>
        <w:fldChar w:fldCharType="end"/>
      </w:r>
      <w:r>
        <w:rPr>
          <w:rFonts w:ascii="Times New Roman" w:hAnsi="Times New Roman" w:cs="Times New Roman"/>
          <w:bCs/>
          <w:color w:val="auto"/>
          <w:szCs w:val="24"/>
        </w:rPr>
        <w:fldChar w:fldCharType="end"/>
      </w:r>
    </w:p>
    <w:p w14:paraId="41C0C592">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_Toc5647 </w:instrText>
      </w:r>
      <w:r>
        <w:rPr>
          <w:rFonts w:ascii="Times New Roman" w:hAnsi="Times New Roman" w:cs="Times New Roman"/>
          <w:bCs/>
          <w:color w:val="auto"/>
          <w:szCs w:val="24"/>
        </w:rPr>
        <w:fldChar w:fldCharType="separate"/>
      </w:r>
      <w:r>
        <w:rPr>
          <w:rFonts w:ascii="宋体" w:hAnsi="宋体"/>
          <w:color w:val="auto"/>
          <w:szCs w:val="32"/>
        </w:rPr>
        <w:t xml:space="preserve">4 </w:t>
      </w:r>
      <w:r>
        <w:rPr>
          <w:rFonts w:hint="eastAsia" w:ascii="宋体" w:hAnsi="宋体"/>
          <w:color w:val="auto"/>
          <w:szCs w:val="32"/>
        </w:rPr>
        <w:t>评价单元划分和评价方法选择</w:t>
      </w:r>
      <w:r>
        <w:rPr>
          <w:color w:val="auto"/>
        </w:rPr>
        <w:tab/>
      </w:r>
      <w:r>
        <w:rPr>
          <w:color w:val="auto"/>
        </w:rPr>
        <w:fldChar w:fldCharType="begin"/>
      </w:r>
      <w:r>
        <w:rPr>
          <w:color w:val="auto"/>
        </w:rPr>
        <w:instrText xml:space="preserve"> PAGEREF _Toc5647 \h </w:instrText>
      </w:r>
      <w:r>
        <w:rPr>
          <w:color w:val="auto"/>
        </w:rPr>
        <w:fldChar w:fldCharType="separate"/>
      </w:r>
      <w:r>
        <w:rPr>
          <w:color w:val="auto"/>
        </w:rPr>
        <w:t>45</w:t>
      </w:r>
      <w:r>
        <w:rPr>
          <w:color w:val="auto"/>
        </w:rPr>
        <w:fldChar w:fldCharType="end"/>
      </w:r>
      <w:r>
        <w:rPr>
          <w:rFonts w:ascii="Times New Roman" w:hAnsi="Times New Roman" w:cs="Times New Roman"/>
          <w:bCs/>
          <w:color w:val="auto"/>
          <w:szCs w:val="24"/>
        </w:rPr>
        <w:fldChar w:fldCharType="end"/>
      </w:r>
    </w:p>
    <w:p w14:paraId="637ADA0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_Toc17280 </w:instrText>
      </w:r>
      <w:r>
        <w:rPr>
          <w:rFonts w:ascii="Times New Roman" w:hAnsi="Times New Roman" w:cs="Times New Roman"/>
          <w:bCs/>
          <w:color w:val="auto"/>
          <w:szCs w:val="24"/>
        </w:rPr>
        <w:fldChar w:fldCharType="separate"/>
      </w:r>
      <w:r>
        <w:rPr>
          <w:rFonts w:ascii="宋体" w:hAnsi="宋体"/>
          <w:color w:val="auto"/>
          <w:szCs w:val="30"/>
        </w:rPr>
        <w:t xml:space="preserve">4.1 </w:t>
      </w:r>
      <w:r>
        <w:rPr>
          <w:rFonts w:hint="eastAsia" w:ascii="宋体" w:hAnsi="宋体"/>
          <w:color w:val="auto"/>
          <w:szCs w:val="30"/>
        </w:rPr>
        <w:t>评价单元的划分和评价方法选择</w:t>
      </w:r>
      <w:r>
        <w:rPr>
          <w:color w:val="auto"/>
        </w:rPr>
        <w:tab/>
      </w:r>
      <w:r>
        <w:rPr>
          <w:color w:val="auto"/>
        </w:rPr>
        <w:fldChar w:fldCharType="begin"/>
      </w:r>
      <w:r>
        <w:rPr>
          <w:color w:val="auto"/>
        </w:rPr>
        <w:instrText xml:space="preserve"> PAGEREF _Toc17280 \h </w:instrText>
      </w:r>
      <w:r>
        <w:rPr>
          <w:color w:val="auto"/>
        </w:rPr>
        <w:fldChar w:fldCharType="separate"/>
      </w:r>
      <w:r>
        <w:rPr>
          <w:color w:val="auto"/>
        </w:rPr>
        <w:t>45</w:t>
      </w:r>
      <w:r>
        <w:rPr>
          <w:color w:val="auto"/>
        </w:rPr>
        <w:fldChar w:fldCharType="end"/>
      </w:r>
      <w:r>
        <w:rPr>
          <w:rFonts w:ascii="Times New Roman" w:hAnsi="Times New Roman" w:cs="Times New Roman"/>
          <w:bCs/>
          <w:color w:val="auto"/>
          <w:szCs w:val="24"/>
        </w:rPr>
        <w:fldChar w:fldCharType="end"/>
      </w:r>
    </w:p>
    <w:p w14:paraId="5F537A11">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_Toc8095 </w:instrText>
      </w:r>
      <w:r>
        <w:rPr>
          <w:rFonts w:ascii="Times New Roman" w:hAnsi="Times New Roman" w:cs="Times New Roman"/>
          <w:bCs/>
          <w:color w:val="auto"/>
          <w:szCs w:val="24"/>
        </w:rPr>
        <w:fldChar w:fldCharType="separate"/>
      </w:r>
      <w:r>
        <w:rPr>
          <w:rFonts w:ascii="宋体" w:hAnsi="宋体"/>
          <w:color w:val="auto"/>
          <w:szCs w:val="30"/>
        </w:rPr>
        <w:t>4.</w:t>
      </w:r>
      <w:r>
        <w:rPr>
          <w:rFonts w:hint="eastAsia" w:ascii="宋体" w:hAnsi="宋体"/>
          <w:color w:val="auto"/>
          <w:szCs w:val="30"/>
        </w:rPr>
        <w:t>2 评价方法简介</w:t>
      </w:r>
      <w:r>
        <w:rPr>
          <w:color w:val="auto"/>
        </w:rPr>
        <w:tab/>
      </w:r>
      <w:r>
        <w:rPr>
          <w:color w:val="auto"/>
        </w:rPr>
        <w:fldChar w:fldCharType="begin"/>
      </w:r>
      <w:r>
        <w:rPr>
          <w:color w:val="auto"/>
        </w:rPr>
        <w:instrText xml:space="preserve"> PAGEREF _Toc8095 \h </w:instrText>
      </w:r>
      <w:r>
        <w:rPr>
          <w:color w:val="auto"/>
        </w:rPr>
        <w:fldChar w:fldCharType="separate"/>
      </w:r>
      <w:r>
        <w:rPr>
          <w:color w:val="auto"/>
        </w:rPr>
        <w:t>45</w:t>
      </w:r>
      <w:r>
        <w:rPr>
          <w:color w:val="auto"/>
        </w:rPr>
        <w:fldChar w:fldCharType="end"/>
      </w:r>
      <w:r>
        <w:rPr>
          <w:rFonts w:ascii="Times New Roman" w:hAnsi="Times New Roman" w:cs="Times New Roman"/>
          <w:bCs/>
          <w:color w:val="auto"/>
          <w:szCs w:val="24"/>
        </w:rPr>
        <w:fldChar w:fldCharType="end"/>
      </w:r>
    </w:p>
    <w:p w14:paraId="25703CD5">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_Toc22426 </w:instrText>
      </w:r>
      <w:r>
        <w:rPr>
          <w:rFonts w:ascii="Times New Roman" w:hAnsi="Times New Roman" w:cs="Times New Roman"/>
          <w:bCs/>
          <w:color w:val="auto"/>
          <w:szCs w:val="24"/>
        </w:rPr>
        <w:fldChar w:fldCharType="separate"/>
      </w:r>
      <w:r>
        <w:rPr>
          <w:rFonts w:ascii="宋体" w:hAnsi="宋体"/>
          <w:color w:val="auto"/>
          <w:szCs w:val="32"/>
        </w:rPr>
        <w:t xml:space="preserve">5 </w:t>
      </w:r>
      <w:r>
        <w:rPr>
          <w:rFonts w:hint="eastAsia" w:ascii="宋体" w:hAnsi="宋体"/>
          <w:color w:val="auto"/>
          <w:szCs w:val="32"/>
        </w:rPr>
        <w:t>定性、定量评价</w:t>
      </w:r>
      <w:r>
        <w:rPr>
          <w:color w:val="auto"/>
        </w:rPr>
        <w:tab/>
      </w:r>
      <w:r>
        <w:rPr>
          <w:color w:val="auto"/>
        </w:rPr>
        <w:fldChar w:fldCharType="begin"/>
      </w:r>
      <w:r>
        <w:rPr>
          <w:color w:val="auto"/>
        </w:rPr>
        <w:instrText xml:space="preserve"> PAGEREF _Toc22426 \h </w:instrText>
      </w:r>
      <w:r>
        <w:rPr>
          <w:color w:val="auto"/>
        </w:rPr>
        <w:fldChar w:fldCharType="separate"/>
      </w:r>
      <w:r>
        <w:rPr>
          <w:color w:val="auto"/>
        </w:rPr>
        <w:t>50</w:t>
      </w:r>
      <w:r>
        <w:rPr>
          <w:color w:val="auto"/>
        </w:rPr>
        <w:fldChar w:fldCharType="end"/>
      </w:r>
      <w:r>
        <w:rPr>
          <w:rFonts w:ascii="Times New Roman" w:hAnsi="Times New Roman" w:cs="Times New Roman"/>
          <w:bCs/>
          <w:color w:val="auto"/>
          <w:szCs w:val="24"/>
        </w:rPr>
        <w:fldChar w:fldCharType="end"/>
      </w:r>
    </w:p>
    <w:p w14:paraId="44C5CF9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_Toc7568 </w:instrText>
      </w:r>
      <w:r>
        <w:rPr>
          <w:rFonts w:ascii="Times New Roman" w:hAnsi="Times New Roman" w:cs="Times New Roman"/>
          <w:bCs/>
          <w:color w:val="auto"/>
          <w:szCs w:val="24"/>
        </w:rPr>
        <w:fldChar w:fldCharType="separate"/>
      </w:r>
      <w:r>
        <w:rPr>
          <w:rFonts w:ascii="宋体" w:hAnsi="宋体"/>
          <w:color w:val="auto"/>
          <w:szCs w:val="30"/>
        </w:rPr>
        <w:t>5.1 作业条件危险性评价法（</w:t>
      </w:r>
      <w:r>
        <w:rPr>
          <w:rFonts w:hint="eastAsia" w:ascii="宋体" w:hAnsi="宋体"/>
          <w:color w:val="auto"/>
          <w:szCs w:val="30"/>
        </w:rPr>
        <w:t>D＝</w:t>
      </w:r>
      <w:r>
        <w:rPr>
          <w:rFonts w:ascii="宋体" w:hAnsi="宋体"/>
          <w:color w:val="auto"/>
          <w:szCs w:val="30"/>
        </w:rPr>
        <w:t>LEC）</w:t>
      </w:r>
      <w:r>
        <w:rPr>
          <w:color w:val="auto"/>
        </w:rPr>
        <w:tab/>
      </w:r>
      <w:r>
        <w:rPr>
          <w:color w:val="auto"/>
        </w:rPr>
        <w:fldChar w:fldCharType="begin"/>
      </w:r>
      <w:r>
        <w:rPr>
          <w:color w:val="auto"/>
        </w:rPr>
        <w:instrText xml:space="preserve"> PAGEREF _Toc7568 \h </w:instrText>
      </w:r>
      <w:r>
        <w:rPr>
          <w:color w:val="auto"/>
        </w:rPr>
        <w:fldChar w:fldCharType="separate"/>
      </w:r>
      <w:r>
        <w:rPr>
          <w:color w:val="auto"/>
        </w:rPr>
        <w:t>50</w:t>
      </w:r>
      <w:r>
        <w:rPr>
          <w:color w:val="auto"/>
        </w:rPr>
        <w:fldChar w:fldCharType="end"/>
      </w:r>
      <w:r>
        <w:rPr>
          <w:rFonts w:ascii="Times New Roman" w:hAnsi="Times New Roman" w:cs="Times New Roman"/>
          <w:bCs/>
          <w:color w:val="auto"/>
          <w:szCs w:val="24"/>
        </w:rPr>
        <w:fldChar w:fldCharType="end"/>
      </w:r>
    </w:p>
    <w:p w14:paraId="0AEE36C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_Toc18727 </w:instrText>
      </w:r>
      <w:r>
        <w:rPr>
          <w:rFonts w:ascii="Times New Roman" w:hAnsi="Times New Roman" w:cs="Times New Roman"/>
          <w:bCs/>
          <w:color w:val="auto"/>
          <w:szCs w:val="24"/>
        </w:rPr>
        <w:fldChar w:fldCharType="separate"/>
      </w:r>
      <w:r>
        <w:rPr>
          <w:rFonts w:ascii="宋体" w:hAnsi="宋体"/>
          <w:color w:val="auto"/>
          <w:szCs w:val="30"/>
        </w:rPr>
        <w:t xml:space="preserve">5.2 </w:t>
      </w:r>
      <w:r>
        <w:rPr>
          <w:rFonts w:hint="eastAsia" w:ascii="宋体" w:hAnsi="宋体"/>
          <w:color w:val="auto"/>
          <w:szCs w:val="30"/>
        </w:rPr>
        <w:t>危险度评价</w:t>
      </w:r>
      <w:r>
        <w:rPr>
          <w:color w:val="auto"/>
        </w:rPr>
        <w:tab/>
      </w:r>
      <w:r>
        <w:rPr>
          <w:color w:val="auto"/>
        </w:rPr>
        <w:fldChar w:fldCharType="begin"/>
      </w:r>
      <w:r>
        <w:rPr>
          <w:color w:val="auto"/>
        </w:rPr>
        <w:instrText xml:space="preserve"> PAGEREF _Toc18727 \h </w:instrText>
      </w:r>
      <w:r>
        <w:rPr>
          <w:color w:val="auto"/>
        </w:rPr>
        <w:fldChar w:fldCharType="separate"/>
      </w:r>
      <w:r>
        <w:rPr>
          <w:color w:val="auto"/>
        </w:rPr>
        <w:t>52</w:t>
      </w:r>
      <w:r>
        <w:rPr>
          <w:color w:val="auto"/>
        </w:rPr>
        <w:fldChar w:fldCharType="end"/>
      </w:r>
      <w:r>
        <w:rPr>
          <w:rFonts w:ascii="Times New Roman" w:hAnsi="Times New Roman" w:cs="Times New Roman"/>
          <w:bCs/>
          <w:color w:val="auto"/>
          <w:szCs w:val="24"/>
        </w:rPr>
        <w:fldChar w:fldCharType="end"/>
      </w:r>
    </w:p>
    <w:p w14:paraId="49B6543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_Toc14444 </w:instrText>
      </w:r>
      <w:r>
        <w:rPr>
          <w:rFonts w:ascii="Times New Roman" w:hAnsi="Times New Roman" w:cs="Times New Roman"/>
          <w:bCs/>
          <w:color w:val="auto"/>
          <w:szCs w:val="24"/>
        </w:rPr>
        <w:fldChar w:fldCharType="separate"/>
      </w:r>
      <w:r>
        <w:rPr>
          <w:rFonts w:hint="eastAsia" w:ascii="宋体" w:hAnsi="宋体"/>
          <w:color w:val="auto"/>
          <w:szCs w:val="30"/>
        </w:rPr>
        <w:t xml:space="preserve">5.3 </w:t>
      </w:r>
      <w:r>
        <w:rPr>
          <w:rFonts w:ascii="宋体" w:hAnsi="宋体"/>
          <w:color w:val="auto"/>
          <w:szCs w:val="30"/>
        </w:rPr>
        <w:t>安全管理</w:t>
      </w:r>
      <w:r>
        <w:rPr>
          <w:color w:val="auto"/>
        </w:rPr>
        <w:tab/>
      </w:r>
      <w:r>
        <w:rPr>
          <w:color w:val="auto"/>
        </w:rPr>
        <w:fldChar w:fldCharType="begin"/>
      </w:r>
      <w:r>
        <w:rPr>
          <w:color w:val="auto"/>
        </w:rPr>
        <w:instrText xml:space="preserve"> PAGEREF _Toc14444 \h </w:instrText>
      </w:r>
      <w:r>
        <w:rPr>
          <w:color w:val="auto"/>
        </w:rPr>
        <w:fldChar w:fldCharType="separate"/>
      </w:r>
      <w:r>
        <w:rPr>
          <w:color w:val="auto"/>
        </w:rPr>
        <w:t>52</w:t>
      </w:r>
      <w:r>
        <w:rPr>
          <w:color w:val="auto"/>
        </w:rPr>
        <w:fldChar w:fldCharType="end"/>
      </w:r>
      <w:r>
        <w:rPr>
          <w:rFonts w:ascii="Times New Roman" w:hAnsi="Times New Roman" w:cs="Times New Roman"/>
          <w:bCs/>
          <w:color w:val="auto"/>
          <w:szCs w:val="24"/>
        </w:rPr>
        <w:fldChar w:fldCharType="end"/>
      </w:r>
    </w:p>
    <w:p w14:paraId="5B179712">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_Toc5426 </w:instrText>
      </w:r>
      <w:r>
        <w:rPr>
          <w:rFonts w:ascii="Times New Roman" w:hAnsi="Times New Roman" w:cs="Times New Roman"/>
          <w:bCs/>
          <w:color w:val="auto"/>
          <w:szCs w:val="24"/>
        </w:rPr>
        <w:fldChar w:fldCharType="separate"/>
      </w:r>
      <w:r>
        <w:rPr>
          <w:rFonts w:hint="eastAsia" w:ascii="宋体" w:hAnsi="宋体"/>
          <w:color w:val="auto"/>
          <w:szCs w:val="30"/>
        </w:rPr>
        <w:t>5.4 站址选择符合性评价</w:t>
      </w:r>
      <w:r>
        <w:rPr>
          <w:color w:val="auto"/>
        </w:rPr>
        <w:tab/>
      </w:r>
      <w:r>
        <w:rPr>
          <w:color w:val="auto"/>
        </w:rPr>
        <w:fldChar w:fldCharType="begin"/>
      </w:r>
      <w:r>
        <w:rPr>
          <w:color w:val="auto"/>
        </w:rPr>
        <w:instrText xml:space="preserve"> PAGEREF _Toc5426 \h </w:instrText>
      </w:r>
      <w:r>
        <w:rPr>
          <w:color w:val="auto"/>
        </w:rPr>
        <w:fldChar w:fldCharType="separate"/>
      </w:r>
      <w:r>
        <w:rPr>
          <w:color w:val="auto"/>
        </w:rPr>
        <w:t>54</w:t>
      </w:r>
      <w:r>
        <w:rPr>
          <w:color w:val="auto"/>
        </w:rPr>
        <w:fldChar w:fldCharType="end"/>
      </w:r>
      <w:r>
        <w:rPr>
          <w:rFonts w:ascii="Times New Roman" w:hAnsi="Times New Roman" w:cs="Times New Roman"/>
          <w:bCs/>
          <w:color w:val="auto"/>
          <w:szCs w:val="24"/>
        </w:rPr>
        <w:fldChar w:fldCharType="end"/>
      </w:r>
    </w:p>
    <w:p w14:paraId="2AB6CFA7">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_Toc15630 </w:instrText>
      </w:r>
      <w:r>
        <w:rPr>
          <w:rFonts w:ascii="Times New Roman" w:hAnsi="Times New Roman" w:cs="Times New Roman"/>
          <w:bCs/>
          <w:color w:val="auto"/>
          <w:szCs w:val="24"/>
        </w:rPr>
        <w:fldChar w:fldCharType="separate"/>
      </w:r>
      <w:r>
        <w:rPr>
          <w:rFonts w:hint="eastAsia" w:ascii="宋体" w:hAnsi="宋体"/>
          <w:color w:val="auto"/>
          <w:szCs w:val="30"/>
        </w:rPr>
        <w:t>5.5 平面布置符合性评价</w:t>
      </w:r>
      <w:r>
        <w:rPr>
          <w:color w:val="auto"/>
        </w:rPr>
        <w:tab/>
      </w:r>
      <w:r>
        <w:rPr>
          <w:color w:val="auto"/>
        </w:rPr>
        <w:fldChar w:fldCharType="begin"/>
      </w:r>
      <w:r>
        <w:rPr>
          <w:color w:val="auto"/>
        </w:rPr>
        <w:instrText xml:space="preserve"> PAGEREF _Toc15630 \h </w:instrText>
      </w:r>
      <w:r>
        <w:rPr>
          <w:color w:val="auto"/>
        </w:rPr>
        <w:fldChar w:fldCharType="separate"/>
      </w:r>
      <w:r>
        <w:rPr>
          <w:color w:val="auto"/>
        </w:rPr>
        <w:t>55</w:t>
      </w:r>
      <w:r>
        <w:rPr>
          <w:color w:val="auto"/>
        </w:rPr>
        <w:fldChar w:fldCharType="end"/>
      </w:r>
      <w:r>
        <w:rPr>
          <w:rFonts w:ascii="Times New Roman" w:hAnsi="Times New Roman" w:cs="Times New Roman"/>
          <w:bCs/>
          <w:color w:val="auto"/>
          <w:szCs w:val="24"/>
        </w:rPr>
        <w:fldChar w:fldCharType="end"/>
      </w:r>
    </w:p>
    <w:p w14:paraId="3104E2C1">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_Toc4389 </w:instrText>
      </w:r>
      <w:r>
        <w:rPr>
          <w:rFonts w:ascii="Times New Roman" w:hAnsi="Times New Roman" w:cs="Times New Roman"/>
          <w:bCs/>
          <w:color w:val="auto"/>
          <w:szCs w:val="24"/>
        </w:rPr>
        <w:fldChar w:fldCharType="separate"/>
      </w:r>
      <w:r>
        <w:rPr>
          <w:rFonts w:hint="eastAsia" w:ascii="宋体" w:hAnsi="宋体"/>
          <w:color w:val="auto"/>
          <w:szCs w:val="30"/>
        </w:rPr>
        <w:t>5.6 工艺及设施符合性评价</w:t>
      </w:r>
      <w:r>
        <w:rPr>
          <w:color w:val="auto"/>
        </w:rPr>
        <w:tab/>
      </w:r>
      <w:r>
        <w:rPr>
          <w:color w:val="auto"/>
        </w:rPr>
        <w:fldChar w:fldCharType="begin"/>
      </w:r>
      <w:r>
        <w:rPr>
          <w:color w:val="auto"/>
        </w:rPr>
        <w:instrText xml:space="preserve"> PAGEREF _Toc4389 \h </w:instrText>
      </w:r>
      <w:r>
        <w:rPr>
          <w:color w:val="auto"/>
        </w:rPr>
        <w:fldChar w:fldCharType="separate"/>
      </w:r>
      <w:r>
        <w:rPr>
          <w:color w:val="auto"/>
        </w:rPr>
        <w:t>58</w:t>
      </w:r>
      <w:r>
        <w:rPr>
          <w:color w:val="auto"/>
        </w:rPr>
        <w:fldChar w:fldCharType="end"/>
      </w:r>
      <w:r>
        <w:rPr>
          <w:rFonts w:ascii="Times New Roman" w:hAnsi="Times New Roman" w:cs="Times New Roman"/>
          <w:bCs/>
          <w:color w:val="auto"/>
          <w:szCs w:val="24"/>
        </w:rPr>
        <w:fldChar w:fldCharType="end"/>
      </w:r>
    </w:p>
    <w:p w14:paraId="225C33AA">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_Toc24393 </w:instrText>
      </w:r>
      <w:r>
        <w:rPr>
          <w:rFonts w:ascii="Times New Roman" w:hAnsi="Times New Roman" w:cs="Times New Roman"/>
          <w:bCs/>
          <w:color w:val="auto"/>
          <w:szCs w:val="24"/>
        </w:rPr>
        <w:fldChar w:fldCharType="separate"/>
      </w:r>
      <w:r>
        <w:rPr>
          <w:rFonts w:hint="eastAsia" w:ascii="宋体" w:hAnsi="宋体"/>
          <w:color w:val="auto"/>
          <w:szCs w:val="30"/>
        </w:rPr>
        <w:t>5.7 消防设施及给排水符合性评价</w:t>
      </w:r>
      <w:r>
        <w:rPr>
          <w:color w:val="auto"/>
        </w:rPr>
        <w:tab/>
      </w:r>
      <w:r>
        <w:rPr>
          <w:color w:val="auto"/>
        </w:rPr>
        <w:fldChar w:fldCharType="begin"/>
      </w:r>
      <w:r>
        <w:rPr>
          <w:color w:val="auto"/>
        </w:rPr>
        <w:instrText xml:space="preserve"> PAGEREF _Toc24393 \h </w:instrText>
      </w:r>
      <w:r>
        <w:rPr>
          <w:color w:val="auto"/>
        </w:rPr>
        <w:fldChar w:fldCharType="separate"/>
      </w:r>
      <w:r>
        <w:rPr>
          <w:color w:val="auto"/>
        </w:rPr>
        <w:t>62</w:t>
      </w:r>
      <w:r>
        <w:rPr>
          <w:color w:val="auto"/>
        </w:rPr>
        <w:fldChar w:fldCharType="end"/>
      </w:r>
      <w:r>
        <w:rPr>
          <w:rFonts w:ascii="Times New Roman" w:hAnsi="Times New Roman" w:cs="Times New Roman"/>
          <w:bCs/>
          <w:color w:val="auto"/>
          <w:szCs w:val="24"/>
        </w:rPr>
        <w:fldChar w:fldCharType="end"/>
      </w:r>
    </w:p>
    <w:p w14:paraId="712DA877">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_Toc19791 </w:instrText>
      </w:r>
      <w:r>
        <w:rPr>
          <w:rFonts w:ascii="Times New Roman" w:hAnsi="Times New Roman" w:cs="Times New Roman"/>
          <w:bCs/>
          <w:color w:val="auto"/>
          <w:szCs w:val="24"/>
        </w:rPr>
        <w:fldChar w:fldCharType="separate"/>
      </w:r>
      <w:r>
        <w:rPr>
          <w:rFonts w:hint="eastAsia" w:ascii="宋体" w:hAnsi="宋体"/>
          <w:color w:val="auto"/>
          <w:szCs w:val="30"/>
        </w:rPr>
        <w:t>5.8 电气、报警和紧急切断系统符合性评价</w:t>
      </w:r>
      <w:r>
        <w:rPr>
          <w:color w:val="auto"/>
        </w:rPr>
        <w:tab/>
      </w:r>
      <w:r>
        <w:rPr>
          <w:color w:val="auto"/>
        </w:rPr>
        <w:fldChar w:fldCharType="begin"/>
      </w:r>
      <w:r>
        <w:rPr>
          <w:color w:val="auto"/>
        </w:rPr>
        <w:instrText xml:space="preserve"> PAGEREF _Toc19791 \h </w:instrText>
      </w:r>
      <w:r>
        <w:rPr>
          <w:color w:val="auto"/>
        </w:rPr>
        <w:fldChar w:fldCharType="separate"/>
      </w:r>
      <w:r>
        <w:rPr>
          <w:color w:val="auto"/>
        </w:rPr>
        <w:t>63</w:t>
      </w:r>
      <w:r>
        <w:rPr>
          <w:color w:val="auto"/>
        </w:rPr>
        <w:fldChar w:fldCharType="end"/>
      </w:r>
      <w:r>
        <w:rPr>
          <w:rFonts w:ascii="Times New Roman" w:hAnsi="Times New Roman" w:cs="Times New Roman"/>
          <w:bCs/>
          <w:color w:val="auto"/>
          <w:szCs w:val="24"/>
        </w:rPr>
        <w:fldChar w:fldCharType="end"/>
      </w:r>
    </w:p>
    <w:p w14:paraId="2E51FDD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_Toc4827 </w:instrText>
      </w:r>
      <w:r>
        <w:rPr>
          <w:rFonts w:ascii="Times New Roman" w:hAnsi="Times New Roman" w:cs="Times New Roman"/>
          <w:bCs/>
          <w:color w:val="auto"/>
          <w:szCs w:val="24"/>
        </w:rPr>
        <w:fldChar w:fldCharType="separate"/>
      </w:r>
      <w:r>
        <w:rPr>
          <w:rFonts w:hint="eastAsia" w:ascii="宋体" w:hAnsi="宋体"/>
          <w:color w:val="auto"/>
          <w:szCs w:val="30"/>
        </w:rPr>
        <w:t>5.9 采暖通风、建（构）筑物、绿化符合性评价</w:t>
      </w:r>
      <w:r>
        <w:rPr>
          <w:color w:val="auto"/>
        </w:rPr>
        <w:tab/>
      </w:r>
      <w:r>
        <w:rPr>
          <w:color w:val="auto"/>
        </w:rPr>
        <w:fldChar w:fldCharType="begin"/>
      </w:r>
      <w:r>
        <w:rPr>
          <w:color w:val="auto"/>
        </w:rPr>
        <w:instrText xml:space="preserve"> PAGEREF _Toc4827 \h </w:instrText>
      </w:r>
      <w:r>
        <w:rPr>
          <w:color w:val="auto"/>
        </w:rPr>
        <w:fldChar w:fldCharType="separate"/>
      </w:r>
      <w:r>
        <w:rPr>
          <w:color w:val="auto"/>
        </w:rPr>
        <w:t>65</w:t>
      </w:r>
      <w:r>
        <w:rPr>
          <w:color w:val="auto"/>
        </w:rPr>
        <w:fldChar w:fldCharType="end"/>
      </w:r>
      <w:r>
        <w:rPr>
          <w:rFonts w:ascii="Times New Roman" w:hAnsi="Times New Roman" w:cs="Times New Roman"/>
          <w:bCs/>
          <w:color w:val="auto"/>
          <w:szCs w:val="24"/>
        </w:rPr>
        <w:fldChar w:fldCharType="end"/>
      </w:r>
    </w:p>
    <w:p w14:paraId="4F94E06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_Toc2196 </w:instrText>
      </w:r>
      <w:r>
        <w:rPr>
          <w:rFonts w:ascii="Times New Roman" w:hAnsi="Times New Roman" w:cs="Times New Roman"/>
          <w:bCs/>
          <w:color w:val="auto"/>
          <w:szCs w:val="24"/>
        </w:rPr>
        <w:fldChar w:fldCharType="separate"/>
      </w:r>
      <w:r>
        <w:rPr>
          <w:rFonts w:hint="eastAsia" w:ascii="宋体" w:hAnsi="宋体"/>
          <w:color w:val="auto"/>
          <w:szCs w:val="30"/>
        </w:rPr>
        <w:t>5.10加油站作业安全规范评价</w:t>
      </w:r>
      <w:r>
        <w:rPr>
          <w:color w:val="auto"/>
        </w:rPr>
        <w:tab/>
      </w:r>
      <w:r>
        <w:rPr>
          <w:color w:val="auto"/>
        </w:rPr>
        <w:fldChar w:fldCharType="begin"/>
      </w:r>
      <w:r>
        <w:rPr>
          <w:color w:val="auto"/>
        </w:rPr>
        <w:instrText xml:space="preserve"> PAGEREF _Toc2196 \h </w:instrText>
      </w:r>
      <w:r>
        <w:rPr>
          <w:color w:val="auto"/>
        </w:rPr>
        <w:fldChar w:fldCharType="separate"/>
      </w:r>
      <w:r>
        <w:rPr>
          <w:color w:val="auto"/>
        </w:rPr>
        <w:t>67</w:t>
      </w:r>
      <w:r>
        <w:rPr>
          <w:color w:val="auto"/>
        </w:rPr>
        <w:fldChar w:fldCharType="end"/>
      </w:r>
      <w:r>
        <w:rPr>
          <w:rFonts w:ascii="Times New Roman" w:hAnsi="Times New Roman" w:cs="Times New Roman"/>
          <w:bCs/>
          <w:color w:val="auto"/>
          <w:szCs w:val="24"/>
        </w:rPr>
        <w:fldChar w:fldCharType="end"/>
      </w:r>
    </w:p>
    <w:p w14:paraId="3D2B3379">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_Toc13503 </w:instrText>
      </w:r>
      <w:r>
        <w:rPr>
          <w:rFonts w:ascii="Times New Roman" w:hAnsi="Times New Roman" w:cs="Times New Roman"/>
          <w:bCs/>
          <w:color w:val="auto"/>
          <w:szCs w:val="24"/>
        </w:rPr>
        <w:fldChar w:fldCharType="separate"/>
      </w:r>
      <w:r>
        <w:rPr>
          <w:rFonts w:hint="eastAsia" w:ascii="宋体" w:hAnsi="宋体"/>
          <w:color w:val="auto"/>
          <w:szCs w:val="30"/>
        </w:rPr>
        <w:t>5.11 重点监管的危险化学品安全措施落实情况</w:t>
      </w:r>
      <w:r>
        <w:rPr>
          <w:color w:val="auto"/>
        </w:rPr>
        <w:tab/>
      </w:r>
      <w:r>
        <w:rPr>
          <w:color w:val="auto"/>
        </w:rPr>
        <w:fldChar w:fldCharType="begin"/>
      </w:r>
      <w:r>
        <w:rPr>
          <w:color w:val="auto"/>
        </w:rPr>
        <w:instrText xml:space="preserve"> PAGEREF _Toc13503 \h </w:instrText>
      </w:r>
      <w:r>
        <w:rPr>
          <w:color w:val="auto"/>
        </w:rPr>
        <w:fldChar w:fldCharType="separate"/>
      </w:r>
      <w:r>
        <w:rPr>
          <w:color w:val="auto"/>
        </w:rPr>
        <w:t>72</w:t>
      </w:r>
      <w:r>
        <w:rPr>
          <w:color w:val="auto"/>
        </w:rPr>
        <w:fldChar w:fldCharType="end"/>
      </w:r>
      <w:r>
        <w:rPr>
          <w:rFonts w:ascii="Times New Roman" w:hAnsi="Times New Roman" w:cs="Times New Roman"/>
          <w:bCs/>
          <w:color w:val="auto"/>
          <w:szCs w:val="24"/>
        </w:rPr>
        <w:fldChar w:fldCharType="end"/>
      </w:r>
    </w:p>
    <w:p w14:paraId="510B56AB">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_Toc9959 </w:instrText>
      </w:r>
      <w:r>
        <w:rPr>
          <w:rFonts w:ascii="Times New Roman" w:hAnsi="Times New Roman" w:cs="Times New Roman"/>
          <w:bCs/>
          <w:color w:val="auto"/>
          <w:szCs w:val="24"/>
        </w:rPr>
        <w:fldChar w:fldCharType="separate"/>
      </w:r>
      <w:r>
        <w:rPr>
          <w:rFonts w:hint="eastAsia" w:ascii="宋体" w:hAnsi="宋体"/>
          <w:color w:val="auto"/>
          <w:szCs w:val="30"/>
        </w:rPr>
        <w:t>5.12 重大事故隐患情况分析</w:t>
      </w:r>
      <w:r>
        <w:rPr>
          <w:color w:val="auto"/>
        </w:rPr>
        <w:tab/>
      </w:r>
      <w:r>
        <w:rPr>
          <w:color w:val="auto"/>
        </w:rPr>
        <w:fldChar w:fldCharType="begin"/>
      </w:r>
      <w:r>
        <w:rPr>
          <w:color w:val="auto"/>
        </w:rPr>
        <w:instrText xml:space="preserve"> PAGEREF _Toc9959 \h </w:instrText>
      </w:r>
      <w:r>
        <w:rPr>
          <w:color w:val="auto"/>
        </w:rPr>
        <w:fldChar w:fldCharType="separate"/>
      </w:r>
      <w:r>
        <w:rPr>
          <w:color w:val="auto"/>
        </w:rPr>
        <w:t>74</w:t>
      </w:r>
      <w:r>
        <w:rPr>
          <w:color w:val="auto"/>
        </w:rPr>
        <w:fldChar w:fldCharType="end"/>
      </w:r>
      <w:r>
        <w:rPr>
          <w:rFonts w:ascii="Times New Roman" w:hAnsi="Times New Roman" w:cs="Times New Roman"/>
          <w:bCs/>
          <w:color w:val="auto"/>
          <w:szCs w:val="24"/>
        </w:rPr>
        <w:fldChar w:fldCharType="end"/>
      </w:r>
    </w:p>
    <w:p w14:paraId="632B4F71">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_Toc20582 </w:instrText>
      </w:r>
      <w:r>
        <w:rPr>
          <w:rFonts w:ascii="Times New Roman" w:hAnsi="Times New Roman" w:cs="Times New Roman"/>
          <w:bCs/>
          <w:color w:val="auto"/>
          <w:szCs w:val="24"/>
        </w:rPr>
        <w:fldChar w:fldCharType="separate"/>
      </w:r>
      <w:r>
        <w:rPr>
          <w:rFonts w:hint="eastAsia" w:ascii="宋体" w:hAnsi="宋体"/>
          <w:color w:val="auto"/>
          <w:szCs w:val="30"/>
        </w:rPr>
        <w:t>5.13 安全分类整治评价</w:t>
      </w:r>
      <w:r>
        <w:rPr>
          <w:color w:val="auto"/>
        </w:rPr>
        <w:tab/>
      </w:r>
      <w:r>
        <w:rPr>
          <w:color w:val="auto"/>
        </w:rPr>
        <w:fldChar w:fldCharType="begin"/>
      </w:r>
      <w:r>
        <w:rPr>
          <w:color w:val="auto"/>
        </w:rPr>
        <w:instrText xml:space="preserve"> PAGEREF _Toc20582 \h </w:instrText>
      </w:r>
      <w:r>
        <w:rPr>
          <w:color w:val="auto"/>
        </w:rPr>
        <w:fldChar w:fldCharType="separate"/>
      </w:r>
      <w:r>
        <w:rPr>
          <w:color w:val="auto"/>
        </w:rPr>
        <w:t>76</w:t>
      </w:r>
      <w:r>
        <w:rPr>
          <w:color w:val="auto"/>
        </w:rPr>
        <w:fldChar w:fldCharType="end"/>
      </w:r>
      <w:r>
        <w:rPr>
          <w:rFonts w:ascii="Times New Roman" w:hAnsi="Times New Roman" w:cs="Times New Roman"/>
          <w:bCs/>
          <w:color w:val="auto"/>
          <w:szCs w:val="24"/>
        </w:rPr>
        <w:fldChar w:fldCharType="end"/>
      </w:r>
    </w:p>
    <w:p w14:paraId="448B224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_Toc26675 </w:instrText>
      </w:r>
      <w:r>
        <w:rPr>
          <w:rFonts w:ascii="Times New Roman" w:hAnsi="Times New Roman" w:cs="Times New Roman"/>
          <w:bCs/>
          <w:color w:val="auto"/>
          <w:szCs w:val="24"/>
        </w:rPr>
        <w:fldChar w:fldCharType="separate"/>
      </w:r>
      <w:r>
        <w:rPr>
          <w:rFonts w:hint="eastAsia" w:ascii="宋体" w:hAnsi="宋体"/>
          <w:color w:val="auto"/>
          <w:szCs w:val="30"/>
        </w:rPr>
        <w:t>5.14 安全经营条件评价</w:t>
      </w:r>
      <w:r>
        <w:rPr>
          <w:color w:val="auto"/>
        </w:rPr>
        <w:tab/>
      </w:r>
      <w:r>
        <w:rPr>
          <w:color w:val="auto"/>
        </w:rPr>
        <w:fldChar w:fldCharType="begin"/>
      </w:r>
      <w:r>
        <w:rPr>
          <w:color w:val="auto"/>
        </w:rPr>
        <w:instrText xml:space="preserve"> PAGEREF _Toc26675 \h </w:instrText>
      </w:r>
      <w:r>
        <w:rPr>
          <w:color w:val="auto"/>
        </w:rPr>
        <w:fldChar w:fldCharType="separate"/>
      </w:r>
      <w:r>
        <w:rPr>
          <w:color w:val="auto"/>
        </w:rPr>
        <w:t>82</w:t>
      </w:r>
      <w:r>
        <w:rPr>
          <w:color w:val="auto"/>
        </w:rPr>
        <w:fldChar w:fldCharType="end"/>
      </w:r>
      <w:r>
        <w:rPr>
          <w:rFonts w:ascii="Times New Roman" w:hAnsi="Times New Roman" w:cs="Times New Roman"/>
          <w:bCs/>
          <w:color w:val="auto"/>
          <w:szCs w:val="24"/>
        </w:rPr>
        <w:fldChar w:fldCharType="end"/>
      </w:r>
    </w:p>
    <w:p w14:paraId="0AF7028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_Toc26461 </w:instrText>
      </w:r>
      <w:r>
        <w:rPr>
          <w:rFonts w:ascii="Times New Roman" w:hAnsi="Times New Roman" w:cs="Times New Roman"/>
          <w:bCs/>
          <w:color w:val="auto"/>
          <w:szCs w:val="24"/>
        </w:rPr>
        <w:fldChar w:fldCharType="separate"/>
      </w:r>
      <w:r>
        <w:rPr>
          <w:rFonts w:hint="eastAsia" w:ascii="宋体" w:hAnsi="宋体"/>
          <w:color w:val="auto"/>
          <w:szCs w:val="30"/>
        </w:rPr>
        <w:t>5.15 安全设施符合性诊断及整改设计提出的对策措施采纳情况</w:t>
      </w:r>
      <w:r>
        <w:rPr>
          <w:color w:val="auto"/>
        </w:rPr>
        <w:tab/>
      </w:r>
      <w:r>
        <w:rPr>
          <w:color w:val="auto"/>
        </w:rPr>
        <w:fldChar w:fldCharType="begin"/>
      </w:r>
      <w:r>
        <w:rPr>
          <w:color w:val="auto"/>
        </w:rPr>
        <w:instrText xml:space="preserve"> PAGEREF _Toc26461 \h </w:instrText>
      </w:r>
      <w:r>
        <w:rPr>
          <w:color w:val="auto"/>
        </w:rPr>
        <w:fldChar w:fldCharType="separate"/>
      </w:r>
      <w:r>
        <w:rPr>
          <w:color w:val="auto"/>
        </w:rPr>
        <w:t>83</w:t>
      </w:r>
      <w:r>
        <w:rPr>
          <w:color w:val="auto"/>
        </w:rPr>
        <w:fldChar w:fldCharType="end"/>
      </w:r>
      <w:r>
        <w:rPr>
          <w:rFonts w:ascii="Times New Roman" w:hAnsi="Times New Roman" w:cs="Times New Roman"/>
          <w:bCs/>
          <w:color w:val="auto"/>
          <w:szCs w:val="24"/>
        </w:rPr>
        <w:fldChar w:fldCharType="end"/>
      </w:r>
    </w:p>
    <w:p w14:paraId="67D19EDA">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_Toc19418 </w:instrText>
      </w:r>
      <w:r>
        <w:rPr>
          <w:rFonts w:ascii="Times New Roman" w:hAnsi="Times New Roman" w:cs="Times New Roman"/>
          <w:bCs/>
          <w:color w:val="auto"/>
          <w:szCs w:val="24"/>
        </w:rPr>
        <w:fldChar w:fldCharType="separate"/>
      </w:r>
      <w:r>
        <w:rPr>
          <w:rFonts w:ascii="宋体" w:hAnsi="宋体"/>
          <w:color w:val="auto"/>
          <w:szCs w:val="30"/>
        </w:rPr>
        <w:t>5.</w:t>
      </w:r>
      <w:r>
        <w:rPr>
          <w:rFonts w:hint="eastAsia" w:ascii="宋体" w:hAnsi="宋体"/>
          <w:color w:val="auto"/>
          <w:szCs w:val="30"/>
        </w:rPr>
        <w:t>16</w:t>
      </w:r>
      <w:r>
        <w:rPr>
          <w:rFonts w:ascii="宋体" w:hAnsi="宋体"/>
          <w:color w:val="auto"/>
          <w:szCs w:val="30"/>
        </w:rPr>
        <w:t xml:space="preserve"> 加油站安全检查表</w:t>
      </w:r>
      <w:r>
        <w:rPr>
          <w:color w:val="auto"/>
        </w:rPr>
        <w:tab/>
      </w:r>
      <w:r>
        <w:rPr>
          <w:color w:val="auto"/>
        </w:rPr>
        <w:fldChar w:fldCharType="begin"/>
      </w:r>
      <w:r>
        <w:rPr>
          <w:color w:val="auto"/>
        </w:rPr>
        <w:instrText xml:space="preserve"> PAGEREF _Toc19418 \h </w:instrText>
      </w:r>
      <w:r>
        <w:rPr>
          <w:color w:val="auto"/>
        </w:rPr>
        <w:fldChar w:fldCharType="separate"/>
      </w:r>
      <w:r>
        <w:rPr>
          <w:color w:val="auto"/>
        </w:rPr>
        <w:t>91</w:t>
      </w:r>
      <w:r>
        <w:rPr>
          <w:color w:val="auto"/>
        </w:rPr>
        <w:fldChar w:fldCharType="end"/>
      </w:r>
      <w:r>
        <w:rPr>
          <w:rFonts w:ascii="Times New Roman" w:hAnsi="Times New Roman" w:cs="Times New Roman"/>
          <w:bCs/>
          <w:color w:val="auto"/>
          <w:szCs w:val="24"/>
        </w:rPr>
        <w:fldChar w:fldCharType="end"/>
      </w:r>
    </w:p>
    <w:p w14:paraId="67E11C50">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_Toc5986 </w:instrText>
      </w:r>
      <w:r>
        <w:rPr>
          <w:rFonts w:ascii="Times New Roman" w:hAnsi="Times New Roman" w:cs="Times New Roman"/>
          <w:bCs/>
          <w:color w:val="auto"/>
          <w:szCs w:val="24"/>
        </w:rPr>
        <w:fldChar w:fldCharType="separate"/>
      </w:r>
      <w:r>
        <w:rPr>
          <w:rFonts w:hint="eastAsia" w:ascii="Times New Roman" w:hAnsi="Times New Roman" w:cs="Times New Roman"/>
          <w:bCs/>
          <w:color w:val="auto"/>
          <w:kern w:val="36"/>
          <w:szCs w:val="32"/>
        </w:rPr>
        <w:t>6</w:t>
      </w:r>
      <w:r>
        <w:rPr>
          <w:rFonts w:ascii="Times New Roman" w:hAnsi="Times New Roman" w:cs="Times New Roman"/>
          <w:bCs/>
          <w:color w:val="auto"/>
          <w:kern w:val="36"/>
          <w:szCs w:val="32"/>
        </w:rPr>
        <w:t xml:space="preserve"> </w:t>
      </w:r>
      <w:r>
        <w:rPr>
          <w:rFonts w:hint="eastAsia" w:ascii="Times New Roman" w:hAnsi="Times New Roman" w:cs="宋体"/>
          <w:bCs/>
          <w:color w:val="auto"/>
          <w:kern w:val="36"/>
          <w:szCs w:val="32"/>
        </w:rPr>
        <w:t>整改落实情况</w:t>
      </w:r>
      <w:r>
        <w:rPr>
          <w:color w:val="auto"/>
        </w:rPr>
        <w:tab/>
      </w:r>
      <w:r>
        <w:rPr>
          <w:color w:val="auto"/>
        </w:rPr>
        <w:fldChar w:fldCharType="begin"/>
      </w:r>
      <w:r>
        <w:rPr>
          <w:color w:val="auto"/>
        </w:rPr>
        <w:instrText xml:space="preserve"> PAGEREF _Toc5986 \h </w:instrText>
      </w:r>
      <w:r>
        <w:rPr>
          <w:color w:val="auto"/>
        </w:rPr>
        <w:fldChar w:fldCharType="separate"/>
      </w:r>
      <w:r>
        <w:rPr>
          <w:color w:val="auto"/>
        </w:rPr>
        <w:t>98</w:t>
      </w:r>
      <w:r>
        <w:rPr>
          <w:color w:val="auto"/>
        </w:rPr>
        <w:fldChar w:fldCharType="end"/>
      </w:r>
      <w:r>
        <w:rPr>
          <w:rFonts w:ascii="Times New Roman" w:hAnsi="Times New Roman" w:cs="Times New Roman"/>
          <w:bCs/>
          <w:color w:val="auto"/>
          <w:szCs w:val="24"/>
        </w:rPr>
        <w:fldChar w:fldCharType="end"/>
      </w:r>
    </w:p>
    <w:p w14:paraId="0BC6B458">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_Toc11519 </w:instrText>
      </w:r>
      <w:r>
        <w:rPr>
          <w:rFonts w:ascii="Times New Roman" w:hAnsi="Times New Roman" w:cs="Times New Roman"/>
          <w:bCs/>
          <w:color w:val="auto"/>
          <w:szCs w:val="24"/>
        </w:rPr>
        <w:fldChar w:fldCharType="separate"/>
      </w:r>
      <w:r>
        <w:rPr>
          <w:rFonts w:hint="eastAsia" w:ascii="Times New Roman" w:hAnsi="Times New Roman" w:cs="Times New Roman"/>
          <w:bCs/>
          <w:color w:val="auto"/>
          <w:szCs w:val="28"/>
        </w:rPr>
        <w:t>6.1</w:t>
      </w:r>
      <w:r>
        <w:rPr>
          <w:rFonts w:ascii="Times New Roman" w:hAnsi="Times New Roman" w:cs="Times New Roman"/>
          <w:bCs/>
          <w:color w:val="auto"/>
          <w:szCs w:val="28"/>
        </w:rPr>
        <w:t xml:space="preserve"> </w:t>
      </w:r>
      <w:r>
        <w:rPr>
          <w:rFonts w:hint="eastAsia" w:ascii="宋体" w:hAnsi="宋体" w:cs="宋体"/>
          <w:bCs/>
          <w:color w:val="auto"/>
          <w:szCs w:val="28"/>
        </w:rPr>
        <w:t>安全设施符合性诊断及整改设计提出的整改项落实情况</w:t>
      </w:r>
      <w:r>
        <w:rPr>
          <w:color w:val="auto"/>
        </w:rPr>
        <w:tab/>
      </w:r>
      <w:r>
        <w:rPr>
          <w:color w:val="auto"/>
        </w:rPr>
        <w:fldChar w:fldCharType="begin"/>
      </w:r>
      <w:r>
        <w:rPr>
          <w:color w:val="auto"/>
        </w:rPr>
        <w:instrText xml:space="preserve"> PAGEREF _Toc11519 \h </w:instrText>
      </w:r>
      <w:r>
        <w:rPr>
          <w:color w:val="auto"/>
        </w:rPr>
        <w:fldChar w:fldCharType="separate"/>
      </w:r>
      <w:r>
        <w:rPr>
          <w:color w:val="auto"/>
        </w:rPr>
        <w:t>98</w:t>
      </w:r>
      <w:r>
        <w:rPr>
          <w:color w:val="auto"/>
        </w:rPr>
        <w:fldChar w:fldCharType="end"/>
      </w:r>
      <w:r>
        <w:rPr>
          <w:rFonts w:ascii="Times New Roman" w:hAnsi="Times New Roman" w:cs="Times New Roman"/>
          <w:bCs/>
          <w:color w:val="auto"/>
          <w:szCs w:val="24"/>
        </w:rPr>
        <w:fldChar w:fldCharType="end"/>
      </w:r>
    </w:p>
    <w:p w14:paraId="48831ED1">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_Toc6656 </w:instrText>
      </w:r>
      <w:r>
        <w:rPr>
          <w:rFonts w:ascii="Times New Roman" w:hAnsi="Times New Roman" w:cs="Times New Roman"/>
          <w:bCs/>
          <w:color w:val="auto"/>
          <w:szCs w:val="24"/>
        </w:rPr>
        <w:fldChar w:fldCharType="separate"/>
      </w:r>
      <w:r>
        <w:rPr>
          <w:rFonts w:hint="eastAsia" w:ascii="Times New Roman" w:hAnsi="Times New Roman" w:cs="Times New Roman"/>
          <w:bCs/>
          <w:color w:val="auto"/>
          <w:szCs w:val="28"/>
        </w:rPr>
        <w:t>6</w:t>
      </w:r>
      <w:r>
        <w:rPr>
          <w:rFonts w:ascii="Times New Roman" w:hAnsi="Times New Roman" w:cs="Times New Roman"/>
          <w:bCs/>
          <w:color w:val="auto"/>
          <w:szCs w:val="28"/>
        </w:rPr>
        <w:t>.</w:t>
      </w:r>
      <w:r>
        <w:rPr>
          <w:rFonts w:hint="eastAsia" w:ascii="Times New Roman" w:hAnsi="Times New Roman" w:cs="Times New Roman"/>
          <w:bCs/>
          <w:color w:val="auto"/>
          <w:szCs w:val="28"/>
        </w:rPr>
        <w:t>2</w:t>
      </w:r>
      <w:r>
        <w:rPr>
          <w:rFonts w:hint="eastAsia" w:ascii="Times New Roman" w:hAnsi="Times New Roman" w:cs="宋体"/>
          <w:bCs/>
          <w:color w:val="auto"/>
          <w:szCs w:val="28"/>
        </w:rPr>
        <w:t>隐患整改措施</w:t>
      </w:r>
      <w:r>
        <w:rPr>
          <w:color w:val="auto"/>
        </w:rPr>
        <w:tab/>
      </w:r>
      <w:r>
        <w:rPr>
          <w:color w:val="auto"/>
        </w:rPr>
        <w:fldChar w:fldCharType="begin"/>
      </w:r>
      <w:r>
        <w:rPr>
          <w:color w:val="auto"/>
        </w:rPr>
        <w:instrText xml:space="preserve"> PAGEREF _Toc6656 \h </w:instrText>
      </w:r>
      <w:r>
        <w:rPr>
          <w:color w:val="auto"/>
        </w:rPr>
        <w:fldChar w:fldCharType="separate"/>
      </w:r>
      <w:r>
        <w:rPr>
          <w:color w:val="auto"/>
        </w:rPr>
        <w:t>98</w:t>
      </w:r>
      <w:r>
        <w:rPr>
          <w:color w:val="auto"/>
        </w:rPr>
        <w:fldChar w:fldCharType="end"/>
      </w:r>
      <w:r>
        <w:rPr>
          <w:rFonts w:ascii="Times New Roman" w:hAnsi="Times New Roman" w:cs="Times New Roman"/>
          <w:bCs/>
          <w:color w:val="auto"/>
          <w:szCs w:val="24"/>
        </w:rPr>
        <w:fldChar w:fldCharType="end"/>
      </w:r>
    </w:p>
    <w:p w14:paraId="3EFD2798">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_Toc17959 </w:instrText>
      </w:r>
      <w:r>
        <w:rPr>
          <w:rFonts w:ascii="Times New Roman" w:hAnsi="Times New Roman" w:cs="Times New Roman"/>
          <w:bCs/>
          <w:color w:val="auto"/>
          <w:szCs w:val="24"/>
        </w:rPr>
        <w:fldChar w:fldCharType="separate"/>
      </w:r>
      <w:r>
        <w:rPr>
          <w:rFonts w:hint="eastAsia" w:ascii="Times New Roman" w:hAnsi="Times New Roman" w:cs="Times New Roman"/>
          <w:bCs/>
          <w:color w:val="auto"/>
          <w:szCs w:val="28"/>
        </w:rPr>
        <w:t>6</w:t>
      </w:r>
      <w:r>
        <w:rPr>
          <w:rFonts w:ascii="Times New Roman" w:hAnsi="Times New Roman" w:cs="Times New Roman"/>
          <w:bCs/>
          <w:color w:val="auto"/>
          <w:szCs w:val="28"/>
        </w:rPr>
        <w:t>.</w:t>
      </w:r>
      <w:r>
        <w:rPr>
          <w:rFonts w:hint="eastAsia" w:ascii="Times New Roman" w:hAnsi="Times New Roman" w:cs="Times New Roman"/>
          <w:bCs/>
          <w:color w:val="auto"/>
          <w:szCs w:val="28"/>
        </w:rPr>
        <w:t>3</w:t>
      </w:r>
      <w:r>
        <w:rPr>
          <w:rFonts w:ascii="Times New Roman" w:hAnsi="Times New Roman" w:cs="Times New Roman"/>
          <w:bCs/>
          <w:color w:val="auto"/>
          <w:szCs w:val="28"/>
        </w:rPr>
        <w:t xml:space="preserve"> </w:t>
      </w:r>
      <w:r>
        <w:rPr>
          <w:rFonts w:hint="eastAsia" w:ascii="Times New Roman" w:hAnsi="Times New Roman" w:cs="宋体"/>
          <w:bCs/>
          <w:color w:val="auto"/>
          <w:szCs w:val="28"/>
        </w:rPr>
        <w:t>整改落实情况</w:t>
      </w:r>
      <w:r>
        <w:rPr>
          <w:color w:val="auto"/>
        </w:rPr>
        <w:tab/>
      </w:r>
      <w:r>
        <w:rPr>
          <w:color w:val="auto"/>
        </w:rPr>
        <w:fldChar w:fldCharType="begin"/>
      </w:r>
      <w:r>
        <w:rPr>
          <w:color w:val="auto"/>
        </w:rPr>
        <w:instrText xml:space="preserve"> PAGEREF _Toc17959 \h </w:instrText>
      </w:r>
      <w:r>
        <w:rPr>
          <w:color w:val="auto"/>
        </w:rPr>
        <w:fldChar w:fldCharType="separate"/>
      </w:r>
      <w:r>
        <w:rPr>
          <w:color w:val="auto"/>
        </w:rPr>
        <w:t>98</w:t>
      </w:r>
      <w:r>
        <w:rPr>
          <w:color w:val="auto"/>
        </w:rPr>
        <w:fldChar w:fldCharType="end"/>
      </w:r>
      <w:r>
        <w:rPr>
          <w:rFonts w:ascii="Times New Roman" w:hAnsi="Times New Roman" w:cs="Times New Roman"/>
          <w:bCs/>
          <w:color w:val="auto"/>
          <w:szCs w:val="24"/>
        </w:rPr>
        <w:fldChar w:fldCharType="end"/>
      </w:r>
    </w:p>
    <w:p w14:paraId="4D7CC581">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_Toc12836 </w:instrText>
      </w:r>
      <w:r>
        <w:rPr>
          <w:rFonts w:ascii="Times New Roman" w:hAnsi="Times New Roman" w:cs="Times New Roman"/>
          <w:bCs/>
          <w:color w:val="auto"/>
          <w:szCs w:val="24"/>
        </w:rPr>
        <w:fldChar w:fldCharType="separate"/>
      </w:r>
      <w:r>
        <w:rPr>
          <w:rFonts w:hint="eastAsia" w:ascii="Times New Roman" w:hAnsi="Times New Roman" w:cs="Times New Roman"/>
          <w:bCs/>
          <w:color w:val="auto"/>
          <w:szCs w:val="28"/>
        </w:rPr>
        <w:t>6</w:t>
      </w:r>
      <w:r>
        <w:rPr>
          <w:rFonts w:ascii="Times New Roman" w:hAnsi="Times New Roman" w:cs="Times New Roman"/>
          <w:bCs/>
          <w:color w:val="auto"/>
          <w:szCs w:val="28"/>
        </w:rPr>
        <w:t>.</w:t>
      </w:r>
      <w:r>
        <w:rPr>
          <w:rFonts w:hint="eastAsia" w:ascii="Times New Roman" w:hAnsi="Times New Roman" w:cs="Times New Roman"/>
          <w:bCs/>
          <w:color w:val="auto"/>
          <w:szCs w:val="28"/>
        </w:rPr>
        <w:t>4</w:t>
      </w:r>
      <w:r>
        <w:rPr>
          <w:rFonts w:ascii="Times New Roman" w:hAnsi="Times New Roman" w:cs="Times New Roman"/>
          <w:bCs/>
          <w:color w:val="auto"/>
          <w:szCs w:val="28"/>
        </w:rPr>
        <w:t xml:space="preserve"> </w:t>
      </w:r>
      <w:r>
        <w:rPr>
          <w:rFonts w:hint="eastAsia" w:ascii="Times New Roman" w:hAnsi="Times New Roman" w:cs="宋体"/>
          <w:bCs/>
          <w:color w:val="auto"/>
          <w:szCs w:val="28"/>
        </w:rPr>
        <w:t>建议补充的安全对策措施</w:t>
      </w:r>
      <w:r>
        <w:rPr>
          <w:color w:val="auto"/>
        </w:rPr>
        <w:tab/>
      </w:r>
      <w:r>
        <w:rPr>
          <w:color w:val="auto"/>
        </w:rPr>
        <w:fldChar w:fldCharType="begin"/>
      </w:r>
      <w:r>
        <w:rPr>
          <w:color w:val="auto"/>
        </w:rPr>
        <w:instrText xml:space="preserve"> PAGEREF _Toc12836 \h </w:instrText>
      </w:r>
      <w:r>
        <w:rPr>
          <w:color w:val="auto"/>
        </w:rPr>
        <w:fldChar w:fldCharType="separate"/>
      </w:r>
      <w:r>
        <w:rPr>
          <w:color w:val="auto"/>
        </w:rPr>
        <w:t>99</w:t>
      </w:r>
      <w:r>
        <w:rPr>
          <w:color w:val="auto"/>
        </w:rPr>
        <w:fldChar w:fldCharType="end"/>
      </w:r>
      <w:r>
        <w:rPr>
          <w:rFonts w:ascii="Times New Roman" w:hAnsi="Times New Roman" w:cs="Times New Roman"/>
          <w:bCs/>
          <w:color w:val="auto"/>
          <w:szCs w:val="24"/>
        </w:rPr>
        <w:fldChar w:fldCharType="end"/>
      </w:r>
    </w:p>
    <w:p w14:paraId="364CCBDF">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_Toc32515 </w:instrText>
      </w:r>
      <w:r>
        <w:rPr>
          <w:rFonts w:ascii="Times New Roman" w:hAnsi="Times New Roman" w:cs="Times New Roman"/>
          <w:bCs/>
          <w:color w:val="auto"/>
          <w:szCs w:val="24"/>
        </w:rPr>
        <w:fldChar w:fldCharType="separate"/>
      </w:r>
      <w:r>
        <w:rPr>
          <w:rFonts w:hint="eastAsia"/>
          <w:color w:val="auto"/>
        </w:rPr>
        <w:t>7</w:t>
      </w:r>
      <w:r>
        <w:rPr>
          <w:color w:val="auto"/>
        </w:rPr>
        <w:t xml:space="preserve"> </w:t>
      </w:r>
      <w:r>
        <w:rPr>
          <w:rFonts w:hint="eastAsia"/>
          <w:color w:val="auto"/>
        </w:rPr>
        <w:t>安全验收评价结论</w:t>
      </w:r>
      <w:r>
        <w:rPr>
          <w:color w:val="auto"/>
        </w:rPr>
        <w:tab/>
      </w:r>
      <w:r>
        <w:rPr>
          <w:color w:val="auto"/>
        </w:rPr>
        <w:fldChar w:fldCharType="begin"/>
      </w:r>
      <w:r>
        <w:rPr>
          <w:color w:val="auto"/>
        </w:rPr>
        <w:instrText xml:space="preserve"> PAGEREF _Toc32515 \h </w:instrText>
      </w:r>
      <w:r>
        <w:rPr>
          <w:color w:val="auto"/>
        </w:rPr>
        <w:fldChar w:fldCharType="separate"/>
      </w:r>
      <w:r>
        <w:rPr>
          <w:color w:val="auto"/>
        </w:rPr>
        <w:t>100</w:t>
      </w:r>
      <w:r>
        <w:rPr>
          <w:color w:val="auto"/>
        </w:rPr>
        <w:fldChar w:fldCharType="end"/>
      </w:r>
      <w:r>
        <w:rPr>
          <w:rFonts w:ascii="Times New Roman" w:hAnsi="Times New Roman" w:cs="Times New Roman"/>
          <w:bCs/>
          <w:color w:val="auto"/>
          <w:szCs w:val="24"/>
        </w:rPr>
        <w:fldChar w:fldCharType="end"/>
      </w:r>
    </w:p>
    <w:p w14:paraId="7E90C8AB">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_Toc32593 </w:instrText>
      </w:r>
      <w:r>
        <w:rPr>
          <w:rFonts w:ascii="Times New Roman" w:hAnsi="Times New Roman" w:cs="Times New Roman"/>
          <w:bCs/>
          <w:color w:val="auto"/>
          <w:szCs w:val="24"/>
        </w:rPr>
        <w:fldChar w:fldCharType="separate"/>
      </w:r>
      <w:r>
        <w:rPr>
          <w:rFonts w:hint="eastAsia" w:ascii="宋体" w:hAnsi="宋体"/>
          <w:color w:val="auto"/>
          <w:szCs w:val="32"/>
        </w:rPr>
        <w:t>附件</w:t>
      </w:r>
      <w:r>
        <w:rPr>
          <w:color w:val="auto"/>
        </w:rPr>
        <w:tab/>
      </w:r>
      <w:r>
        <w:rPr>
          <w:color w:val="auto"/>
        </w:rPr>
        <w:fldChar w:fldCharType="begin"/>
      </w:r>
      <w:r>
        <w:rPr>
          <w:color w:val="auto"/>
        </w:rPr>
        <w:instrText xml:space="preserve"> PAGEREF _Toc32593 \h </w:instrText>
      </w:r>
      <w:r>
        <w:rPr>
          <w:color w:val="auto"/>
        </w:rPr>
        <w:fldChar w:fldCharType="separate"/>
      </w:r>
      <w:r>
        <w:rPr>
          <w:color w:val="auto"/>
        </w:rPr>
        <w:t>102</w:t>
      </w:r>
      <w:r>
        <w:rPr>
          <w:color w:val="auto"/>
        </w:rPr>
        <w:fldChar w:fldCharType="end"/>
      </w:r>
      <w:r>
        <w:rPr>
          <w:rFonts w:ascii="Times New Roman" w:hAnsi="Times New Roman" w:cs="Times New Roman"/>
          <w:bCs/>
          <w:color w:val="auto"/>
          <w:szCs w:val="24"/>
        </w:rPr>
        <w:fldChar w:fldCharType="end"/>
      </w:r>
    </w:p>
    <w:p w14:paraId="4D5881D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cs="Times New Roman"/>
          <w:color w:val="auto"/>
          <w:sz w:val="28"/>
          <w:szCs w:val="28"/>
        </w:rPr>
        <w:sectPr>
          <w:pgSz w:w="11906" w:h="16838"/>
          <w:pgMar w:top="1417" w:right="1417" w:bottom="1417" w:left="1417" w:header="851" w:footer="992" w:gutter="0"/>
          <w:pgNumType w:fmt="upperRoman" w:start="1"/>
          <w:cols w:space="425" w:num="1"/>
          <w:docGrid w:type="lines" w:linePitch="312" w:charSpace="0"/>
        </w:sectPr>
      </w:pPr>
      <w:r>
        <w:rPr>
          <w:rFonts w:ascii="Times New Roman" w:hAnsi="Times New Roman" w:cs="Times New Roman"/>
          <w:bCs/>
          <w:color w:val="auto"/>
          <w:szCs w:val="24"/>
        </w:rPr>
        <w:fldChar w:fldCharType="end"/>
      </w:r>
    </w:p>
    <w:p w14:paraId="5B44EF86">
      <w:pPr>
        <w:spacing w:line="60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中国石化销售股份有限公司</w:t>
      </w:r>
    </w:p>
    <w:p w14:paraId="5C936DCC">
      <w:pPr>
        <w:spacing w:line="600" w:lineRule="exact"/>
        <w:jc w:val="center"/>
        <w:rPr>
          <w:rFonts w:hint="eastAsia" w:ascii="Times New Roman" w:hAnsi="Times New Roman" w:eastAsia="宋体" w:cs="宋体"/>
          <w:b/>
          <w:bCs/>
          <w:color w:val="auto"/>
          <w:sz w:val="32"/>
          <w:szCs w:val="32"/>
          <w:lang w:eastAsia="zh-CN"/>
        </w:rPr>
      </w:pPr>
      <w:r>
        <w:rPr>
          <w:rFonts w:hint="eastAsia" w:ascii="Times New Roman" w:hAnsi="Times New Roman" w:cs="宋体"/>
          <w:b/>
          <w:bCs/>
          <w:color w:val="auto"/>
          <w:sz w:val="32"/>
          <w:szCs w:val="32"/>
        </w:rPr>
        <w:t>江西赣州</w:t>
      </w:r>
      <w:r>
        <w:rPr>
          <w:rFonts w:hint="eastAsia" w:ascii="Times New Roman" w:hAnsi="Times New Roman" w:cs="宋体"/>
          <w:b/>
          <w:bCs/>
          <w:color w:val="auto"/>
          <w:sz w:val="32"/>
          <w:szCs w:val="32"/>
          <w:lang w:eastAsia="zh-CN"/>
        </w:rPr>
        <w:t>兴国石油分公司江背加油站</w:t>
      </w:r>
    </w:p>
    <w:p w14:paraId="504CFFE5">
      <w:pPr>
        <w:spacing w:line="60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安全设施符合性诊断及整改设计</w:t>
      </w:r>
    </w:p>
    <w:p w14:paraId="1B920775">
      <w:pPr>
        <w:spacing w:line="600" w:lineRule="exact"/>
        <w:jc w:val="center"/>
        <w:rPr>
          <w:rFonts w:ascii="Times New Roman" w:hAnsi="Times New Roman" w:cs="Times New Roman"/>
          <w:b/>
          <w:bCs/>
          <w:color w:val="auto"/>
          <w:sz w:val="32"/>
          <w:szCs w:val="32"/>
        </w:rPr>
      </w:pPr>
      <w:r>
        <w:rPr>
          <w:rFonts w:hint="eastAsia" w:ascii="Times New Roman" w:hAnsi="Times New Roman" w:cs="宋体"/>
          <w:b/>
          <w:bCs/>
          <w:color w:val="auto"/>
          <w:sz w:val="32"/>
          <w:szCs w:val="32"/>
        </w:rPr>
        <w:t>验收评价报告</w:t>
      </w:r>
    </w:p>
    <w:p w14:paraId="03D026B5">
      <w:pPr>
        <w:pStyle w:val="2"/>
        <w:rPr>
          <w:color w:val="auto"/>
          <w:sz w:val="32"/>
          <w:szCs w:val="32"/>
        </w:rPr>
      </w:pPr>
      <w:bookmarkStart w:id="0" w:name="_Toc16878"/>
      <w:bookmarkStart w:id="1" w:name="_Toc19016"/>
    </w:p>
    <w:p w14:paraId="77DDBEFE">
      <w:pPr>
        <w:pStyle w:val="2"/>
        <w:pageBreakBefore w:val="0"/>
        <w:kinsoku/>
        <w:wordWrap/>
        <w:overflowPunct/>
        <w:topLinePunct w:val="0"/>
        <w:autoSpaceDE/>
        <w:autoSpaceDN/>
        <w:bidi w:val="0"/>
        <w:spacing w:line="580" w:lineRule="exact"/>
        <w:textAlignment w:val="auto"/>
        <w:rPr>
          <w:color w:val="auto"/>
          <w:sz w:val="32"/>
          <w:szCs w:val="32"/>
        </w:rPr>
      </w:pPr>
      <w:r>
        <w:rPr>
          <w:color w:val="auto"/>
          <w:sz w:val="32"/>
          <w:szCs w:val="32"/>
        </w:rPr>
        <w:t xml:space="preserve">1 </w:t>
      </w:r>
      <w:r>
        <w:rPr>
          <w:rFonts w:hint="eastAsia" w:cs="宋体"/>
          <w:color w:val="auto"/>
          <w:sz w:val="32"/>
          <w:szCs w:val="32"/>
        </w:rPr>
        <w:t>评价概述</w:t>
      </w:r>
      <w:bookmarkEnd w:id="0"/>
      <w:bookmarkEnd w:id="1"/>
    </w:p>
    <w:p w14:paraId="6C23E7A4">
      <w:pPr>
        <w:pStyle w:val="3"/>
        <w:pageBreakBefore w:val="0"/>
        <w:kinsoku/>
        <w:wordWrap/>
        <w:overflowPunct/>
        <w:topLinePunct w:val="0"/>
        <w:autoSpaceDE/>
        <w:autoSpaceDN/>
        <w:bidi w:val="0"/>
        <w:spacing w:line="580" w:lineRule="exact"/>
        <w:textAlignment w:val="auto"/>
        <w:rPr>
          <w:color w:val="auto"/>
          <w:sz w:val="32"/>
          <w:szCs w:val="32"/>
        </w:rPr>
      </w:pPr>
      <w:bookmarkStart w:id="2" w:name="_Toc12544"/>
      <w:bookmarkStart w:id="3" w:name="_Toc343692239"/>
      <w:bookmarkStart w:id="4" w:name="_Toc20305"/>
      <w:r>
        <w:rPr>
          <w:color w:val="auto"/>
          <w:sz w:val="32"/>
          <w:szCs w:val="32"/>
        </w:rPr>
        <w:t>1.1</w:t>
      </w:r>
      <w:r>
        <w:rPr>
          <w:rFonts w:hint="eastAsia" w:cs="宋体"/>
          <w:color w:val="auto"/>
          <w:sz w:val="32"/>
          <w:szCs w:val="32"/>
        </w:rPr>
        <w:t>评价的目的和原则</w:t>
      </w:r>
      <w:bookmarkEnd w:id="2"/>
      <w:bookmarkEnd w:id="3"/>
      <w:bookmarkEnd w:id="4"/>
    </w:p>
    <w:p w14:paraId="5B8DCCF9">
      <w:pPr>
        <w:pStyle w:val="4"/>
        <w:pageBreakBefore w:val="0"/>
        <w:kinsoku/>
        <w:wordWrap/>
        <w:overflowPunct/>
        <w:topLinePunct w:val="0"/>
        <w:autoSpaceDE/>
        <w:autoSpaceDN/>
        <w:bidi w:val="0"/>
        <w:spacing w:line="580" w:lineRule="exact"/>
        <w:textAlignment w:val="auto"/>
        <w:rPr>
          <w:color w:val="auto"/>
        </w:rPr>
      </w:pPr>
      <w:bookmarkStart w:id="5" w:name="_Toc22256"/>
      <w:r>
        <w:rPr>
          <w:color w:val="auto"/>
        </w:rPr>
        <w:t>1.1.1</w:t>
      </w:r>
      <w:r>
        <w:rPr>
          <w:rFonts w:hint="eastAsia" w:cs="宋体"/>
          <w:color w:val="auto"/>
        </w:rPr>
        <w:t>评价的目的</w:t>
      </w:r>
      <w:bookmarkEnd w:id="5"/>
      <w:r>
        <w:rPr>
          <w:color w:val="auto"/>
        </w:rPr>
        <w:t xml:space="preserve"> </w:t>
      </w:r>
    </w:p>
    <w:p w14:paraId="4FD144DA">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本项目验收评价的目的是贯彻“安全第一、预防为主、综合治理”的方针，为项目安全验收提供科学依据。</w:t>
      </w:r>
    </w:p>
    <w:p w14:paraId="07208B9A">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通过对项目的设施、设备、装置运行状况及安全管理状况的安全评价，查找该项目存在的危险、有害因素的种类和程度；评价项目及与之配套的安全设施是否符合国家有关安全生产的法律法规和技术标准；提出合理可行的安全对策措施及建议。</w:t>
      </w:r>
    </w:p>
    <w:p w14:paraId="1F29A87D">
      <w:pPr>
        <w:pStyle w:val="4"/>
        <w:pageBreakBefore w:val="0"/>
        <w:kinsoku/>
        <w:wordWrap/>
        <w:overflowPunct/>
        <w:topLinePunct w:val="0"/>
        <w:autoSpaceDE/>
        <w:autoSpaceDN/>
        <w:bidi w:val="0"/>
        <w:spacing w:line="580" w:lineRule="exact"/>
        <w:textAlignment w:val="auto"/>
        <w:rPr>
          <w:rFonts w:cs="Times New Roman"/>
          <w:color w:val="auto"/>
        </w:rPr>
      </w:pPr>
      <w:bookmarkStart w:id="6" w:name="_Toc17968"/>
      <w:r>
        <w:rPr>
          <w:color w:val="auto"/>
        </w:rPr>
        <w:t>1.1.2</w:t>
      </w:r>
      <w:r>
        <w:rPr>
          <w:rFonts w:hint="eastAsia" w:cs="宋体"/>
          <w:color w:val="auto"/>
        </w:rPr>
        <w:t>评价的原则</w:t>
      </w:r>
      <w:bookmarkEnd w:id="6"/>
    </w:p>
    <w:p w14:paraId="166BBAB8">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坚持科学性、</w:t>
      </w:r>
      <w:r>
        <w:rPr>
          <w:rFonts w:hint="eastAsia" w:ascii="Times New Roman" w:hAnsi="Times New Roman" w:cs="宋体"/>
          <w:color w:val="auto"/>
          <w:sz w:val="28"/>
          <w:szCs w:val="28"/>
          <w:lang w:eastAsia="zh-CN"/>
        </w:rPr>
        <w:t>公平性</w:t>
      </w:r>
      <w:r>
        <w:rPr>
          <w:rFonts w:hint="eastAsia" w:ascii="Times New Roman" w:hAnsi="Times New Roman" w:cs="宋体"/>
          <w:color w:val="auto"/>
          <w:sz w:val="28"/>
          <w:szCs w:val="28"/>
        </w:rPr>
        <w:t>、公正性、严肃性和针对性的原则，以国家有关法律、法规、规范、标准为依据，采用科学的态度，对安全评价的每一项工作都力求做到客观公正，安全对策措施及建议具有针对性和可操作性。</w:t>
      </w:r>
    </w:p>
    <w:p w14:paraId="1FB1DA56">
      <w:pPr>
        <w:pStyle w:val="3"/>
        <w:pageBreakBefore w:val="0"/>
        <w:kinsoku/>
        <w:wordWrap/>
        <w:overflowPunct/>
        <w:topLinePunct w:val="0"/>
        <w:autoSpaceDE/>
        <w:autoSpaceDN/>
        <w:bidi w:val="0"/>
        <w:spacing w:line="580" w:lineRule="exact"/>
        <w:textAlignment w:val="auto"/>
        <w:rPr>
          <w:color w:val="auto"/>
        </w:rPr>
      </w:pPr>
      <w:bookmarkStart w:id="7" w:name="_Toc343692240"/>
      <w:bookmarkStart w:id="8" w:name="_Toc1989"/>
      <w:bookmarkStart w:id="9" w:name="_Toc26059"/>
      <w:r>
        <w:rPr>
          <w:color w:val="auto"/>
        </w:rPr>
        <w:t>1.2</w:t>
      </w:r>
      <w:r>
        <w:rPr>
          <w:rFonts w:hint="eastAsia" w:cs="宋体"/>
          <w:color w:val="auto"/>
        </w:rPr>
        <w:t>评价依据</w:t>
      </w:r>
      <w:bookmarkEnd w:id="7"/>
      <w:bookmarkEnd w:id="8"/>
      <w:bookmarkEnd w:id="9"/>
    </w:p>
    <w:p w14:paraId="2A694DBD">
      <w:pPr>
        <w:pStyle w:val="4"/>
        <w:pageBreakBefore w:val="0"/>
        <w:kinsoku/>
        <w:wordWrap/>
        <w:overflowPunct/>
        <w:topLinePunct w:val="0"/>
        <w:autoSpaceDE/>
        <w:autoSpaceDN/>
        <w:bidi w:val="0"/>
        <w:spacing w:line="580" w:lineRule="exact"/>
        <w:textAlignment w:val="auto"/>
        <w:rPr>
          <w:rFonts w:cs="Times New Roman"/>
          <w:color w:val="auto"/>
        </w:rPr>
      </w:pPr>
      <w:bookmarkStart w:id="10" w:name="_Toc32728"/>
      <w:r>
        <w:rPr>
          <w:color w:val="auto"/>
        </w:rPr>
        <w:t>1.2.1</w:t>
      </w:r>
      <w:r>
        <w:rPr>
          <w:rFonts w:hint="eastAsia" w:cs="宋体"/>
          <w:color w:val="auto"/>
        </w:rPr>
        <w:t>法律、法规、规定和规范性技术文件</w:t>
      </w:r>
      <w:bookmarkEnd w:id="10"/>
    </w:p>
    <w:p w14:paraId="0F662A8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《中华人民共和国安全生产法》（国家主席令【2021】第八十八号，自2021年9月1日起实施）　　</w:t>
      </w:r>
    </w:p>
    <w:p w14:paraId="0CA556C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《中华人民共和国消防法》（国家主席令【2021】第八十一号修订，自2021年4月29日起实施）</w:t>
      </w:r>
    </w:p>
    <w:p w14:paraId="6E07E22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《中华人民共和国劳动法》（国家主席令【1994】第28号）（2018年12月29日修正）</w:t>
      </w:r>
    </w:p>
    <w:p w14:paraId="5CA5EED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《中华人民共和国危险化学品安全法》（主席令［2025］第64号，2026年5月1日起实施）</w:t>
      </w:r>
    </w:p>
    <w:p w14:paraId="0509D39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《中华人民共和国职业病防治法》（主席令第81号，2018年12月29日第十三届全国人民代表大会常务委员会第七次会议《关于修改等七部法律的决定》第四次修正，2018年12月29日起施行）</w:t>
      </w:r>
    </w:p>
    <w:p w14:paraId="0AC5DBA4">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《中华人民共和国突发事件应对法》（2024年6月28日，中华人民共和国第十四届全国人民代表大会常务委员会第十次会议修订通过《中华人民共和国突发事件应对法》，自2024年11月1日起施行）</w:t>
      </w:r>
    </w:p>
    <w:p w14:paraId="7B36040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《危险化学品安全管理条例》国务院令【2011】第591号（2013年第645号修订）</w:t>
      </w:r>
    </w:p>
    <w:p w14:paraId="0113262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《工伤保险条例》（国务院令第586号，2011年1月1日起施行）</w:t>
      </w:r>
    </w:p>
    <w:p w14:paraId="2B619CF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《易制毒化学品管理条例》国务院令【2005】第445号（2016年国务院第666号令、2018年国务院第703号修改）</w:t>
      </w:r>
    </w:p>
    <w:p w14:paraId="36A0E30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《中华人民共和国监控化学品管理条例》（国务院令第190号，自1995年12月27日起施行，国务院令第588号修正）</w:t>
      </w:r>
    </w:p>
    <w:p w14:paraId="7B52B39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《中华人民共和国监控化学品管理条例》实施细则（2018年7月2日，中华人民共和国工业和信息化部令第48号）</w:t>
      </w:r>
    </w:p>
    <w:p w14:paraId="34479E7A">
      <w:pPr>
        <w:pageBreakBefore w:val="0"/>
        <w:numPr>
          <w:ilvl w:val="0"/>
          <w:numId w:val="1"/>
        </w:numPr>
        <w:kinsoku/>
        <w:wordWrap/>
        <w:overflowPunct/>
        <w:topLinePunct w:val="0"/>
        <w:autoSpaceDE/>
        <w:autoSpaceDN/>
        <w:bidi w:val="0"/>
        <w:spacing w:line="580" w:lineRule="exact"/>
        <w:ind w:firstLine="516" w:firstLineChars="200"/>
        <w:textAlignment w:val="auto"/>
        <w:rPr>
          <w:rFonts w:ascii="Times New Roman" w:hAnsi="Times New Roman" w:cs="Times New Roman"/>
          <w:color w:val="auto"/>
          <w:spacing w:val="-11"/>
          <w:sz w:val="28"/>
          <w:szCs w:val="36"/>
        </w:rPr>
      </w:pPr>
      <w:r>
        <w:rPr>
          <w:rFonts w:hint="eastAsia" w:ascii="Times New Roman" w:hAnsi="Times New Roman" w:cs="Times New Roman"/>
          <w:color w:val="auto"/>
          <w:spacing w:val="-11"/>
          <w:sz w:val="28"/>
          <w:szCs w:val="36"/>
        </w:rPr>
        <w:t>《国务院关于修改部分行政法规的决定》（国务院令第645号，2013年）</w:t>
      </w:r>
    </w:p>
    <w:p w14:paraId="30C9280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《生产安全事故应急条例》国务院令【2019】第708号（2018年12月5日国务院第33次常务会议通过，2019年4</w:t>
      </w:r>
      <w:r>
        <w:rPr>
          <w:rFonts w:hint="eastAsia" w:ascii="Times New Roman" w:hAnsi="Times New Roman" w:cs="Times New Roman"/>
          <w:color w:val="auto"/>
          <w:sz w:val="28"/>
          <w:szCs w:val="36"/>
          <w:lang w:eastAsia="zh-CN"/>
        </w:rPr>
        <w:t>月</w:t>
      </w:r>
      <w:r>
        <w:rPr>
          <w:rFonts w:hint="eastAsia" w:ascii="Times New Roman" w:hAnsi="Times New Roman" w:cs="Times New Roman"/>
          <w:color w:val="auto"/>
          <w:sz w:val="28"/>
          <w:szCs w:val="36"/>
        </w:rPr>
        <w:t>1日起施行）</w:t>
      </w:r>
    </w:p>
    <w:p w14:paraId="60E6D848">
      <w:pPr>
        <w:pageBreakBefore w:val="0"/>
        <w:numPr>
          <w:ilvl w:val="0"/>
          <w:numId w:val="1"/>
        </w:numPr>
        <w:kinsoku/>
        <w:wordWrap/>
        <w:overflowPunct/>
        <w:topLinePunct w:val="0"/>
        <w:autoSpaceDE/>
        <w:autoSpaceDN/>
        <w:bidi w:val="0"/>
        <w:spacing w:line="580" w:lineRule="exact"/>
        <w:ind w:firstLine="560" w:firstLineChars="200"/>
        <w:textAlignment w:val="auto"/>
        <w:rPr>
          <w:rFonts w:hint="eastAsia" w:ascii="Times New Roman" w:hAnsi="Times New Roman" w:cs="Times New Roman"/>
          <w:color w:val="auto"/>
          <w:spacing w:val="-6"/>
          <w:sz w:val="28"/>
          <w:szCs w:val="28"/>
        </w:rPr>
      </w:pPr>
      <w:r>
        <w:rPr>
          <w:rFonts w:hint="eastAsia" w:ascii="Times New Roman" w:hAnsi="Times New Roman" w:cs="Times New Roman"/>
          <w:color w:val="auto"/>
          <w:sz w:val="28"/>
          <w:szCs w:val="36"/>
        </w:rPr>
        <w:t>《安全生产事故应急预案管理办法》（2016年6月3日国家安全</w:t>
      </w:r>
      <w:r>
        <w:rPr>
          <w:rFonts w:hint="eastAsia" w:ascii="Times New Roman" w:hAnsi="Times New Roman" w:cs="Times New Roman"/>
          <w:color w:val="auto"/>
          <w:spacing w:val="-6"/>
          <w:sz w:val="28"/>
          <w:szCs w:val="28"/>
        </w:rPr>
        <w:t>生产监督管理总局令第88号公布，根据2019年7月11日应急管理部令第2号《应急管理部关于修改</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生产安全事故应急预案管理办法</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的决定》修正）</w:t>
      </w:r>
    </w:p>
    <w:p w14:paraId="6D762EA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《建设项目安全设施“三同时”监督管理办法》（国家安监总局令36号，第77号修改）</w:t>
      </w:r>
    </w:p>
    <w:p w14:paraId="3A1C302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《危险化学品建设项目安全监督管理办法》（国家安监总局令第45号，第79号修改）</w:t>
      </w:r>
    </w:p>
    <w:p w14:paraId="20BA43F4">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《危险化学品重大危险源监督管理暂行规定》（国家安监总局令第40号，第79号修改）</w:t>
      </w:r>
    </w:p>
    <w:p w14:paraId="6E218A11">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《危险化学品目录（2015版）》（应急管理部等十部门公告202</w:t>
      </w:r>
      <w:r>
        <w:rPr>
          <w:rFonts w:hint="eastAsia" w:ascii="Times New Roman" w:hAnsi="Times New Roman" w:cs="Times New Roman"/>
          <w:color w:val="auto"/>
          <w:sz w:val="28"/>
          <w:szCs w:val="36"/>
          <w:lang w:val="en-US" w:eastAsia="zh-CN"/>
        </w:rPr>
        <w:t>6</w:t>
      </w:r>
      <w:r>
        <w:rPr>
          <w:rFonts w:hint="eastAsia" w:ascii="Times New Roman" w:hAnsi="Times New Roman" w:cs="Times New Roman"/>
          <w:color w:val="auto"/>
          <w:sz w:val="28"/>
          <w:szCs w:val="36"/>
        </w:rPr>
        <w:t>年第</w:t>
      </w:r>
      <w:r>
        <w:rPr>
          <w:rFonts w:hint="eastAsia" w:ascii="Times New Roman" w:hAnsi="Times New Roman" w:cs="Times New Roman"/>
          <w:color w:val="auto"/>
          <w:sz w:val="28"/>
          <w:szCs w:val="36"/>
          <w:lang w:val="en-US" w:eastAsia="zh-CN"/>
        </w:rPr>
        <w:t>3</w:t>
      </w:r>
      <w:r>
        <w:rPr>
          <w:rFonts w:hint="eastAsia" w:ascii="Times New Roman" w:hAnsi="Times New Roman" w:cs="Times New Roman"/>
          <w:color w:val="auto"/>
          <w:sz w:val="28"/>
          <w:szCs w:val="36"/>
        </w:rPr>
        <w:t>号）</w:t>
      </w:r>
    </w:p>
    <w:p w14:paraId="2B2B772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《关于印发危险化学品目录（2015版）实施指南（试行）的通知》（安监总厅管三〔2015〕80号）</w:t>
      </w:r>
    </w:p>
    <w:p w14:paraId="14AB15F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《生产经营单位安全培训规定》（国家安全生产监督管理总局令第80号，2015年7月修订）</w:t>
      </w:r>
    </w:p>
    <w:p w14:paraId="40AF5497">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《危险化学品经营许可证管理办法》 国家安监总局55号令（安监总局第79号令修正）</w:t>
      </w:r>
    </w:p>
    <w:p w14:paraId="6EBC16D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《企业安全生产费用提取和使用管理办法》（财资[2022]136号）</w:t>
      </w:r>
    </w:p>
    <w:p w14:paraId="19A776B2">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《国家安全监督总局关于废止和修改劳动防护用品和安全培训等领域十部规章的决定》（国家安全生产监督管理总局令第80号，2015年7月修订）</w:t>
      </w:r>
    </w:p>
    <w:p w14:paraId="37CA8DF3">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《国家安全监管总局办公厅关于进一步加强加油站安全生产工作的通知》（安监总厅管三〔2016〕8号）</w:t>
      </w:r>
    </w:p>
    <w:p w14:paraId="7A8F4B5F">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《关于印发</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安全生产责任保险实施办法</w:t>
      </w:r>
      <w:r>
        <w:rPr>
          <w:rFonts w:hint="eastAsia" w:ascii="Times New Roman" w:hAnsi="Times New Roman" w:cs="Times New Roman"/>
          <w:color w:val="auto"/>
          <w:sz w:val="28"/>
          <w:szCs w:val="36"/>
          <w:lang w:eastAsia="zh-CN"/>
        </w:rPr>
        <w:t>〉的通知》</w:t>
      </w:r>
      <w:r>
        <w:rPr>
          <w:rFonts w:hint="eastAsia" w:ascii="Times New Roman" w:hAnsi="Times New Roman" w:cs="Times New Roman"/>
          <w:color w:val="auto"/>
          <w:sz w:val="28"/>
          <w:szCs w:val="36"/>
        </w:rPr>
        <w:t>（国家安全监管总局 保监会 财政部 安监总办〔2017〕140号）</w:t>
      </w:r>
    </w:p>
    <w:p w14:paraId="042D4C3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《特别管控危险化学品目录》（第一版）（应急管理部、工业和信息化部、公安部、交通运输部公告，2020年第1号）</w:t>
      </w:r>
    </w:p>
    <w:p w14:paraId="44B2B83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《部分第四类监控化学品名录（2019版）》（国家禁化武办）</w:t>
      </w:r>
    </w:p>
    <w:p w14:paraId="7324521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《工作场所职业卫生管理规定》（中华人民共和国国家卫生健康委员会〔2020〕第5号令）</w:t>
      </w:r>
    </w:p>
    <w:p w14:paraId="5429D314">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《关于全面加强危险化学品安全生产工作的意见》（中共中央办公厅、国务院办公厅厅字[2020]第3号）</w:t>
      </w:r>
    </w:p>
    <w:p w14:paraId="3B6AFB9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《生产安全事故罚款处罚规定》（中华人民共和国应急管理部令第14号）</w:t>
      </w:r>
    </w:p>
    <w:p w14:paraId="2C0F8D4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《危险化学品经营单位安全评价导则</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试行</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》（安监管管二字［2003］38号）</w:t>
      </w:r>
    </w:p>
    <w:p w14:paraId="33329A4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《危险化学品目录（2015版）实施指南（试行）》（涉及柴油部分内容的通知）（应急部办公厅函〔2022〕300号）</w:t>
      </w:r>
    </w:p>
    <w:p w14:paraId="468DDBAA">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《高毒物品目录》（卫法监发[2003]142号）</w:t>
      </w:r>
    </w:p>
    <w:p w14:paraId="1E9674FA">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pacing w:val="-6"/>
          <w:sz w:val="28"/>
          <w:szCs w:val="36"/>
        </w:rPr>
      </w:pPr>
      <w:r>
        <w:rPr>
          <w:rFonts w:hint="eastAsia" w:ascii="Times New Roman" w:hAnsi="Times New Roman" w:cs="Times New Roman"/>
          <w:color w:val="auto"/>
          <w:spacing w:val="-6"/>
          <w:sz w:val="28"/>
          <w:szCs w:val="36"/>
        </w:rPr>
        <w:t>《易制爆危险化学品名录》（公安部2017年5月11日（2017年版）</w:t>
      </w:r>
    </w:p>
    <w:p w14:paraId="18FFF157">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《国家安全监管总局关于公布首批重点监管的危险化学品目录的通知》（安监总管三〔2011〕95号）</w:t>
      </w:r>
    </w:p>
    <w:p w14:paraId="79A842E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《国家安全监管总局关于公布第二批重点监管危险化学品名录的通知》（安监总管三〔2013〕12号）</w:t>
      </w:r>
    </w:p>
    <w:p w14:paraId="342E80E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《国家安全监管总局办公厅关于印发首批重点监管的危险化学品安全措施和应急处置原则的通知》（安监总管三〔2011〕142号）</w:t>
      </w:r>
    </w:p>
    <w:p w14:paraId="18A904F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《国家安全监管总局关于公布首批重点监管的危险化工工艺目录的通知》（安监总管三〔2009〕116号）</w:t>
      </w:r>
    </w:p>
    <w:p w14:paraId="1EA949E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pacing w:val="-6"/>
          <w:sz w:val="28"/>
          <w:szCs w:val="36"/>
        </w:rPr>
      </w:pPr>
      <w:r>
        <w:rPr>
          <w:rFonts w:hint="eastAsia" w:ascii="Times New Roman" w:hAnsi="Times New Roman" w:cs="Times New Roman"/>
          <w:color w:val="auto"/>
          <w:sz w:val="28"/>
          <w:szCs w:val="36"/>
        </w:rPr>
        <w:t>《国家安全监管总局关于公布第二批重点监管危险化工工艺目录和调整首批重点监管危险化工工艺中部分典型工艺的通知》（安监总管三〔2013〕3号）</w:t>
      </w:r>
    </w:p>
    <w:p w14:paraId="3417566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《化工和危险化学品生产经营单位重大生产安全事故</w:t>
      </w:r>
      <w:r>
        <w:rPr>
          <w:rFonts w:hint="eastAsia" w:ascii="Times New Roman" w:hAnsi="Times New Roman" w:cs="Times New Roman"/>
          <w:color w:val="auto"/>
          <w:spacing w:val="-6"/>
          <w:sz w:val="28"/>
          <w:szCs w:val="36"/>
        </w:rPr>
        <w:t>隐患判定标准（试行）》的通知（安监总管三[2017]121号）</w:t>
      </w:r>
    </w:p>
    <w:p w14:paraId="73CD763A">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pacing w:val="-6"/>
          <w:sz w:val="28"/>
          <w:szCs w:val="36"/>
        </w:rPr>
      </w:pPr>
      <w:r>
        <w:rPr>
          <w:rFonts w:hint="eastAsia" w:ascii="宋体" w:hAnsi="宋体"/>
          <w:color w:val="auto"/>
          <w:sz w:val="28"/>
          <w:szCs w:val="28"/>
        </w:rPr>
        <w:t>《应急管理部关于印发危险化学品企业安全分类整治目录（2020年）的通知》（应急〔2020〕84号）</w:t>
      </w:r>
    </w:p>
    <w:p w14:paraId="3F22743B">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pacing w:val="-6"/>
          <w:sz w:val="28"/>
          <w:szCs w:val="36"/>
        </w:rPr>
      </w:pPr>
      <w:r>
        <w:rPr>
          <w:rFonts w:hint="eastAsia" w:ascii="Times New Roman" w:hAnsi="Times New Roman" w:cs="Times New Roman"/>
          <w:color w:val="auto"/>
          <w:spacing w:val="-6"/>
          <w:sz w:val="28"/>
          <w:szCs w:val="36"/>
        </w:rPr>
        <w:t xml:space="preserve">《安全生产责任保险实施办法》            </w:t>
      </w:r>
      <w:r>
        <w:rPr>
          <w:rFonts w:hint="eastAsia" w:ascii="Times New Roman" w:hAnsi="Times New Roman" w:cs="Times New Roman"/>
          <w:color w:val="auto"/>
          <w:spacing w:val="-6"/>
          <w:sz w:val="28"/>
          <w:szCs w:val="36"/>
          <w:lang w:eastAsia="zh-CN"/>
        </w:rPr>
        <w:t>（</w:t>
      </w:r>
      <w:r>
        <w:rPr>
          <w:rFonts w:hint="eastAsia" w:ascii="Times New Roman" w:hAnsi="Times New Roman" w:cs="Times New Roman"/>
          <w:color w:val="auto"/>
          <w:spacing w:val="-6"/>
          <w:sz w:val="28"/>
          <w:szCs w:val="36"/>
        </w:rPr>
        <w:t>安监总办(2017)140号</w:t>
      </w:r>
      <w:r>
        <w:rPr>
          <w:rFonts w:hint="eastAsia" w:ascii="Times New Roman" w:hAnsi="Times New Roman" w:cs="Times New Roman"/>
          <w:color w:val="auto"/>
          <w:spacing w:val="-6"/>
          <w:sz w:val="28"/>
          <w:szCs w:val="36"/>
          <w:lang w:eastAsia="zh-CN"/>
        </w:rPr>
        <w:t>）</w:t>
      </w:r>
    </w:p>
    <w:p w14:paraId="78C84DA3">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pacing w:val="-6"/>
          <w:sz w:val="28"/>
          <w:szCs w:val="36"/>
        </w:rPr>
        <w:t>《江西省安全生产条例》（2023年9月1日起施行）（2007年3月29日江西省第十届人民代表大会常务委员会第二十八次会议通过，2023年7月26日江西省第十四届人民代表大会常务委员会第三次会议第二次修订）。</w:t>
      </w:r>
    </w:p>
    <w:p w14:paraId="489D227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《江西省突发事件应对条例》（2013年7月27日江西省第十二届人民代表大会常务委员会第五次会议通过）</w:t>
      </w:r>
    </w:p>
    <w:p w14:paraId="3410D6F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《江西省消防条例》（2020年11月25日江西省第十三届人民代表大会常务委员会第二十五次会议第六次修正）</w:t>
      </w:r>
    </w:p>
    <w:p w14:paraId="41440D41">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《江西省生产安全事故隐患排查治理办法》（2021年6月9日省人民政府令第250号第一次修正）</w:t>
      </w:r>
    </w:p>
    <w:p w14:paraId="754F923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《江西省消防安全责任制实施办法》（江西省人民政府令[2021]第252号发布）</w:t>
      </w:r>
    </w:p>
    <w:p w14:paraId="73920F3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《江西省应急管理厅关于印发江西省化工和危险化学品等安全生产治本攻坚三年行动实施方案（2024-2026年）的通知》（赣应急字〔2024〕23号）</w:t>
      </w:r>
    </w:p>
    <w:p w14:paraId="619BFB47">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《江西省商务厅关于取消和下放石油成品油经营资格审批权限有关事项的通知》（赣商务运行函〔2020〕27号）</w:t>
      </w:r>
    </w:p>
    <w:p w14:paraId="5568C94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《江西省应急管理厅办公室关于印发</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加油站安全检查表</w:t>
      </w:r>
      <w:r>
        <w:rPr>
          <w:rFonts w:hint="eastAsia" w:ascii="Times New Roman" w:hAnsi="Times New Roman" w:cs="Times New Roman"/>
          <w:color w:val="auto"/>
          <w:sz w:val="28"/>
          <w:szCs w:val="36"/>
          <w:lang w:eastAsia="zh-CN"/>
        </w:rPr>
        <w:t>〉的通知》</w:t>
      </w:r>
      <w:r>
        <w:rPr>
          <w:rFonts w:hint="eastAsia" w:ascii="Times New Roman" w:hAnsi="Times New Roman" w:cs="Times New Roman"/>
          <w:color w:val="auto"/>
          <w:sz w:val="28"/>
          <w:szCs w:val="36"/>
        </w:rPr>
        <w:t>（赣应急办字〔2023〕111号）</w:t>
      </w:r>
    </w:p>
    <w:p w14:paraId="7296C64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36"/>
        </w:rPr>
        <w:t>《江西省人民政府关于印发江西省水污染防治工作方案的通知》（赣府发〔2015〕62号）</w:t>
      </w:r>
    </w:p>
    <w:p w14:paraId="69CCEE1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《赣州市应急管理局关于印发赣州市化工和危险化学品等领域安全生产治本攻坚三年行动实施方案（2024-2026年）的通知》（赣市应急字〔2024〕14号）</w:t>
      </w:r>
    </w:p>
    <w:p w14:paraId="658626B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《关于进一步规范和加强加油站安全管理工作的通知》（赣市安监〔2018〕76号）</w:t>
      </w:r>
    </w:p>
    <w:p w14:paraId="6BE5EFC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《关于开展全市加油站合法合规性专项执法检查的通知》（赣市安监〔2018〕73号）</w:t>
      </w:r>
    </w:p>
    <w:p w14:paraId="7FA42B2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《江西省生产经营单位安全生产主体责任规定》（赣府厅发〔2024〕20号）</w:t>
      </w:r>
    </w:p>
    <w:p w14:paraId="6B5ABD6A">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《关于进一步加强化工（危险化学品）企业检维修作业安全管理工作的通知》（赣市应急字〔2020〕2号）</w:t>
      </w:r>
    </w:p>
    <w:p w14:paraId="28415C5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《江西省应急管理厅办公室关于规范危险化学品经营许可工作的通知》（赣应急办字〔2025〕58号）</w:t>
      </w:r>
    </w:p>
    <w:p w14:paraId="2282CBC2">
      <w:pPr>
        <w:pStyle w:val="4"/>
        <w:pageBreakBefore w:val="0"/>
        <w:kinsoku/>
        <w:wordWrap/>
        <w:overflowPunct/>
        <w:topLinePunct w:val="0"/>
        <w:autoSpaceDE/>
        <w:autoSpaceDN/>
        <w:bidi w:val="0"/>
        <w:spacing w:line="580" w:lineRule="exact"/>
        <w:textAlignment w:val="auto"/>
        <w:rPr>
          <w:rFonts w:cs="Times New Roman"/>
          <w:color w:val="auto"/>
        </w:rPr>
      </w:pPr>
      <w:bookmarkStart w:id="11" w:name="_Toc17479"/>
      <w:r>
        <w:rPr>
          <w:color w:val="auto"/>
        </w:rPr>
        <w:t>1.2.2</w:t>
      </w:r>
      <w:r>
        <w:rPr>
          <w:rFonts w:hint="eastAsia" w:cs="宋体"/>
          <w:color w:val="auto"/>
        </w:rPr>
        <w:t>评价标准、规范</w:t>
      </w:r>
      <w:bookmarkEnd w:id="11"/>
    </w:p>
    <w:p w14:paraId="492E982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《建筑设计防火规范》GB50016-2014（2018年版）</w:t>
      </w:r>
    </w:p>
    <w:p w14:paraId="3FD4DD7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《建筑防火通用规范》GB55037-2022</w:t>
      </w:r>
    </w:p>
    <w:p w14:paraId="3FA9DD8A">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《消防设施通用规范》GB55036-2022</w:t>
      </w:r>
    </w:p>
    <w:p w14:paraId="7197DDB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《建筑照明设计标准》GB/T50034-2024</w:t>
      </w:r>
    </w:p>
    <w:p w14:paraId="330D32B0">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《危险化学品安全生产风险分级管控技术规范》GB/T45420-2025</w:t>
      </w:r>
    </w:p>
    <w:p w14:paraId="1B79BFB3">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《汽车加油加气加氢站技术标准》GB50156-2021</w:t>
      </w:r>
    </w:p>
    <w:p w14:paraId="1AC59E5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《建筑与市政工程抗震通用规范》GB55002-2021</w:t>
      </w:r>
    </w:p>
    <w:p w14:paraId="6610A96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《危险化学品企业雷电安全规范》GB15599-2025</w:t>
      </w:r>
    </w:p>
    <w:p w14:paraId="79647DDE">
      <w:pPr>
        <w:pageBreakBefore w:val="0"/>
        <w:numPr>
          <w:ilvl w:val="0"/>
          <w:numId w:val="2"/>
        </w:numPr>
        <w:kinsoku/>
        <w:wordWrap/>
        <w:overflowPunct/>
        <w:topLinePunct w:val="0"/>
        <w:autoSpaceDE/>
        <w:autoSpaceDN/>
        <w:bidi w:val="0"/>
        <w:adjustRightInd w:val="0"/>
        <w:snapToGrid w:val="0"/>
        <w:spacing w:line="580" w:lineRule="exact"/>
        <w:ind w:firstLine="536" w:firstLineChars="200"/>
        <w:textAlignment w:val="auto"/>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《石油化工可燃气体和有毒气体检测报警设计标准》GB/T50493-2019</w:t>
      </w:r>
    </w:p>
    <w:p w14:paraId="091BA51E">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《爆炸危险环境电力装置设计规范》GB50058-2014</w:t>
      </w:r>
    </w:p>
    <w:p w14:paraId="07D3C824">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《供配电系统设计规范》GB50052-2009</w:t>
      </w:r>
    </w:p>
    <w:p w14:paraId="6F71F92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《危险化学品重大危险源辨识》GB18218-2018</w:t>
      </w:r>
    </w:p>
    <w:p w14:paraId="4368D8A9">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《建筑物防雷设计规范》GB50057-2010</w:t>
      </w:r>
    </w:p>
    <w:p w14:paraId="36D2D62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《建筑灭火器配置设计规范》GB50140-2005</w:t>
      </w:r>
    </w:p>
    <w:p w14:paraId="4C59FD5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《危险化学品企业特殊作业安全规范》GB30871-2022</w:t>
      </w:r>
    </w:p>
    <w:p w14:paraId="6577932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《加油站大气污染物排放标准》GB 20952-2020</w:t>
      </w:r>
    </w:p>
    <w:p w14:paraId="2ED9315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《低压配电设计规范》GB50054-2011</w:t>
      </w:r>
    </w:p>
    <w:p w14:paraId="168749B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《防止静电事故通用要求》GB12158-20</w:t>
      </w:r>
      <w:r>
        <w:rPr>
          <w:rFonts w:hint="eastAsia" w:ascii="Times New Roman" w:hAnsi="Times New Roman" w:cs="Times New Roman"/>
          <w:color w:val="auto"/>
          <w:sz w:val="28"/>
          <w:szCs w:val="28"/>
          <w:lang w:val="en-US" w:eastAsia="zh-CN"/>
        </w:rPr>
        <w:t>24</w:t>
      </w:r>
    </w:p>
    <w:p w14:paraId="6655532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rPr>
        <w:t>生产安全事故分类与编码</w:t>
      </w:r>
      <w:r>
        <w:rPr>
          <w:rFonts w:ascii="Times New Roman" w:hAnsi="Times New Roman" w:eastAsia="宋体" w:cs="Times New Roman"/>
          <w:color w:val="auto"/>
          <w:sz w:val="28"/>
          <w:szCs w:val="28"/>
        </w:rPr>
        <w:t>》GB6441-</w:t>
      </w:r>
      <w:r>
        <w:rPr>
          <w:rFonts w:hint="eastAsia" w:ascii="Times New Roman" w:hAnsi="Times New Roman" w:cs="Times New Roman"/>
          <w:color w:val="auto"/>
          <w:sz w:val="28"/>
          <w:szCs w:val="28"/>
          <w:lang w:val="en-US" w:eastAsia="zh-CN"/>
        </w:rPr>
        <w:t>2025</w:t>
      </w:r>
    </w:p>
    <w:p w14:paraId="7C94E8A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《危险化学品仓库储存通则》GB15603-2022</w:t>
      </w:r>
    </w:p>
    <w:p w14:paraId="55D7F30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《20kV以下变电所设计规范》GB50053-2013</w:t>
      </w:r>
    </w:p>
    <w:p w14:paraId="0A870FE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《危险化学品经营企业安全技术基本要求》GB18265-2019</w:t>
      </w:r>
    </w:p>
    <w:p w14:paraId="177BE47A">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《安全色和安全标志》（GB2894-2025）</w:t>
      </w:r>
    </w:p>
    <w:p w14:paraId="3AEF8CC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《消防安全标志第1部分：标志》GB13495.1-2015</w:t>
      </w:r>
    </w:p>
    <w:p w14:paraId="5D8F75CB">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《工业企业总平面设计规范》GB50187-2012</w:t>
      </w:r>
    </w:p>
    <w:p w14:paraId="1EB47F6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《个体防护装备配备规范 第1部分：总则》GB39800.1-2020</w:t>
      </w:r>
    </w:p>
    <w:p w14:paraId="198E9E26">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《个体防护装备安全管理规范》AQ6111-2023</w:t>
      </w:r>
    </w:p>
    <w:p w14:paraId="4F4CAFA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《危险化学品单位应急救援物资配备要求》GB30077-2023</w:t>
      </w:r>
    </w:p>
    <w:p w14:paraId="19734AE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《车用汽油》GB 17930-2016</w:t>
      </w:r>
    </w:p>
    <w:p w14:paraId="7E2E4F1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《车用柴油》（国家标准第1号修改单）GB19147-2016/XG1-2018</w:t>
      </w:r>
    </w:p>
    <w:p w14:paraId="2F31EDE3">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《危险化学品单位应急救援物资配备要求》GB30077-2023</w:t>
      </w:r>
    </w:p>
    <w:p w14:paraId="61916D0E">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《消防应急照明和疏散指示系统》GB17945-2024</w:t>
      </w:r>
    </w:p>
    <w:p w14:paraId="2AAE577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《建筑抗震设计标准》（2024年版）（GB/T 50011-2010）</w:t>
      </w:r>
    </w:p>
    <w:p w14:paraId="2BC274A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《建筑结构荷载规范》（GB 50009-2012）</w:t>
      </w:r>
    </w:p>
    <w:p w14:paraId="35453ED9">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《构筑物抗震设计规范》(GB50191-2012)</w:t>
      </w:r>
    </w:p>
    <w:p w14:paraId="159F37B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《建筑灭火器配置验收及检查规范》（GB50444-2008）</w:t>
      </w:r>
    </w:p>
    <w:p w14:paraId="7ED9BB5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《消防应急照明和疏散指示系统技术标准》GB51309-2018</w:t>
      </w:r>
    </w:p>
    <w:p w14:paraId="0B0BE5E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《化工设备安全管理规范》GB/T44958-2024</w:t>
      </w:r>
    </w:p>
    <w:p w14:paraId="1E36FF37">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《重大火灾隐患判定规则》（GB35181-20</w:t>
      </w:r>
      <w:r>
        <w:rPr>
          <w:rFonts w:hint="eastAsia" w:ascii="Times New Roman" w:hAnsi="Times New Roman" w:cs="Times New Roman"/>
          <w:color w:val="auto"/>
          <w:sz w:val="28"/>
          <w:szCs w:val="28"/>
          <w:lang w:val="en-US" w:eastAsia="zh-CN"/>
        </w:rPr>
        <w:t>25</w:t>
      </w:r>
      <w:r>
        <w:rPr>
          <w:rFonts w:hint="eastAsia" w:ascii="Times New Roman" w:hAnsi="Times New Roman" w:cs="Times New Roman"/>
          <w:color w:val="auto"/>
          <w:sz w:val="28"/>
          <w:szCs w:val="28"/>
        </w:rPr>
        <w:t>）</w:t>
      </w:r>
    </w:p>
    <w:p w14:paraId="4DE99B7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《油气回收处理设施技术标准》GB50759-2022</w:t>
      </w:r>
    </w:p>
    <w:p w14:paraId="7CB9853C">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《油气回收装置通用技术条件》GB/T35579-2017</w:t>
      </w:r>
    </w:p>
    <w:p w14:paraId="71B0859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《油气回收系统防爆技术要求》GB/T 34661-2017</w:t>
      </w:r>
    </w:p>
    <w:p w14:paraId="3EAF6A34">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《双层罐渗漏检测系统 第1部分：通则》GB/T30040.1-2013</w:t>
      </w:r>
    </w:p>
    <w:p w14:paraId="0C56ABB5">
      <w:pPr>
        <w:pageBreakBefore w:val="0"/>
        <w:numPr>
          <w:ilvl w:val="0"/>
          <w:numId w:val="2"/>
        </w:numPr>
        <w:kinsoku/>
        <w:wordWrap/>
        <w:overflowPunct/>
        <w:topLinePunct w:val="0"/>
        <w:autoSpaceDE/>
        <w:autoSpaceDN/>
        <w:bidi w:val="0"/>
        <w:adjustRightInd w:val="0"/>
        <w:snapToGrid w:val="0"/>
        <w:spacing w:line="580" w:lineRule="exact"/>
        <w:ind w:firstLine="536" w:firstLineChars="200"/>
        <w:textAlignment w:val="auto"/>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《生产经营单位生产安全事故应急预案编制导则》GB/T29639-2020</w:t>
      </w:r>
    </w:p>
    <w:p w14:paraId="088F587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《燃油加油站防爆安全技术 第1部分：燃油加油机防爆安全技术要求》GB/T 22380.1-2017</w:t>
      </w:r>
    </w:p>
    <w:p w14:paraId="32298563">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《燃油加油站防爆安全技术 第2部分：加油机用安全拉断阀结构和性能的安全要求》GB/T 22380.2-2019</w:t>
      </w:r>
    </w:p>
    <w:p w14:paraId="49858746">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《燃油加油站防爆安全技术 第3部分：剪切阀结构和性能的安全要求》GB/T 22380.3-2019</w:t>
      </w:r>
    </w:p>
    <w:p w14:paraId="46EDCF77">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《工业企业设计卫生标准》GBZ1-2010</w:t>
      </w:r>
    </w:p>
    <w:p w14:paraId="70038F5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《工作场所有害因素职业接触限值 第1部分</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rPr>
        <w:t>化学有害因素》</w:t>
      </w:r>
      <w:r>
        <w:rPr>
          <w:rFonts w:ascii="Times New Roman" w:hAnsi="Times New Roman" w:eastAsia="宋体" w:cs="Times New Roman"/>
          <w:color w:val="auto"/>
          <w:sz w:val="28"/>
          <w:szCs w:val="28"/>
        </w:rPr>
        <w:t>行业标准第</w:t>
      </w:r>
      <w:r>
        <w:rPr>
          <w:rFonts w:hint="eastAsia" w:ascii="Times New Roman" w:hAnsi="Times New Roman" w:cs="Times New Roman"/>
          <w:color w:val="auto"/>
          <w:sz w:val="28"/>
          <w:szCs w:val="28"/>
          <w:lang w:val="en-US" w:eastAsia="zh-CN"/>
        </w:rPr>
        <w:t>2</w:t>
      </w:r>
      <w:r>
        <w:rPr>
          <w:rFonts w:ascii="Times New Roman" w:hAnsi="Times New Roman" w:eastAsia="宋体" w:cs="Times New Roman"/>
          <w:color w:val="auto"/>
          <w:sz w:val="28"/>
          <w:szCs w:val="28"/>
        </w:rPr>
        <w:t>号修改单GBZ 2.1-2019/XG</w:t>
      </w:r>
      <w:r>
        <w:rPr>
          <w:rFonts w:hint="eastAsia" w:ascii="Times New Roman" w:hAnsi="Times New Roman" w:cs="Times New Roman"/>
          <w:color w:val="auto"/>
          <w:sz w:val="28"/>
          <w:szCs w:val="28"/>
          <w:lang w:val="en-US" w:eastAsia="zh-CN"/>
        </w:rPr>
        <w:t>2</w:t>
      </w:r>
      <w:r>
        <w:rPr>
          <w:rFonts w:ascii="Times New Roman" w:hAnsi="Times New Roman" w:eastAsia="宋体" w:cs="Times New Roman"/>
          <w:color w:val="auto"/>
          <w:sz w:val="28"/>
          <w:szCs w:val="28"/>
        </w:rPr>
        <w:t>-202</w:t>
      </w:r>
      <w:r>
        <w:rPr>
          <w:rFonts w:hint="eastAsia" w:ascii="Times New Roman" w:hAnsi="Times New Roman" w:cs="Times New Roman"/>
          <w:color w:val="auto"/>
          <w:sz w:val="28"/>
          <w:szCs w:val="28"/>
          <w:lang w:val="en-US" w:eastAsia="zh-CN"/>
        </w:rPr>
        <w:t>4</w:t>
      </w:r>
    </w:p>
    <w:p w14:paraId="0AE7D85B">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《汽车加油加气站消防安全管理》XF/T3004-2020</w:t>
      </w:r>
    </w:p>
    <w:p w14:paraId="086E940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《成品油零售企业管理技术规范》SB/T10390-2004</w:t>
      </w:r>
    </w:p>
    <w:p w14:paraId="1559E057">
      <w:pPr>
        <w:pageBreakBefore w:val="0"/>
        <w:numPr>
          <w:ilvl w:val="0"/>
          <w:numId w:val="2"/>
        </w:numPr>
        <w:kinsoku/>
        <w:wordWrap/>
        <w:overflowPunct/>
        <w:topLinePunct w:val="0"/>
        <w:autoSpaceDE/>
        <w:autoSpaceDN/>
        <w:bidi w:val="0"/>
        <w:adjustRightInd w:val="0"/>
        <w:snapToGrid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《加油站用埋地钢-玻璃纤维增强塑料双层油罐工程技术规范》</w:t>
      </w:r>
    </w:p>
    <w:p w14:paraId="0F50FEC3">
      <w:pPr>
        <w:pageBreakBefore w:val="0"/>
        <w:kinsoku/>
        <w:wordWrap/>
        <w:overflowPunct/>
        <w:topLinePunct w:val="0"/>
        <w:autoSpaceDE/>
        <w:autoSpaceDN/>
        <w:bidi w:val="0"/>
        <w:adjustRightInd w:val="0"/>
        <w:snapToGrid w:val="0"/>
        <w:spacing w:line="580" w:lineRule="exact"/>
        <w:ind w:left="420" w:leftChars="200"/>
        <w:jc w:val="righ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SH/T 3178-2015</w:t>
      </w:r>
    </w:p>
    <w:p w14:paraId="42D8DC54">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《加油站作业安全规范》AQ3010-2022</w:t>
      </w:r>
    </w:p>
    <w:p w14:paraId="602970EC">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《生产安全事故应急演练基本规范》YJ/T9007-2019</w:t>
      </w:r>
    </w:p>
    <w:p w14:paraId="104AB58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《危险场所电气防爆安全规范》AQ3009-2007</w:t>
      </w:r>
    </w:p>
    <w:p w14:paraId="69CD7C7C">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《安全评价通则》AQ8001-2007</w:t>
      </w:r>
    </w:p>
    <w:p w14:paraId="4412FE4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《安全验收评价导则》AQ8003-2007</w:t>
      </w:r>
    </w:p>
    <w:p w14:paraId="16FE7A6D">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相关的专业性国家标准、行业标准和地方标准及规定。</w:t>
      </w:r>
    </w:p>
    <w:p w14:paraId="2B1EB785">
      <w:pPr>
        <w:pStyle w:val="4"/>
        <w:pageBreakBefore w:val="0"/>
        <w:kinsoku/>
        <w:wordWrap/>
        <w:overflowPunct/>
        <w:topLinePunct w:val="0"/>
        <w:autoSpaceDE/>
        <w:autoSpaceDN/>
        <w:bidi w:val="0"/>
        <w:spacing w:line="580" w:lineRule="exact"/>
        <w:textAlignment w:val="auto"/>
        <w:rPr>
          <w:rFonts w:cs="Times New Roman"/>
          <w:color w:val="auto"/>
        </w:rPr>
      </w:pPr>
      <w:bookmarkStart w:id="12" w:name="_Toc1957"/>
      <w:r>
        <w:rPr>
          <w:color w:val="auto"/>
        </w:rPr>
        <w:t>1.2.3</w:t>
      </w:r>
      <w:r>
        <w:rPr>
          <w:rFonts w:hint="eastAsia" w:cs="宋体"/>
          <w:color w:val="auto"/>
        </w:rPr>
        <w:t>相关资料</w:t>
      </w:r>
      <w:bookmarkEnd w:id="12"/>
    </w:p>
    <w:p w14:paraId="1883A06F">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营业执照、土地证明、防雷装置检测检验报告；设计单位资质；安全管理制度、操作规程、应急预案及备案、整改后总平面布置图等。</w:t>
      </w:r>
    </w:p>
    <w:p w14:paraId="716CCA6E">
      <w:pPr>
        <w:pStyle w:val="3"/>
        <w:pageBreakBefore w:val="0"/>
        <w:kinsoku/>
        <w:wordWrap/>
        <w:overflowPunct/>
        <w:topLinePunct w:val="0"/>
        <w:autoSpaceDE/>
        <w:autoSpaceDN/>
        <w:bidi w:val="0"/>
        <w:spacing w:line="580" w:lineRule="exact"/>
        <w:textAlignment w:val="auto"/>
        <w:rPr>
          <w:color w:val="auto"/>
        </w:rPr>
      </w:pPr>
      <w:bookmarkStart w:id="13" w:name="_Toc8155"/>
      <w:bookmarkStart w:id="14" w:name="_Toc29244"/>
      <w:r>
        <w:rPr>
          <w:color w:val="auto"/>
        </w:rPr>
        <w:t>1.3</w:t>
      </w:r>
      <w:r>
        <w:rPr>
          <w:rFonts w:hint="eastAsia" w:cs="宋体"/>
          <w:color w:val="auto"/>
        </w:rPr>
        <w:t>评价范围及内容</w:t>
      </w:r>
      <w:bookmarkEnd w:id="13"/>
      <w:bookmarkEnd w:id="14"/>
    </w:p>
    <w:p w14:paraId="49C278D6">
      <w:pPr>
        <w:pStyle w:val="4"/>
        <w:pageBreakBefore w:val="0"/>
        <w:kinsoku/>
        <w:wordWrap/>
        <w:overflowPunct/>
        <w:topLinePunct w:val="0"/>
        <w:autoSpaceDE/>
        <w:autoSpaceDN/>
        <w:bidi w:val="0"/>
        <w:spacing w:line="580" w:lineRule="exact"/>
        <w:textAlignment w:val="auto"/>
        <w:rPr>
          <w:rFonts w:cs="Times New Roman"/>
          <w:color w:val="auto"/>
        </w:rPr>
      </w:pPr>
      <w:bookmarkStart w:id="15" w:name="_Toc8274"/>
      <w:r>
        <w:rPr>
          <w:color w:val="auto"/>
        </w:rPr>
        <w:t>1.3.1</w:t>
      </w:r>
      <w:r>
        <w:rPr>
          <w:rFonts w:hint="eastAsia" w:cs="宋体"/>
          <w:color w:val="auto"/>
        </w:rPr>
        <w:t>评价范围</w:t>
      </w:r>
      <w:bookmarkEnd w:id="15"/>
    </w:p>
    <w:p w14:paraId="07E3CA84">
      <w:pPr>
        <w:pageBreakBefore w:val="0"/>
        <w:kinsoku/>
        <w:wordWrap/>
        <w:overflowPunct/>
        <w:topLinePunct w:val="0"/>
        <w:autoSpaceDE/>
        <w:autoSpaceDN/>
        <w:bidi w:val="0"/>
        <w:spacing w:line="580" w:lineRule="exact"/>
        <w:ind w:firstLine="536" w:firstLineChars="200"/>
        <w:textAlignment w:val="auto"/>
        <w:rPr>
          <w:rFonts w:ascii="Times New Roman" w:hAnsi="Times New Roman" w:cs="宋体"/>
          <w:color w:val="auto"/>
          <w:spacing w:val="-6"/>
          <w:sz w:val="28"/>
          <w:szCs w:val="28"/>
        </w:rPr>
      </w:pPr>
      <w:r>
        <w:rPr>
          <w:rFonts w:hint="eastAsia" w:ascii="Times New Roman" w:hAnsi="Times New Roman" w:cs="宋体"/>
          <w:color w:val="auto"/>
          <w:spacing w:val="-6"/>
          <w:sz w:val="28"/>
          <w:szCs w:val="28"/>
        </w:rPr>
        <w:t>根据委托，本次评价范围仅为中石化</w:t>
      </w:r>
      <w:r>
        <w:rPr>
          <w:rFonts w:hint="eastAsia" w:ascii="Times New Roman" w:hAnsi="Times New Roman" w:cs="宋体"/>
          <w:color w:val="auto"/>
          <w:spacing w:val="-6"/>
          <w:sz w:val="28"/>
          <w:szCs w:val="28"/>
          <w:lang w:eastAsia="zh-CN"/>
        </w:rPr>
        <w:t>兴国江背加油站</w:t>
      </w:r>
      <w:r>
        <w:rPr>
          <w:rFonts w:hint="eastAsia" w:ascii="Times New Roman" w:hAnsi="Times New Roman" w:cs="宋体"/>
          <w:color w:val="auto"/>
          <w:spacing w:val="-6"/>
          <w:sz w:val="28"/>
          <w:szCs w:val="28"/>
        </w:rPr>
        <w:t>，主要包括加油区罩棚、站房及储罐区、经营、储存装置及其平面布置以及对项目的外部环境的评价，对企业安全管理、应急措施的评价。</w:t>
      </w:r>
    </w:p>
    <w:p w14:paraId="79729ECE">
      <w:pPr>
        <w:pageBreakBefore w:val="0"/>
        <w:kinsoku/>
        <w:wordWrap/>
        <w:overflowPunct/>
        <w:topLinePunct w:val="0"/>
        <w:autoSpaceDE/>
        <w:autoSpaceDN/>
        <w:bidi w:val="0"/>
        <w:spacing w:line="580" w:lineRule="exact"/>
        <w:ind w:firstLine="492" w:firstLineChars="200"/>
        <w:textAlignment w:val="auto"/>
        <w:rPr>
          <w:rFonts w:ascii="Times New Roman" w:hAnsi="Times New Roman" w:cs="宋体"/>
          <w:color w:val="auto"/>
          <w:spacing w:val="-11"/>
          <w:sz w:val="28"/>
          <w:szCs w:val="28"/>
        </w:rPr>
      </w:pPr>
      <w:r>
        <w:rPr>
          <w:rFonts w:hint="eastAsia" w:ascii="Times New Roman" w:hAnsi="Times New Roman" w:cs="宋体"/>
          <w:color w:val="auto"/>
          <w:spacing w:val="-17"/>
          <w:sz w:val="28"/>
          <w:szCs w:val="28"/>
        </w:rPr>
        <w:t>加油站围墙外的建（构）筑物、设施不在本次评价范围内，按站外建（构）筑物及设施考虑。根据有关法律、法规及标准规范的要求进行符合性、有效性评价。</w:t>
      </w:r>
    </w:p>
    <w:p w14:paraId="4D93C0FC">
      <w:pPr>
        <w:pageBreakBefore w:val="0"/>
        <w:kinsoku/>
        <w:wordWrap/>
        <w:overflowPunct/>
        <w:topLinePunct w:val="0"/>
        <w:autoSpaceDE/>
        <w:autoSpaceDN/>
        <w:bidi w:val="0"/>
        <w:spacing w:line="580" w:lineRule="exact"/>
        <w:ind w:firstLine="516" w:firstLineChars="200"/>
        <w:textAlignment w:val="auto"/>
        <w:rPr>
          <w:rFonts w:ascii="Times New Roman" w:hAnsi="Times New Roman" w:cs="宋体"/>
          <w:color w:val="auto"/>
          <w:sz w:val="28"/>
          <w:szCs w:val="28"/>
        </w:rPr>
      </w:pPr>
      <w:r>
        <w:rPr>
          <w:rFonts w:hint="eastAsia" w:ascii="Times New Roman" w:hAnsi="Times New Roman" w:cs="宋体"/>
          <w:color w:val="auto"/>
          <w:spacing w:val="-11"/>
          <w:sz w:val="28"/>
          <w:szCs w:val="28"/>
        </w:rPr>
        <w:t>如经营场所、储存条件、品种、设施等发生变化，则不在本评价报告范围内。</w:t>
      </w:r>
    </w:p>
    <w:p w14:paraId="4375EEAF">
      <w:pPr>
        <w:pStyle w:val="4"/>
        <w:pageBreakBefore w:val="0"/>
        <w:kinsoku/>
        <w:wordWrap/>
        <w:overflowPunct/>
        <w:topLinePunct w:val="0"/>
        <w:autoSpaceDE/>
        <w:autoSpaceDN/>
        <w:bidi w:val="0"/>
        <w:spacing w:line="580" w:lineRule="exact"/>
        <w:textAlignment w:val="auto"/>
        <w:rPr>
          <w:rFonts w:cs="Times New Roman"/>
          <w:color w:val="auto"/>
        </w:rPr>
      </w:pPr>
      <w:bookmarkStart w:id="16" w:name="_Toc26802"/>
      <w:r>
        <w:rPr>
          <w:color w:val="auto"/>
        </w:rPr>
        <w:t>1.3.2</w:t>
      </w:r>
      <w:r>
        <w:rPr>
          <w:rFonts w:hint="eastAsia" w:cs="宋体"/>
          <w:color w:val="auto"/>
        </w:rPr>
        <w:t>评价内容</w:t>
      </w:r>
      <w:bookmarkEnd w:id="16"/>
    </w:p>
    <w:p w14:paraId="603DCCE1">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1</w:t>
      </w:r>
      <w:r>
        <w:rPr>
          <w:rFonts w:hint="eastAsia" w:ascii="Times New Roman" w:hAnsi="Times New Roman" w:cs="宋体"/>
          <w:color w:val="auto"/>
          <w:sz w:val="28"/>
          <w:szCs w:val="28"/>
        </w:rPr>
        <w:t>、检查项目运行情况，以及对员工的安全教育培训情况和作业人员的培训、取证情况；</w:t>
      </w:r>
    </w:p>
    <w:p w14:paraId="51ADCF24">
      <w:pPr>
        <w:pageBreakBefore w:val="0"/>
        <w:kinsoku/>
        <w:wordWrap/>
        <w:overflowPunct/>
        <w:topLinePunct w:val="0"/>
        <w:autoSpaceDE/>
        <w:autoSpaceDN/>
        <w:bidi w:val="0"/>
        <w:spacing w:line="580" w:lineRule="exact"/>
        <w:ind w:firstLine="536" w:firstLineChars="200"/>
        <w:jc w:val="left"/>
        <w:textAlignment w:val="auto"/>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2</w:t>
      </w:r>
      <w:r>
        <w:rPr>
          <w:rFonts w:hint="eastAsia" w:ascii="Times New Roman" w:hAnsi="Times New Roman" w:cs="宋体"/>
          <w:color w:val="auto"/>
          <w:spacing w:val="-6"/>
          <w:sz w:val="28"/>
          <w:szCs w:val="28"/>
        </w:rPr>
        <w:t>、检查安全生产管理体系及安全生产管理制度的建立健全和执行情况；</w:t>
      </w:r>
    </w:p>
    <w:p w14:paraId="2D9BA947">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3</w:t>
      </w:r>
      <w:r>
        <w:rPr>
          <w:rFonts w:hint="eastAsia" w:ascii="Times New Roman" w:hAnsi="Times New Roman" w:cs="宋体"/>
          <w:color w:val="auto"/>
          <w:sz w:val="28"/>
          <w:szCs w:val="28"/>
        </w:rPr>
        <w:t>、检查审核国家要求的设备、管道等的检验取证工作及有强制检验要求的防雷、防静电设施的检测、校验情况，以及项目消防验收的情况；</w:t>
      </w:r>
    </w:p>
    <w:p w14:paraId="2602073E">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4</w:t>
      </w:r>
      <w:r>
        <w:rPr>
          <w:rFonts w:hint="eastAsia" w:ascii="Times New Roman" w:hAnsi="Times New Roman" w:cs="宋体"/>
          <w:color w:val="auto"/>
          <w:sz w:val="28"/>
          <w:szCs w:val="28"/>
        </w:rPr>
        <w:t>、分析项目工程中存在的危险、有害因素，采用安全检查表法检查工程项目与国家相关标准的符合性；</w:t>
      </w:r>
    </w:p>
    <w:p w14:paraId="6E3B5702">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5</w:t>
      </w:r>
      <w:r>
        <w:rPr>
          <w:rFonts w:hint="eastAsia" w:ascii="Times New Roman" w:hAnsi="Times New Roman" w:cs="宋体"/>
          <w:color w:val="auto"/>
          <w:sz w:val="28"/>
          <w:szCs w:val="28"/>
        </w:rPr>
        <w:t>、采用定性、定量的评价</w:t>
      </w:r>
      <w:r>
        <w:rPr>
          <w:rFonts w:hint="eastAsia" w:ascii="Times New Roman" w:hAnsi="Times New Roman" w:cs="宋体"/>
          <w:color w:val="auto"/>
          <w:sz w:val="28"/>
          <w:szCs w:val="28"/>
          <w:lang w:eastAsia="zh-CN"/>
        </w:rPr>
        <w:t>方式</w:t>
      </w:r>
      <w:r>
        <w:rPr>
          <w:rFonts w:hint="eastAsia" w:ascii="Times New Roman" w:hAnsi="Times New Roman" w:cs="宋体"/>
          <w:color w:val="auto"/>
          <w:sz w:val="28"/>
          <w:szCs w:val="28"/>
        </w:rPr>
        <w:t>进行评价；</w:t>
      </w:r>
    </w:p>
    <w:p w14:paraId="2E85D79E">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6</w:t>
      </w:r>
      <w:r>
        <w:rPr>
          <w:rFonts w:hint="eastAsia" w:ascii="Times New Roman" w:hAnsi="Times New Roman" w:cs="宋体"/>
          <w:color w:val="auto"/>
          <w:sz w:val="28"/>
          <w:szCs w:val="28"/>
        </w:rPr>
        <w:t>、提出对策措施和建议；</w:t>
      </w:r>
    </w:p>
    <w:p w14:paraId="1CA31695">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7</w:t>
      </w:r>
      <w:r>
        <w:rPr>
          <w:rFonts w:hint="eastAsia" w:ascii="Times New Roman" w:hAnsi="Times New Roman" w:cs="宋体"/>
          <w:color w:val="auto"/>
          <w:sz w:val="28"/>
          <w:szCs w:val="28"/>
        </w:rPr>
        <w:t>、得出评价结论。</w:t>
      </w:r>
    </w:p>
    <w:p w14:paraId="60E4F61A">
      <w:pPr>
        <w:pageBreakBefore w:val="0"/>
        <w:kinsoku/>
        <w:wordWrap/>
        <w:overflowPunct/>
        <w:topLinePunct w:val="0"/>
        <w:autoSpaceDE/>
        <w:autoSpaceDN/>
        <w:bidi w:val="0"/>
        <w:spacing w:line="580" w:lineRule="exact"/>
        <w:textAlignment w:val="auto"/>
        <w:outlineLvl w:val="1"/>
        <w:rPr>
          <w:rStyle w:val="36"/>
          <w:color w:val="auto"/>
        </w:rPr>
      </w:pPr>
      <w:bookmarkStart w:id="17" w:name="_Toc2772"/>
      <w:bookmarkStart w:id="18" w:name="_Toc343692242"/>
      <w:bookmarkStart w:id="19" w:name="_Toc790"/>
      <w:r>
        <w:rPr>
          <w:rStyle w:val="36"/>
          <w:color w:val="auto"/>
        </w:rPr>
        <w:t>1.4</w:t>
      </w:r>
      <w:r>
        <w:rPr>
          <w:rStyle w:val="36"/>
          <w:rFonts w:hint="eastAsia" w:cs="宋体"/>
          <w:color w:val="auto"/>
        </w:rPr>
        <w:t>评价程序</w:t>
      </w:r>
      <w:bookmarkEnd w:id="17"/>
      <w:bookmarkEnd w:id="18"/>
      <w:bookmarkEnd w:id="19"/>
    </w:p>
    <w:p w14:paraId="04F0F201">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评价程序见图</w:t>
      </w:r>
      <w:r>
        <w:rPr>
          <w:rFonts w:ascii="Times New Roman" w:hAnsi="Times New Roman" w:cs="Times New Roman"/>
          <w:color w:val="auto"/>
          <w:sz w:val="28"/>
          <w:szCs w:val="28"/>
        </w:rPr>
        <w:t>1.4-1</w:t>
      </w:r>
      <w:r>
        <w:rPr>
          <w:rFonts w:hint="eastAsia" w:ascii="Times New Roman" w:hAnsi="Times New Roman" w:cs="宋体"/>
          <w:color w:val="auto"/>
          <w:sz w:val="28"/>
          <w:szCs w:val="28"/>
        </w:rPr>
        <w:t>。</w:t>
      </w:r>
    </w:p>
    <w:p w14:paraId="0A9AC99F">
      <w:pPr>
        <w:rPr>
          <w:rFonts w:ascii="Times New Roman" w:hAnsi="Times New Roman" w:cs="Times New Roman"/>
          <w:color w:val="auto"/>
          <w:sz w:val="24"/>
          <w:szCs w:val="24"/>
        </w:rPr>
      </w:pPr>
    </w:p>
    <w:p w14:paraId="68CB86CC">
      <w:pPr>
        <w:pStyle w:val="33"/>
        <w:rPr>
          <w:rFonts w:cs="Times New Roman"/>
          <w:color w:val="auto"/>
        </w:rPr>
      </w:pPr>
      <w:r>
        <w:rPr>
          <w:color w:val="auto"/>
        </w:rPr>
        <mc:AlternateContent>
          <mc:Choice Requires="wpg">
            <w:drawing>
              <wp:anchor distT="0" distB="0" distL="114300" distR="114300" simplePos="0" relativeHeight="251659264" behindDoc="0" locked="0" layoutInCell="1" allowOverlap="1">
                <wp:simplePos x="0" y="0"/>
                <wp:positionH relativeFrom="column">
                  <wp:posOffset>1807210</wp:posOffset>
                </wp:positionH>
                <wp:positionV relativeFrom="paragraph">
                  <wp:posOffset>125730</wp:posOffset>
                </wp:positionV>
                <wp:extent cx="2368550" cy="3789045"/>
                <wp:effectExtent l="5080" t="4445" r="7620" b="16510"/>
                <wp:wrapNone/>
                <wp:docPr id="14" name="组合 85"/>
                <wp:cNvGraphicFramePr/>
                <a:graphic xmlns:a="http://schemas.openxmlformats.org/drawingml/2006/main">
                  <a:graphicData uri="http://schemas.microsoft.com/office/word/2010/wordprocessingGroup">
                    <wpg:wgp>
                      <wpg:cNvGrpSpPr/>
                      <wpg:grpSpPr>
                        <a:xfrm>
                          <a:off x="0" y="0"/>
                          <a:ext cx="2368550" cy="3789045"/>
                          <a:chOff x="4821" y="196352"/>
                          <a:chExt cx="3730" cy="5967"/>
                        </a:xfrm>
                      </wpg:grpSpPr>
                      <wps:wsp>
                        <wps:cNvPr id="1" name="文本框 35"/>
                        <wps:cNvSpPr txBox="1"/>
                        <wps:spPr>
                          <a:xfrm>
                            <a:off x="4864" y="196352"/>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A2A908">
                              <w:pPr>
                                <w:jc w:val="center"/>
                                <w:rPr>
                                  <w:rFonts w:cs="Times New Roman"/>
                                  <w:sz w:val="24"/>
                                  <w:szCs w:val="24"/>
                                </w:rPr>
                              </w:pPr>
                              <w:r>
                                <w:rPr>
                                  <w:rFonts w:hint="eastAsia" w:cs="宋体"/>
                                  <w:sz w:val="24"/>
                                  <w:szCs w:val="24"/>
                                </w:rPr>
                                <w:t>前</w:t>
                              </w:r>
                              <w:r>
                                <w:rPr>
                                  <w:sz w:val="24"/>
                                  <w:szCs w:val="24"/>
                                </w:rPr>
                                <w:t xml:space="preserve"> </w:t>
                              </w:r>
                              <w:r>
                                <w:rPr>
                                  <w:rFonts w:hint="eastAsia" w:cs="宋体"/>
                                  <w:sz w:val="24"/>
                                  <w:szCs w:val="24"/>
                                </w:rPr>
                                <w:t>期</w:t>
                              </w:r>
                              <w:r>
                                <w:rPr>
                                  <w:sz w:val="24"/>
                                  <w:szCs w:val="24"/>
                                </w:rPr>
                                <w:t xml:space="preserve"> </w:t>
                              </w:r>
                              <w:r>
                                <w:rPr>
                                  <w:rFonts w:hint="eastAsia" w:cs="宋体"/>
                                  <w:sz w:val="24"/>
                                  <w:szCs w:val="24"/>
                                </w:rPr>
                                <w:t>准</w:t>
                              </w:r>
                              <w:r>
                                <w:rPr>
                                  <w:sz w:val="24"/>
                                  <w:szCs w:val="24"/>
                                </w:rPr>
                                <w:t xml:space="preserve"> </w:t>
                              </w:r>
                              <w:r>
                                <w:rPr>
                                  <w:rFonts w:hint="eastAsia" w:cs="宋体"/>
                                  <w:sz w:val="24"/>
                                  <w:szCs w:val="24"/>
                                </w:rPr>
                                <w:t>备</w:t>
                              </w:r>
                            </w:p>
                          </w:txbxContent>
                        </wps:txbx>
                        <wps:bodyPr upright="1"/>
                      </wps:wsp>
                      <wps:wsp>
                        <wps:cNvPr id="2" name="文本框 36"/>
                        <wps:cNvSpPr txBox="1"/>
                        <wps:spPr>
                          <a:xfrm>
                            <a:off x="4875" y="197276"/>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7A4FB4">
                              <w:pPr>
                                <w:jc w:val="center"/>
                                <w:rPr>
                                  <w:rFonts w:cs="Times New Roman"/>
                                  <w:sz w:val="24"/>
                                  <w:szCs w:val="24"/>
                                </w:rPr>
                              </w:pPr>
                              <w:r>
                                <w:rPr>
                                  <w:rFonts w:hint="eastAsia" w:cs="宋体"/>
                                  <w:sz w:val="24"/>
                                  <w:szCs w:val="24"/>
                                </w:rPr>
                                <w:t>辨识与分析危险、有害因素</w:t>
                              </w:r>
                            </w:p>
                          </w:txbxContent>
                        </wps:txbx>
                        <wps:bodyPr upright="1"/>
                      </wps:wsp>
                      <wps:wsp>
                        <wps:cNvPr id="3" name="文本框 37"/>
                        <wps:cNvSpPr txBox="1"/>
                        <wps:spPr>
                          <a:xfrm>
                            <a:off x="4864" y="198187"/>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6C196B">
                              <w:pPr>
                                <w:jc w:val="center"/>
                                <w:rPr>
                                  <w:rFonts w:cs="Times New Roman"/>
                                  <w:sz w:val="24"/>
                                  <w:szCs w:val="24"/>
                                </w:rPr>
                              </w:pPr>
                              <w:r>
                                <w:rPr>
                                  <w:rFonts w:hint="eastAsia" w:cs="宋体"/>
                                  <w:sz w:val="24"/>
                                  <w:szCs w:val="24"/>
                                </w:rPr>
                                <w:t>划分评价单元</w:t>
                              </w:r>
                            </w:p>
                          </w:txbxContent>
                        </wps:txbx>
                        <wps:bodyPr upright="1"/>
                      </wps:wsp>
                      <wps:wsp>
                        <wps:cNvPr id="4" name="文本框 38"/>
                        <wps:cNvSpPr txBox="1"/>
                        <wps:spPr>
                          <a:xfrm>
                            <a:off x="4842" y="199090"/>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634AEC">
                              <w:pPr>
                                <w:jc w:val="center"/>
                                <w:rPr>
                                  <w:rFonts w:cs="Times New Roman"/>
                                  <w:sz w:val="24"/>
                                  <w:szCs w:val="24"/>
                                </w:rPr>
                              </w:pPr>
                              <w:r>
                                <w:rPr>
                                  <w:rFonts w:hint="eastAsia" w:cs="宋体"/>
                                  <w:sz w:val="24"/>
                                  <w:szCs w:val="24"/>
                                </w:rPr>
                                <w:t>定性、定量评价</w:t>
                              </w:r>
                            </w:p>
                          </w:txbxContent>
                        </wps:txbx>
                        <wps:bodyPr upright="1"/>
                      </wps:wsp>
                      <wps:wsp>
                        <wps:cNvPr id="5" name="文本框 39"/>
                        <wps:cNvSpPr txBox="1"/>
                        <wps:spPr>
                          <a:xfrm>
                            <a:off x="4821" y="199991"/>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63A67C">
                              <w:pPr>
                                <w:jc w:val="center"/>
                                <w:rPr>
                                  <w:rFonts w:cs="Times New Roman"/>
                                  <w:sz w:val="24"/>
                                  <w:szCs w:val="24"/>
                                </w:rPr>
                              </w:pPr>
                              <w:r>
                                <w:rPr>
                                  <w:rFonts w:hint="eastAsia" w:cs="宋体"/>
                                  <w:sz w:val="24"/>
                                  <w:szCs w:val="24"/>
                                </w:rPr>
                                <w:t>提出安全对策措施建议</w:t>
                              </w:r>
                            </w:p>
                          </w:txbxContent>
                        </wps:txbx>
                        <wps:bodyPr upright="1"/>
                      </wps:wsp>
                      <wps:wsp>
                        <wps:cNvPr id="6" name="文本框 40"/>
                        <wps:cNvSpPr txBox="1"/>
                        <wps:spPr>
                          <a:xfrm>
                            <a:off x="4853" y="200892"/>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C9DD99">
                              <w:pPr>
                                <w:jc w:val="center"/>
                                <w:rPr>
                                  <w:rFonts w:cs="Times New Roman"/>
                                  <w:sz w:val="24"/>
                                  <w:szCs w:val="24"/>
                                </w:rPr>
                              </w:pPr>
                              <w:r>
                                <w:rPr>
                                  <w:rFonts w:hint="eastAsia" w:cs="宋体"/>
                                  <w:sz w:val="24"/>
                                  <w:szCs w:val="24"/>
                                </w:rPr>
                                <w:t>做出评价结论</w:t>
                              </w:r>
                            </w:p>
                          </w:txbxContent>
                        </wps:txbx>
                        <wps:bodyPr upright="1"/>
                      </wps:wsp>
                      <wps:wsp>
                        <wps:cNvPr id="7" name="文本框 41"/>
                        <wps:cNvSpPr txBox="1"/>
                        <wps:spPr>
                          <a:xfrm>
                            <a:off x="4843" y="201773"/>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8A5DDE">
                              <w:pPr>
                                <w:jc w:val="center"/>
                                <w:rPr>
                                  <w:rFonts w:cs="Times New Roman"/>
                                  <w:sz w:val="24"/>
                                  <w:szCs w:val="24"/>
                                </w:rPr>
                              </w:pPr>
                              <w:r>
                                <w:rPr>
                                  <w:rFonts w:hint="eastAsia" w:cs="宋体"/>
                                  <w:sz w:val="24"/>
                                  <w:szCs w:val="24"/>
                                </w:rPr>
                                <w:t>编制安全验收评价报告</w:t>
                              </w:r>
                            </w:p>
                          </w:txbxContent>
                        </wps:txbx>
                        <wps:bodyPr upright="1"/>
                      </wps:wsp>
                      <wps:wsp>
                        <wps:cNvPr id="8" name="直接连接符 42"/>
                        <wps:cNvCnPr/>
                        <wps:spPr>
                          <a:xfrm>
                            <a:off x="6715" y="196899"/>
                            <a:ext cx="13" cy="392"/>
                          </a:xfrm>
                          <a:prstGeom prst="line">
                            <a:avLst/>
                          </a:prstGeom>
                          <a:ln w="9525" cap="flat" cmpd="sng">
                            <a:solidFill>
                              <a:srgbClr val="000000"/>
                            </a:solidFill>
                            <a:prstDash val="solid"/>
                            <a:headEnd type="none" w="med" len="med"/>
                            <a:tailEnd type="triangle" w="med" len="med"/>
                          </a:ln>
                        </wps:spPr>
                        <wps:bodyPr/>
                      </wps:wsp>
                      <wps:wsp>
                        <wps:cNvPr id="9" name="直接连接符 80"/>
                        <wps:cNvCnPr/>
                        <wps:spPr>
                          <a:xfrm flipH="1">
                            <a:off x="6707" y="197803"/>
                            <a:ext cx="1" cy="355"/>
                          </a:xfrm>
                          <a:prstGeom prst="line">
                            <a:avLst/>
                          </a:prstGeom>
                          <a:ln w="9525" cap="flat" cmpd="sng">
                            <a:solidFill>
                              <a:srgbClr val="000000"/>
                            </a:solidFill>
                            <a:prstDash val="solid"/>
                            <a:headEnd type="none" w="med" len="med"/>
                            <a:tailEnd type="triangle" w="med" len="med"/>
                          </a:ln>
                        </wps:spPr>
                        <wps:bodyPr/>
                      </wps:wsp>
                      <wps:wsp>
                        <wps:cNvPr id="10" name="直接连接符 81"/>
                        <wps:cNvCnPr/>
                        <wps:spPr>
                          <a:xfrm flipH="1">
                            <a:off x="6722" y="198750"/>
                            <a:ext cx="1" cy="355"/>
                          </a:xfrm>
                          <a:prstGeom prst="line">
                            <a:avLst/>
                          </a:prstGeom>
                          <a:ln w="9525" cap="flat" cmpd="sng">
                            <a:solidFill>
                              <a:srgbClr val="000000"/>
                            </a:solidFill>
                            <a:prstDash val="solid"/>
                            <a:headEnd type="none" w="med" len="med"/>
                            <a:tailEnd type="triangle" w="med" len="med"/>
                          </a:ln>
                        </wps:spPr>
                        <wps:bodyPr/>
                      </wps:wsp>
                      <wps:wsp>
                        <wps:cNvPr id="11" name="直接连接符 82"/>
                        <wps:cNvCnPr/>
                        <wps:spPr>
                          <a:xfrm flipH="1">
                            <a:off x="6727" y="199633"/>
                            <a:ext cx="1" cy="355"/>
                          </a:xfrm>
                          <a:prstGeom prst="line">
                            <a:avLst/>
                          </a:prstGeom>
                          <a:ln w="9525" cap="flat" cmpd="sng">
                            <a:solidFill>
                              <a:srgbClr val="000000"/>
                            </a:solidFill>
                            <a:prstDash val="solid"/>
                            <a:headEnd type="none" w="med" len="med"/>
                            <a:tailEnd type="triangle" w="med" len="med"/>
                          </a:ln>
                        </wps:spPr>
                        <wps:bodyPr/>
                      </wps:wsp>
                      <wps:wsp>
                        <wps:cNvPr id="12" name="直接连接符 83"/>
                        <wps:cNvCnPr/>
                        <wps:spPr>
                          <a:xfrm flipH="1">
                            <a:off x="6731" y="200527"/>
                            <a:ext cx="1" cy="355"/>
                          </a:xfrm>
                          <a:prstGeom prst="line">
                            <a:avLst/>
                          </a:prstGeom>
                          <a:ln w="9525" cap="flat" cmpd="sng">
                            <a:solidFill>
                              <a:srgbClr val="000000"/>
                            </a:solidFill>
                            <a:prstDash val="solid"/>
                            <a:headEnd type="none" w="med" len="med"/>
                            <a:tailEnd type="triangle" w="med" len="med"/>
                          </a:ln>
                        </wps:spPr>
                        <wps:bodyPr/>
                      </wps:wsp>
                      <wps:wsp>
                        <wps:cNvPr id="13" name="直接连接符 84"/>
                        <wps:cNvCnPr/>
                        <wps:spPr>
                          <a:xfrm flipH="1">
                            <a:off x="6714" y="201442"/>
                            <a:ext cx="1" cy="355"/>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85" o:spid="_x0000_s1026" o:spt="203" style="position:absolute;left:0pt;margin-left:142.3pt;margin-top:9.9pt;height:298.35pt;width:186.5pt;z-index:251659264;mso-width-relative:page;mso-height-relative:page;" coordorigin="4821,196352" coordsize="3730,5967" o:gfxdata="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&#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J101hDaAAAACgEAAA8AAAAAAAAAAQAgAAAAIgAAAGRy&#10;cy9kb3ducmV2LnhtbFBLAQIUABQAAAAIAIdO4kCgEKWtPQQAANkfAAAOAAAAAAAAAAEAIAAAACkB&#10;AABkcnMvZTJvRG9jLnhtbFBLBQYAAAAABgAGAFkBAADYBwAAAAA=&#10;">
                <o:lock v:ext="edit" aspectratio="f"/>
                <v:shape id="文本框 35" o:spid="_x0000_s1026" o:spt="202" type="#_x0000_t202" style="position:absolute;left:4864;top:196352;height:547;width:3677;" fillcolor="#FFFFFF" filled="t" stroked="t" coordsize="21600,21600" o:gfxdata="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3I6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DA2A908">
                        <w:pPr>
                          <w:jc w:val="center"/>
                          <w:rPr>
                            <w:rFonts w:cs="Times New Roman"/>
                            <w:sz w:val="24"/>
                            <w:szCs w:val="24"/>
                          </w:rPr>
                        </w:pPr>
                        <w:r>
                          <w:rPr>
                            <w:rFonts w:hint="eastAsia" w:cs="宋体"/>
                            <w:sz w:val="24"/>
                            <w:szCs w:val="24"/>
                          </w:rPr>
                          <w:t>前</w:t>
                        </w:r>
                        <w:r>
                          <w:rPr>
                            <w:sz w:val="24"/>
                            <w:szCs w:val="24"/>
                          </w:rPr>
                          <w:t xml:space="preserve"> </w:t>
                        </w:r>
                        <w:r>
                          <w:rPr>
                            <w:rFonts w:hint="eastAsia" w:cs="宋体"/>
                            <w:sz w:val="24"/>
                            <w:szCs w:val="24"/>
                          </w:rPr>
                          <w:t>期</w:t>
                        </w:r>
                        <w:r>
                          <w:rPr>
                            <w:sz w:val="24"/>
                            <w:szCs w:val="24"/>
                          </w:rPr>
                          <w:t xml:space="preserve"> </w:t>
                        </w:r>
                        <w:r>
                          <w:rPr>
                            <w:rFonts w:hint="eastAsia" w:cs="宋体"/>
                            <w:sz w:val="24"/>
                            <w:szCs w:val="24"/>
                          </w:rPr>
                          <w:t>准</w:t>
                        </w:r>
                        <w:r>
                          <w:rPr>
                            <w:sz w:val="24"/>
                            <w:szCs w:val="24"/>
                          </w:rPr>
                          <w:t xml:space="preserve"> </w:t>
                        </w:r>
                        <w:r>
                          <w:rPr>
                            <w:rFonts w:hint="eastAsia" w:cs="宋体"/>
                            <w:sz w:val="24"/>
                            <w:szCs w:val="24"/>
                          </w:rPr>
                          <w:t>备</w:t>
                        </w:r>
                      </w:p>
                    </w:txbxContent>
                  </v:textbox>
                </v:shape>
                <v:shape id="文本框 36" o:spid="_x0000_s1026" o:spt="202" type="#_x0000_t202" style="position:absolute;left:4875;top:197276;height:547;width:3677;"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F7A4FB4">
                        <w:pPr>
                          <w:jc w:val="center"/>
                          <w:rPr>
                            <w:rFonts w:cs="Times New Roman"/>
                            <w:sz w:val="24"/>
                            <w:szCs w:val="24"/>
                          </w:rPr>
                        </w:pPr>
                        <w:r>
                          <w:rPr>
                            <w:rFonts w:hint="eastAsia" w:cs="宋体"/>
                            <w:sz w:val="24"/>
                            <w:szCs w:val="24"/>
                          </w:rPr>
                          <w:t>辨识与分析危险、有害因素</w:t>
                        </w:r>
                      </w:p>
                    </w:txbxContent>
                  </v:textbox>
                </v:shape>
                <v:shape id="文本框 37" o:spid="_x0000_s1026" o:spt="202" type="#_x0000_t202" style="position:absolute;left:4864;top:198187;height:547;width:3677;" fillcolor="#FFFFFF" filled="t" stroked="t" coordsize="21600,2160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D6C196B">
                        <w:pPr>
                          <w:jc w:val="center"/>
                          <w:rPr>
                            <w:rFonts w:cs="Times New Roman"/>
                            <w:sz w:val="24"/>
                            <w:szCs w:val="24"/>
                          </w:rPr>
                        </w:pPr>
                        <w:r>
                          <w:rPr>
                            <w:rFonts w:hint="eastAsia" w:cs="宋体"/>
                            <w:sz w:val="24"/>
                            <w:szCs w:val="24"/>
                          </w:rPr>
                          <w:t>划分评价单元</w:t>
                        </w:r>
                      </w:p>
                    </w:txbxContent>
                  </v:textbox>
                </v:shape>
                <v:shape id="文本框 38" o:spid="_x0000_s1026" o:spt="202" type="#_x0000_t202" style="position:absolute;left:4842;top:199090;height:547;width:3677;"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7634AEC">
                        <w:pPr>
                          <w:jc w:val="center"/>
                          <w:rPr>
                            <w:rFonts w:cs="Times New Roman"/>
                            <w:sz w:val="24"/>
                            <w:szCs w:val="24"/>
                          </w:rPr>
                        </w:pPr>
                        <w:r>
                          <w:rPr>
                            <w:rFonts w:hint="eastAsia" w:cs="宋体"/>
                            <w:sz w:val="24"/>
                            <w:szCs w:val="24"/>
                          </w:rPr>
                          <w:t>定性、定量评价</w:t>
                        </w:r>
                      </w:p>
                    </w:txbxContent>
                  </v:textbox>
                </v:shape>
                <v:shape id="文本框 39" o:spid="_x0000_s1026" o:spt="202" type="#_x0000_t202" style="position:absolute;left:4821;top:199991;height:547;width:3677;"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663A67C">
                        <w:pPr>
                          <w:jc w:val="center"/>
                          <w:rPr>
                            <w:rFonts w:cs="Times New Roman"/>
                            <w:sz w:val="24"/>
                            <w:szCs w:val="24"/>
                          </w:rPr>
                        </w:pPr>
                        <w:r>
                          <w:rPr>
                            <w:rFonts w:hint="eastAsia" w:cs="宋体"/>
                            <w:sz w:val="24"/>
                            <w:szCs w:val="24"/>
                          </w:rPr>
                          <w:t>提出安全对策措施建议</w:t>
                        </w:r>
                      </w:p>
                    </w:txbxContent>
                  </v:textbox>
                </v:shape>
                <v:shape id="文本框 40" o:spid="_x0000_s1026" o:spt="202" type="#_x0000_t202" style="position:absolute;left:4853;top:200892;height:547;width:3677;"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7C9DD99">
                        <w:pPr>
                          <w:jc w:val="center"/>
                          <w:rPr>
                            <w:rFonts w:cs="Times New Roman"/>
                            <w:sz w:val="24"/>
                            <w:szCs w:val="24"/>
                          </w:rPr>
                        </w:pPr>
                        <w:r>
                          <w:rPr>
                            <w:rFonts w:hint="eastAsia" w:cs="宋体"/>
                            <w:sz w:val="24"/>
                            <w:szCs w:val="24"/>
                          </w:rPr>
                          <w:t>做出评价结论</w:t>
                        </w:r>
                      </w:p>
                    </w:txbxContent>
                  </v:textbox>
                </v:shape>
                <v:shape id="文本框 41" o:spid="_x0000_s1026" o:spt="202" type="#_x0000_t202" style="position:absolute;left:4843;top:201773;height:547;width:3677;"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38A5DDE">
                        <w:pPr>
                          <w:jc w:val="center"/>
                          <w:rPr>
                            <w:rFonts w:cs="Times New Roman"/>
                            <w:sz w:val="24"/>
                            <w:szCs w:val="24"/>
                          </w:rPr>
                        </w:pPr>
                        <w:r>
                          <w:rPr>
                            <w:rFonts w:hint="eastAsia" w:cs="宋体"/>
                            <w:sz w:val="24"/>
                            <w:szCs w:val="24"/>
                          </w:rPr>
                          <w:t>编制安全验收评价报告</w:t>
                        </w:r>
                      </w:p>
                    </w:txbxContent>
                  </v:textbox>
                </v:shape>
                <v:line id="直接连接符 42" o:spid="_x0000_s1026" o:spt="20" style="position:absolute;left:6715;top:196899;height:392;width:13;"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直接连接符 80" o:spid="_x0000_s1026" o:spt="20" style="position:absolute;left:6707;top:197803;flip:x;height:355;width:1;" filled="f" stroked="t" coordsize="21600,21600" o:gfxdata="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i6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81" o:spid="_x0000_s1026" o:spt="20" style="position:absolute;left:6722;top:198750;flip:x;height:355;width:1;" filled="f" stroked="t" coordsize="21600,21600" o:gfxdata="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a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82" o:spid="_x0000_s1026" o:spt="20" style="position:absolute;left:6727;top:199633;flip:x;height:355;width:1;" filled="f" stroked="t" coordsize="21600,21600" o:gfxdata="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3" o:spid="_x0000_s1026" o:spt="20" style="position:absolute;left:6731;top:200527;flip:x;height:355;width:1;" filled="f" stroked="t" coordsize="21600,21600" o:gfxdata="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s4Zu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4" o:spid="_x0000_s1026" o:spt="20" style="position:absolute;left:6714;top:201442;flip:x;height:355;width:1;" filled="f" stroked="t" coordsize="21600,21600" o:gfxdata="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oEQA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4EC4419E">
      <w:pPr>
        <w:pStyle w:val="33"/>
        <w:rPr>
          <w:rFonts w:cs="Times New Roman"/>
          <w:color w:val="auto"/>
        </w:rPr>
      </w:pPr>
    </w:p>
    <w:p w14:paraId="4B41B4EE">
      <w:pPr>
        <w:pStyle w:val="33"/>
        <w:rPr>
          <w:rFonts w:cs="Times New Roman"/>
          <w:color w:val="auto"/>
        </w:rPr>
      </w:pPr>
    </w:p>
    <w:p w14:paraId="00A736DC">
      <w:pPr>
        <w:pStyle w:val="33"/>
        <w:rPr>
          <w:rFonts w:cs="Times New Roman"/>
          <w:color w:val="auto"/>
        </w:rPr>
      </w:pPr>
    </w:p>
    <w:p w14:paraId="145D5834">
      <w:pPr>
        <w:pStyle w:val="33"/>
        <w:rPr>
          <w:rFonts w:cs="Times New Roman"/>
          <w:color w:val="auto"/>
        </w:rPr>
      </w:pPr>
    </w:p>
    <w:p w14:paraId="4D890F11">
      <w:pPr>
        <w:pStyle w:val="33"/>
        <w:rPr>
          <w:rFonts w:cs="Times New Roman"/>
          <w:color w:val="auto"/>
        </w:rPr>
      </w:pPr>
    </w:p>
    <w:p w14:paraId="7B08B412">
      <w:pPr>
        <w:pStyle w:val="33"/>
        <w:rPr>
          <w:rFonts w:cs="Times New Roman"/>
          <w:color w:val="auto"/>
        </w:rPr>
      </w:pPr>
    </w:p>
    <w:p w14:paraId="078600A9">
      <w:pPr>
        <w:pStyle w:val="33"/>
        <w:rPr>
          <w:rFonts w:cs="Times New Roman"/>
          <w:color w:val="auto"/>
        </w:rPr>
      </w:pPr>
    </w:p>
    <w:p w14:paraId="561DD7E9">
      <w:pPr>
        <w:pStyle w:val="33"/>
        <w:rPr>
          <w:rFonts w:cs="Times New Roman"/>
          <w:color w:val="auto"/>
        </w:rPr>
      </w:pPr>
    </w:p>
    <w:p w14:paraId="0A669B41">
      <w:pPr>
        <w:pStyle w:val="33"/>
        <w:rPr>
          <w:rFonts w:cs="Times New Roman"/>
          <w:color w:val="auto"/>
        </w:rPr>
      </w:pPr>
    </w:p>
    <w:p w14:paraId="40AB3319">
      <w:pPr>
        <w:pStyle w:val="33"/>
        <w:rPr>
          <w:rFonts w:cs="Times New Roman"/>
          <w:color w:val="auto"/>
        </w:rPr>
      </w:pPr>
    </w:p>
    <w:p w14:paraId="33AE0939">
      <w:pPr>
        <w:pStyle w:val="33"/>
        <w:rPr>
          <w:rFonts w:cs="Times New Roman"/>
          <w:color w:val="auto"/>
        </w:rPr>
      </w:pPr>
    </w:p>
    <w:p w14:paraId="44199675">
      <w:pPr>
        <w:pStyle w:val="33"/>
        <w:rPr>
          <w:rFonts w:cs="Times New Roman"/>
          <w:color w:val="auto"/>
        </w:rPr>
      </w:pPr>
    </w:p>
    <w:p w14:paraId="0D27DF97">
      <w:pPr>
        <w:jc w:val="center"/>
        <w:rPr>
          <w:rFonts w:ascii="Times New Roman" w:hAnsi="Times New Roman" w:cs="宋体"/>
          <w:b/>
          <w:bCs/>
          <w:color w:val="auto"/>
          <w:sz w:val="28"/>
          <w:szCs w:val="28"/>
        </w:rPr>
      </w:pPr>
    </w:p>
    <w:p w14:paraId="259A396D">
      <w:pPr>
        <w:jc w:val="center"/>
        <w:rPr>
          <w:rFonts w:ascii="Times New Roman" w:hAnsi="Times New Roman" w:cs="Times New Roman"/>
          <w:b/>
          <w:bCs/>
          <w:color w:val="auto"/>
          <w:sz w:val="28"/>
          <w:szCs w:val="28"/>
        </w:rPr>
      </w:pPr>
      <w:r>
        <w:rPr>
          <w:rFonts w:hint="eastAsia" w:ascii="Times New Roman" w:hAnsi="Times New Roman" w:cs="宋体"/>
          <w:b/>
          <w:bCs/>
          <w:color w:val="auto"/>
          <w:sz w:val="28"/>
          <w:szCs w:val="28"/>
        </w:rPr>
        <w:t>图</w:t>
      </w:r>
      <w:r>
        <w:rPr>
          <w:rFonts w:ascii="Times New Roman" w:hAnsi="Times New Roman" w:cs="Times New Roman"/>
          <w:b/>
          <w:bCs/>
          <w:color w:val="auto"/>
          <w:sz w:val="28"/>
          <w:szCs w:val="28"/>
        </w:rPr>
        <w:t xml:space="preserve">1.4-1 </w:t>
      </w:r>
      <w:r>
        <w:rPr>
          <w:rFonts w:hint="eastAsia" w:ascii="Times New Roman" w:hAnsi="Times New Roman" w:cs="宋体"/>
          <w:b/>
          <w:bCs/>
          <w:color w:val="auto"/>
          <w:sz w:val="28"/>
          <w:szCs w:val="28"/>
        </w:rPr>
        <w:t>评价工作程序图</w:t>
      </w:r>
    </w:p>
    <w:p w14:paraId="5A6E6875">
      <w:pPr>
        <w:pStyle w:val="33"/>
        <w:ind w:firstLine="0"/>
        <w:outlineLvl w:val="0"/>
        <w:rPr>
          <w:rStyle w:val="35"/>
          <w:color w:val="auto"/>
        </w:rPr>
      </w:pPr>
      <w:bookmarkStart w:id="20" w:name="_Toc343692243"/>
      <w:bookmarkStart w:id="21" w:name="_Toc3289"/>
      <w:bookmarkStart w:id="22" w:name="_Toc22287"/>
      <w:r>
        <w:rPr>
          <w:rStyle w:val="35"/>
          <w:color w:val="auto"/>
        </w:rPr>
        <w:br w:type="page"/>
      </w:r>
      <w:bookmarkStart w:id="23" w:name="_Toc22252"/>
      <w:r>
        <w:rPr>
          <w:rFonts w:hint="eastAsia" w:ascii="Times New Roman"/>
          <w:b/>
          <w:bCs/>
          <w:color w:val="auto"/>
          <w:kern w:val="36"/>
          <w:sz w:val="32"/>
          <w:szCs w:val="32"/>
        </w:rPr>
        <w:t>2 加油站概况</w:t>
      </w:r>
      <w:bookmarkEnd w:id="20"/>
      <w:bookmarkEnd w:id="21"/>
      <w:bookmarkEnd w:id="22"/>
      <w:bookmarkEnd w:id="23"/>
    </w:p>
    <w:p w14:paraId="4894874E">
      <w:pPr>
        <w:pStyle w:val="3"/>
        <w:spacing w:line="360" w:lineRule="auto"/>
        <w:rPr>
          <w:color w:val="auto"/>
        </w:rPr>
      </w:pPr>
      <w:bookmarkStart w:id="24" w:name="_Toc6028"/>
      <w:bookmarkStart w:id="25" w:name="_Toc343692244"/>
      <w:bookmarkStart w:id="26" w:name="_Toc14502"/>
      <w:r>
        <w:rPr>
          <w:color w:val="auto"/>
        </w:rPr>
        <w:t>2.1</w:t>
      </w:r>
      <w:r>
        <w:rPr>
          <w:rFonts w:hint="eastAsia" w:cs="宋体"/>
          <w:color w:val="auto"/>
        </w:rPr>
        <w:t>建设项目基本情况</w:t>
      </w:r>
      <w:bookmarkEnd w:id="24"/>
    </w:p>
    <w:p w14:paraId="550526A7">
      <w:pPr>
        <w:pStyle w:val="4"/>
        <w:snapToGrid w:val="0"/>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2.1.1 </w:t>
      </w:r>
      <w:r>
        <w:rPr>
          <w:rFonts w:hint="eastAsia" w:ascii="Times New Roman" w:hAnsi="Times New Roman" w:cs="宋体"/>
          <w:color w:val="auto"/>
          <w:sz w:val="28"/>
          <w:szCs w:val="28"/>
        </w:rPr>
        <w:t>建设项目背景、组成</w:t>
      </w:r>
    </w:p>
    <w:p w14:paraId="2C06E275">
      <w:pPr>
        <w:spacing w:line="600" w:lineRule="exact"/>
        <w:ind w:firstLine="562" w:firstLineChars="200"/>
        <w:rPr>
          <w:rFonts w:ascii="Times New Roman" w:hAnsi="Times New Roman" w:cs="Times New Roman"/>
          <w:b/>
          <w:bCs/>
          <w:color w:val="auto"/>
          <w:sz w:val="28"/>
          <w:szCs w:val="28"/>
        </w:rPr>
      </w:pPr>
      <w:r>
        <w:rPr>
          <w:rFonts w:hint="eastAsia" w:ascii="Times New Roman" w:hAnsi="Times New Roman" w:cs="Times New Roman"/>
          <w:b/>
          <w:bCs/>
          <w:color w:val="auto"/>
          <w:sz w:val="28"/>
          <w:szCs w:val="28"/>
        </w:rPr>
        <w:t>项目背景</w:t>
      </w:r>
    </w:p>
    <w:p w14:paraId="176E56F1">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中国石化销售股份有限公司江西赣州</w:t>
      </w:r>
      <w:r>
        <w:rPr>
          <w:rFonts w:hint="eastAsia" w:ascii="Times New Roman" w:hAnsi="Times New Roman" w:cs="Times New Roman"/>
          <w:color w:val="auto"/>
          <w:sz w:val="28"/>
          <w:szCs w:val="28"/>
          <w:lang w:eastAsia="zh-CN"/>
        </w:rPr>
        <w:t>兴国石油分公司江背加油站</w:t>
      </w:r>
      <w:r>
        <w:rPr>
          <w:rFonts w:ascii="Times New Roman" w:hAnsi="Times New Roman" w:cs="Times New Roman"/>
          <w:color w:val="auto"/>
          <w:sz w:val="28"/>
          <w:szCs w:val="28"/>
        </w:rPr>
        <w:t>（以下简称</w:t>
      </w:r>
      <w:r>
        <w:rPr>
          <w:rFonts w:hint="eastAsia" w:ascii="Times New Roman" w:hAnsi="Times New Roman" w:cs="Times New Roman"/>
          <w:color w:val="auto"/>
          <w:sz w:val="28"/>
          <w:szCs w:val="28"/>
        </w:rPr>
        <w:t>“</w:t>
      </w:r>
      <w:r>
        <w:rPr>
          <w:rFonts w:ascii="Times New Roman" w:hAnsi="Times New Roman" w:cs="Times New Roman"/>
          <w:color w:val="auto"/>
          <w:sz w:val="28"/>
          <w:szCs w:val="28"/>
        </w:rPr>
        <w:t>中石化</w:t>
      </w:r>
      <w:r>
        <w:rPr>
          <w:rFonts w:hint="eastAsia" w:ascii="Times New Roman" w:hAnsi="Times New Roman" w:cs="Times New Roman"/>
          <w:color w:val="auto"/>
          <w:sz w:val="28"/>
          <w:szCs w:val="28"/>
          <w:lang w:val="en-US" w:eastAsia="zh-CN"/>
        </w:rPr>
        <w:t>兴国江背加油站</w:t>
      </w:r>
      <w:r>
        <w:rPr>
          <w:rFonts w:hint="eastAsia" w:ascii="Times New Roman" w:hAnsi="Times New Roman" w:cs="Times New Roman"/>
          <w:color w:val="auto"/>
          <w:sz w:val="28"/>
          <w:szCs w:val="28"/>
        </w:rPr>
        <w:t>”</w:t>
      </w:r>
      <w:r>
        <w:rPr>
          <w:rFonts w:ascii="Times New Roman" w:hAnsi="Times New Roman" w:cs="Times New Roman"/>
          <w:color w:val="auto"/>
          <w:sz w:val="28"/>
          <w:szCs w:val="28"/>
        </w:rPr>
        <w:t>）成立时间为</w:t>
      </w:r>
      <w:r>
        <w:rPr>
          <w:rFonts w:hint="eastAsia" w:ascii="Times New Roman" w:hAnsi="Times New Roman" w:cs="Times New Roman"/>
          <w:color w:val="auto"/>
          <w:sz w:val="28"/>
          <w:szCs w:val="28"/>
        </w:rPr>
        <w:t>200</w:t>
      </w:r>
      <w:r>
        <w:rPr>
          <w:rFonts w:hint="eastAsia" w:ascii="Times New Roman" w:hAnsi="Times New Roman" w:cs="Times New Roman"/>
          <w:color w:val="auto"/>
          <w:sz w:val="28"/>
          <w:szCs w:val="28"/>
          <w:lang w:val="en-US" w:eastAsia="zh-CN"/>
        </w:rPr>
        <w:t>4</w:t>
      </w:r>
      <w:r>
        <w:rPr>
          <w:rFonts w:hint="eastAsia"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08</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10</w:t>
      </w:r>
      <w:r>
        <w:rPr>
          <w:rFonts w:hint="eastAsia" w:ascii="Times New Roman" w:hAnsi="Times New Roman" w:cs="Times New Roman"/>
          <w:color w:val="auto"/>
          <w:sz w:val="28"/>
          <w:szCs w:val="28"/>
        </w:rPr>
        <w:t>日</w:t>
      </w:r>
      <w:r>
        <w:rPr>
          <w:rFonts w:ascii="Times New Roman" w:hAnsi="Times New Roman" w:cs="Times New Roman"/>
          <w:color w:val="auto"/>
          <w:sz w:val="28"/>
          <w:szCs w:val="28"/>
        </w:rPr>
        <w:t>，位于</w:t>
      </w:r>
      <w:r>
        <w:rPr>
          <w:rFonts w:hint="eastAsia" w:ascii="Times New Roman" w:hAnsi="Times New Roman" w:cs="Times New Roman"/>
          <w:color w:val="auto"/>
          <w:sz w:val="28"/>
          <w:szCs w:val="28"/>
          <w:lang w:eastAsia="zh-CN"/>
        </w:rPr>
        <w:t>兴国县江背镇兴前组</w:t>
      </w:r>
      <w:r>
        <w:rPr>
          <w:rFonts w:ascii="Times New Roman" w:hAnsi="Times New Roman" w:cs="Times New Roman"/>
          <w:color w:val="auto"/>
          <w:sz w:val="28"/>
          <w:szCs w:val="28"/>
        </w:rPr>
        <w:t>，是从事成品油零售经营的企业，主要经营汽油、柴油。站内建筑、设备为自有，</w:t>
      </w:r>
      <w:r>
        <w:rPr>
          <w:rFonts w:ascii="Times New Roman" w:hAnsi="Times New Roman" w:cs="Times New Roman"/>
          <w:color w:val="auto"/>
          <w:spacing w:val="-4"/>
          <w:sz w:val="28"/>
          <w:szCs w:val="28"/>
        </w:rPr>
        <w:t>设有</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个</w:t>
      </w:r>
      <w:r>
        <w:rPr>
          <w:rFonts w:hint="eastAsia" w:ascii="Times New Roman" w:hAnsi="Times New Roman" w:cs="Times New Roman"/>
          <w:color w:val="auto"/>
          <w:spacing w:val="-4"/>
          <w:sz w:val="28"/>
          <w:szCs w:val="28"/>
          <w:lang w:val="en-US" w:eastAsia="zh-CN"/>
        </w:rPr>
        <w:t>双层油罐</w:t>
      </w:r>
      <w:r>
        <w:rPr>
          <w:rFonts w:ascii="Times New Roman" w:hAnsi="Times New Roman" w:cs="Times New Roman"/>
          <w:color w:val="auto"/>
          <w:spacing w:val="-4"/>
          <w:sz w:val="28"/>
          <w:szCs w:val="28"/>
        </w:rPr>
        <w:t>（</w:t>
      </w:r>
      <w:r>
        <w:rPr>
          <w:rFonts w:hint="eastAsia" w:ascii="Times New Roman" w:hAnsi="Times New Roman" w:cs="Times New Roman"/>
          <w:color w:val="auto"/>
          <w:spacing w:val="-4"/>
          <w:sz w:val="28"/>
          <w:szCs w:val="28"/>
        </w:rPr>
        <w:t>属于承重罐区</w:t>
      </w:r>
      <w:r>
        <w:rPr>
          <w:rFonts w:ascii="Times New Roman" w:hAnsi="Times New Roman" w:cs="Times New Roman"/>
          <w:color w:val="auto"/>
          <w:spacing w:val="-4"/>
          <w:sz w:val="28"/>
          <w:szCs w:val="28"/>
        </w:rPr>
        <w:t>），其中</w:t>
      </w:r>
      <w:r>
        <w:rPr>
          <w:rFonts w:hint="eastAsia" w:ascii="Times New Roman" w:hAnsi="Times New Roman" w:cs="Times New Roman"/>
          <w:color w:val="auto"/>
          <w:spacing w:val="-4"/>
          <w:sz w:val="28"/>
          <w:szCs w:val="28"/>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5</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2</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lang w:eastAsia="zh-CN"/>
        </w:rPr>
        <w:t>，</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的0#柴油储罐1个，总容积为</w:t>
      </w:r>
      <w:r>
        <w:rPr>
          <w:rFonts w:hint="eastAsia" w:ascii="Times New Roman" w:hAnsi="Times New Roman" w:cs="Times New Roman"/>
          <w:color w:val="auto"/>
          <w:spacing w:val="-4"/>
          <w:sz w:val="28"/>
          <w:szCs w:val="28"/>
          <w:lang w:val="en-US" w:eastAsia="zh-CN"/>
        </w:rPr>
        <w:t>90</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，折算后容积（柴油折半）为</w:t>
      </w:r>
      <w:r>
        <w:rPr>
          <w:rFonts w:hint="eastAsia" w:ascii="Times New Roman" w:hAnsi="Times New Roman" w:cs="Times New Roman"/>
          <w:color w:val="auto"/>
          <w:spacing w:val="-4"/>
          <w:sz w:val="28"/>
          <w:szCs w:val="28"/>
          <w:lang w:val="en-US" w:eastAsia="zh-CN"/>
        </w:rPr>
        <w:t>75</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，为</w:t>
      </w:r>
      <w:r>
        <w:rPr>
          <w:rFonts w:hint="eastAsia" w:ascii="Times New Roman" w:hAnsi="Times New Roman" w:cs="Times New Roman"/>
          <w:color w:val="auto"/>
          <w:spacing w:val="-4"/>
          <w:sz w:val="28"/>
          <w:szCs w:val="28"/>
          <w:lang w:val="en-US" w:eastAsia="zh-CN"/>
        </w:rPr>
        <w:t>三</w:t>
      </w:r>
      <w:r>
        <w:rPr>
          <w:rFonts w:ascii="Times New Roman" w:hAnsi="Times New Roman" w:cs="Times New Roman"/>
          <w:color w:val="auto"/>
          <w:spacing w:val="-4"/>
          <w:sz w:val="28"/>
          <w:szCs w:val="28"/>
        </w:rPr>
        <w:t>级加油站</w:t>
      </w:r>
      <w:r>
        <w:rPr>
          <w:rFonts w:ascii="Times New Roman" w:hAnsi="Times New Roman" w:cs="Times New Roman"/>
          <w:color w:val="auto"/>
          <w:sz w:val="28"/>
          <w:szCs w:val="28"/>
        </w:rPr>
        <w:t>。该站于202</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17</w:t>
      </w:r>
      <w:r>
        <w:rPr>
          <w:rFonts w:ascii="Times New Roman" w:hAnsi="Times New Roman" w:cs="Times New Roman"/>
          <w:color w:val="auto"/>
          <w:sz w:val="28"/>
          <w:szCs w:val="28"/>
        </w:rPr>
        <w:t>日取得《危险化学品经营许可证》，证号：</w:t>
      </w:r>
      <w:r>
        <w:rPr>
          <w:rFonts w:hint="eastAsia" w:ascii="Times New Roman" w:hAnsi="Times New Roman" w:cs="Times New Roman"/>
          <w:color w:val="auto"/>
          <w:sz w:val="28"/>
          <w:szCs w:val="28"/>
        </w:rPr>
        <w:t>(赣)36073213202300016</w:t>
      </w:r>
      <w:r>
        <w:rPr>
          <w:rFonts w:ascii="Times New Roman" w:hAnsi="Times New Roman" w:cs="Times New Roman"/>
          <w:color w:val="auto"/>
          <w:sz w:val="28"/>
          <w:szCs w:val="28"/>
        </w:rPr>
        <w:t>，有效期延续至202</w:t>
      </w:r>
      <w:r>
        <w:rPr>
          <w:rFonts w:hint="eastAsia" w:ascii="Times New Roman" w:hAnsi="Times New Roman" w:cs="Times New Roman"/>
          <w:color w:val="auto"/>
          <w:sz w:val="28"/>
          <w:szCs w:val="28"/>
          <w:lang w:val="en-US" w:eastAsia="zh-CN"/>
        </w:rPr>
        <w:t>6</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16</w:t>
      </w:r>
      <w:r>
        <w:rPr>
          <w:rFonts w:ascii="Times New Roman" w:hAnsi="Times New Roman" w:cs="Times New Roman"/>
          <w:color w:val="auto"/>
          <w:sz w:val="28"/>
          <w:szCs w:val="28"/>
        </w:rPr>
        <w:t>日，许可经营范围为汽油、柴油，经营方式为</w:t>
      </w:r>
      <w:r>
        <w:rPr>
          <w:rFonts w:hint="eastAsia" w:ascii="Times New Roman" w:hAnsi="Times New Roman" w:cs="Times New Roman"/>
          <w:color w:val="auto"/>
          <w:sz w:val="28"/>
          <w:szCs w:val="28"/>
        </w:rPr>
        <w:t>零售</w:t>
      </w:r>
      <w:r>
        <w:rPr>
          <w:rFonts w:hint="eastAsia" w:ascii="Times New Roman" w:hAnsi="Times New Roman" w:cs="宋体"/>
          <w:color w:val="auto"/>
          <w:sz w:val="28"/>
          <w:szCs w:val="28"/>
        </w:rPr>
        <w:t>。</w:t>
      </w:r>
    </w:p>
    <w:p w14:paraId="446B8382">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加油站经营多年，部分设施与原设计或与现状存在出入，有的资料也缺失，加油站为了加强安全管理，隐患排查，补齐资料，于202</w:t>
      </w:r>
      <w:r>
        <w:rPr>
          <w:rFonts w:hint="eastAsia" w:ascii="Times New Roman" w:hAnsi="Times New Roman" w:cs="宋体"/>
          <w:color w:val="auto"/>
          <w:sz w:val="28"/>
          <w:szCs w:val="28"/>
          <w:lang w:val="en-US" w:eastAsia="zh-CN"/>
        </w:rPr>
        <w:t>6</w:t>
      </w:r>
      <w:r>
        <w:rPr>
          <w:rFonts w:hint="eastAsia" w:ascii="Times New Roman" w:hAnsi="Times New Roman" w:cs="宋体"/>
          <w:color w:val="auto"/>
          <w:sz w:val="28"/>
          <w:szCs w:val="28"/>
        </w:rPr>
        <w:t>年</w:t>
      </w:r>
      <w:r>
        <w:rPr>
          <w:rFonts w:hint="eastAsia" w:ascii="Times New Roman" w:hAnsi="Times New Roman" w:cs="宋体"/>
          <w:color w:val="auto"/>
          <w:sz w:val="28"/>
          <w:szCs w:val="28"/>
          <w:lang w:val="en-US" w:eastAsia="zh-CN"/>
        </w:rPr>
        <w:t>1</w:t>
      </w:r>
      <w:r>
        <w:rPr>
          <w:rFonts w:hint="eastAsia" w:ascii="Times New Roman" w:hAnsi="Times New Roman" w:cs="宋体"/>
          <w:color w:val="auto"/>
          <w:sz w:val="28"/>
          <w:szCs w:val="28"/>
        </w:rPr>
        <w:t>月委托海湾工程有限公司出具了《中国石化销售股份有限公司江西赣州</w:t>
      </w:r>
      <w:r>
        <w:rPr>
          <w:rFonts w:hint="eastAsia" w:ascii="Times New Roman" w:hAnsi="Times New Roman" w:cs="宋体"/>
          <w:color w:val="auto"/>
          <w:sz w:val="28"/>
          <w:szCs w:val="28"/>
          <w:lang w:eastAsia="zh-CN"/>
        </w:rPr>
        <w:t>兴国石油分公司江背加油站</w:t>
      </w:r>
      <w:r>
        <w:rPr>
          <w:rFonts w:hint="eastAsia" w:ascii="Times New Roman" w:hAnsi="Times New Roman" w:cs="宋体"/>
          <w:color w:val="auto"/>
          <w:sz w:val="28"/>
          <w:szCs w:val="28"/>
        </w:rPr>
        <w:t>安全设施符合性诊断及整改设计》。</w:t>
      </w:r>
    </w:p>
    <w:p w14:paraId="68FC4CFC">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依据《江西省应急管理厅办公室关于规范危险化学品经营许可工作的通知》（赣应急办字〔2025〕58号）的相关规定，老企业安全设施“三同时”资料不全，缺乏安全设施设计等关键资料的，企业应在一个延期换证周期内进行安全设计诊断，并根据设计诊断结论，开展安全设施设计整改，验收通过后方可延期换证。</w:t>
      </w:r>
    </w:p>
    <w:p w14:paraId="5D4AB55D">
      <w:pPr>
        <w:spacing w:line="360" w:lineRule="auto"/>
        <w:ind w:firstLine="420" w:firstLineChars="150"/>
        <w:rPr>
          <w:rFonts w:ascii="Times New Roman" w:hAnsi="Times New Roman" w:cs="宋体"/>
          <w:color w:val="auto"/>
          <w:sz w:val="28"/>
          <w:szCs w:val="28"/>
        </w:rPr>
      </w:pPr>
      <w:r>
        <w:rPr>
          <w:rFonts w:hint="eastAsia" w:ascii="Times New Roman" w:hAnsi="Times New Roman" w:cs="宋体"/>
          <w:color w:val="auto"/>
          <w:sz w:val="28"/>
          <w:szCs w:val="28"/>
        </w:rPr>
        <w:t>因此中国石化销售股份有限公司江西赣州</w:t>
      </w:r>
      <w:r>
        <w:rPr>
          <w:rFonts w:hint="eastAsia" w:ascii="Times New Roman" w:hAnsi="Times New Roman" w:cs="宋体"/>
          <w:color w:val="auto"/>
          <w:sz w:val="28"/>
          <w:szCs w:val="28"/>
          <w:lang w:eastAsia="zh-CN"/>
        </w:rPr>
        <w:t>兴国石油分公司</w:t>
      </w:r>
      <w:r>
        <w:rPr>
          <w:rFonts w:hint="eastAsia" w:ascii="Times New Roman" w:hAnsi="Times New Roman" w:cs="宋体"/>
          <w:color w:val="auto"/>
          <w:sz w:val="28"/>
          <w:szCs w:val="28"/>
        </w:rPr>
        <w:t>委托</w:t>
      </w:r>
      <w:r>
        <w:rPr>
          <w:rFonts w:hint="eastAsia" w:ascii="Times New Roman" w:hAnsi="Times New Roman" w:cs="宋体"/>
          <w:color w:val="auto"/>
          <w:sz w:val="28"/>
          <w:szCs w:val="28"/>
          <w:lang w:eastAsia="zh-CN"/>
        </w:rPr>
        <w:t>江西赣安安全生产科学技术咨询服务中心</w:t>
      </w:r>
      <w:r>
        <w:rPr>
          <w:rFonts w:hint="eastAsia" w:ascii="Times New Roman" w:hAnsi="Times New Roman" w:cs="宋体"/>
          <w:color w:val="auto"/>
          <w:sz w:val="28"/>
          <w:szCs w:val="28"/>
        </w:rPr>
        <w:t>对中石化</w:t>
      </w:r>
      <w:r>
        <w:rPr>
          <w:rFonts w:hint="eastAsia" w:ascii="Times New Roman" w:hAnsi="Times New Roman" w:cs="宋体"/>
          <w:color w:val="auto"/>
          <w:sz w:val="28"/>
          <w:szCs w:val="28"/>
          <w:lang w:eastAsia="zh-CN"/>
        </w:rPr>
        <w:t>兴国江背加油站</w:t>
      </w:r>
      <w:r>
        <w:rPr>
          <w:rFonts w:hint="eastAsia" w:ascii="Times New Roman" w:hAnsi="Times New Roman" w:cs="宋体"/>
          <w:color w:val="auto"/>
          <w:sz w:val="28"/>
          <w:szCs w:val="28"/>
        </w:rPr>
        <w:t>进行安全设施符合性诊断及整改设计验收。</w:t>
      </w:r>
    </w:p>
    <w:p w14:paraId="019EF9FE">
      <w:pPr>
        <w:pStyle w:val="4"/>
        <w:rPr>
          <w:rFonts w:ascii="Times New Roman" w:hAnsi="Times New Roman" w:cs="Times New Roman"/>
          <w:color w:val="auto"/>
        </w:rPr>
      </w:pPr>
      <w:r>
        <w:rPr>
          <w:rFonts w:ascii="Times New Roman" w:hAnsi="Times New Roman" w:cs="Times New Roman"/>
          <w:color w:val="auto"/>
        </w:rPr>
        <w:t xml:space="preserve">2.1.2 </w:t>
      </w:r>
      <w:r>
        <w:rPr>
          <w:rFonts w:hint="eastAsia" w:ascii="Times New Roman" w:hAnsi="Times New Roman" w:cs="宋体"/>
          <w:color w:val="auto"/>
        </w:rPr>
        <w:t>建设基本情况</w:t>
      </w:r>
      <w:bookmarkEnd w:id="25"/>
      <w:bookmarkEnd w:id="26"/>
    </w:p>
    <w:p w14:paraId="38B91CF8">
      <w:pPr>
        <w:spacing w:line="600" w:lineRule="exact"/>
        <w:ind w:firstLine="420" w:firstLineChars="150"/>
        <w:rPr>
          <w:rFonts w:ascii="Times New Roman" w:hAnsi="Times New Roman" w:cs="Times New Roman"/>
          <w:color w:val="auto"/>
          <w:sz w:val="28"/>
          <w:szCs w:val="28"/>
        </w:rPr>
      </w:pPr>
      <w:r>
        <w:rPr>
          <w:rFonts w:hint="eastAsia" w:ascii="Times New Roman" w:hAnsi="Times New Roman" w:cs="宋体"/>
          <w:color w:val="auto"/>
          <w:sz w:val="28"/>
          <w:szCs w:val="28"/>
        </w:rPr>
        <w:t>加油站情况简介如下表所示：</w:t>
      </w:r>
    </w:p>
    <w:p w14:paraId="63B06F9B">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表2</w:t>
      </w:r>
      <w:r>
        <w:rPr>
          <w:rFonts w:hint="eastAsia" w:ascii="Times New Roman" w:hAnsi="Times New Roman" w:cs="宋体"/>
          <w:color w:val="auto"/>
          <w:sz w:val="24"/>
          <w:szCs w:val="24"/>
        </w:rPr>
        <w:t>.1</w:t>
      </w:r>
      <w:r>
        <w:rPr>
          <w:rFonts w:hint="eastAsia" w:ascii="Times New Roman" w:hAnsi="Times New Roman" w:cs="宋体"/>
          <w:color w:val="auto"/>
          <w:sz w:val="24"/>
          <w:szCs w:val="24"/>
          <w:lang w:val="zh-CN"/>
        </w:rPr>
        <w:t>-</w:t>
      </w:r>
      <w:r>
        <w:rPr>
          <w:rFonts w:hint="eastAsia" w:ascii="Times New Roman" w:hAnsi="Times New Roman" w:cs="宋体"/>
          <w:color w:val="auto"/>
          <w:sz w:val="24"/>
          <w:szCs w:val="24"/>
        </w:rPr>
        <w:t>2</w:t>
      </w:r>
      <w:r>
        <w:rPr>
          <w:rFonts w:hint="eastAsia" w:ascii="Times New Roman" w:hAnsi="Times New Roman" w:cs="宋体"/>
          <w:color w:val="auto"/>
          <w:sz w:val="24"/>
          <w:szCs w:val="24"/>
          <w:lang w:val="zh-CN"/>
        </w:rPr>
        <w:t>加油站基本情况</w:t>
      </w:r>
    </w:p>
    <w:tbl>
      <w:tblPr>
        <w:tblStyle w:val="25"/>
        <w:tblW w:w="9219"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7"/>
        <w:gridCol w:w="432"/>
        <w:gridCol w:w="722"/>
        <w:gridCol w:w="510"/>
        <w:gridCol w:w="276"/>
        <w:gridCol w:w="201"/>
        <w:gridCol w:w="791"/>
        <w:gridCol w:w="432"/>
        <w:gridCol w:w="648"/>
        <w:gridCol w:w="212"/>
        <w:gridCol w:w="652"/>
        <w:gridCol w:w="109"/>
        <w:gridCol w:w="109"/>
        <w:gridCol w:w="537"/>
        <w:gridCol w:w="321"/>
        <w:gridCol w:w="549"/>
        <w:gridCol w:w="420"/>
        <w:gridCol w:w="1331"/>
      </w:tblGrid>
      <w:tr w14:paraId="3D0F2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399" w:type="dxa"/>
            <w:gridSpan w:val="2"/>
            <w:vAlign w:val="center"/>
          </w:tcPr>
          <w:p w14:paraId="214F99B1">
            <w:pPr>
              <w:spacing w:line="260" w:lineRule="exact"/>
              <w:jc w:val="center"/>
              <w:rPr>
                <w:rFonts w:ascii="Times New Roman" w:hAnsi="Times New Roman" w:cs="宋体"/>
                <w:color w:val="auto"/>
              </w:rPr>
            </w:pPr>
            <w:r>
              <w:rPr>
                <w:rFonts w:hint="eastAsia" w:ascii="Times New Roman" w:hAnsi="Times New Roman" w:cs="宋体"/>
                <w:color w:val="auto"/>
              </w:rPr>
              <w:t>企业名称</w:t>
            </w:r>
          </w:p>
        </w:tc>
        <w:tc>
          <w:tcPr>
            <w:tcW w:w="7820" w:type="dxa"/>
            <w:gridSpan w:val="16"/>
            <w:vAlign w:val="center"/>
          </w:tcPr>
          <w:p w14:paraId="5F667E83">
            <w:pPr>
              <w:spacing w:line="260" w:lineRule="exact"/>
              <w:jc w:val="center"/>
              <w:rPr>
                <w:rFonts w:hint="eastAsia" w:ascii="Times New Roman" w:hAnsi="Times New Roman" w:eastAsia="宋体" w:cs="宋体"/>
                <w:color w:val="auto"/>
                <w:lang w:eastAsia="zh-CN"/>
              </w:rPr>
            </w:pPr>
            <w:r>
              <w:rPr>
                <w:rFonts w:hint="eastAsia" w:ascii="Times New Roman" w:hAnsi="Times New Roman" w:cs="Times New Roman"/>
                <w:color w:val="auto"/>
              </w:rPr>
              <w:t>中国石化销售股份有限公司江西赣州</w:t>
            </w:r>
            <w:r>
              <w:rPr>
                <w:rFonts w:hint="eastAsia" w:ascii="Times New Roman" w:hAnsi="Times New Roman" w:cs="Times New Roman"/>
                <w:color w:val="auto"/>
                <w:lang w:eastAsia="zh-CN"/>
              </w:rPr>
              <w:t>兴国石油分公司江背加油站</w:t>
            </w:r>
          </w:p>
        </w:tc>
      </w:tr>
      <w:tr w14:paraId="14F1E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399" w:type="dxa"/>
            <w:gridSpan w:val="2"/>
            <w:vAlign w:val="center"/>
          </w:tcPr>
          <w:p w14:paraId="21124585">
            <w:pPr>
              <w:spacing w:line="260" w:lineRule="exact"/>
              <w:jc w:val="center"/>
              <w:rPr>
                <w:rFonts w:ascii="Times New Roman" w:hAnsi="Times New Roman" w:cs="宋体"/>
                <w:color w:val="auto"/>
              </w:rPr>
            </w:pPr>
            <w:r>
              <w:rPr>
                <w:rFonts w:hint="eastAsia" w:ascii="Times New Roman" w:hAnsi="Times New Roman" w:cs="宋体"/>
                <w:color w:val="auto"/>
              </w:rPr>
              <w:t>注册地址</w:t>
            </w:r>
          </w:p>
        </w:tc>
        <w:tc>
          <w:tcPr>
            <w:tcW w:w="7820" w:type="dxa"/>
            <w:gridSpan w:val="16"/>
            <w:vAlign w:val="center"/>
          </w:tcPr>
          <w:p w14:paraId="19E580E5">
            <w:pPr>
              <w:spacing w:line="260" w:lineRule="exact"/>
              <w:jc w:val="center"/>
              <w:rPr>
                <w:rFonts w:hint="eastAsia" w:ascii="Times New Roman" w:hAnsi="Times New Roman" w:eastAsia="宋体" w:cs="宋体"/>
                <w:color w:val="auto"/>
                <w:lang w:eastAsia="zh-CN"/>
              </w:rPr>
            </w:pPr>
            <w:r>
              <w:rPr>
                <w:rFonts w:hint="eastAsia" w:ascii="Times New Roman" w:hAnsi="Times New Roman" w:cs="宋体"/>
                <w:color w:val="auto"/>
                <w:lang w:eastAsia="zh-CN"/>
              </w:rPr>
              <w:t>兴国县江背镇兴前组</w:t>
            </w:r>
          </w:p>
        </w:tc>
      </w:tr>
      <w:tr w14:paraId="72D82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399" w:type="dxa"/>
            <w:gridSpan w:val="2"/>
            <w:vAlign w:val="center"/>
          </w:tcPr>
          <w:p w14:paraId="06A9DBD8">
            <w:pPr>
              <w:spacing w:line="260" w:lineRule="exact"/>
              <w:jc w:val="center"/>
              <w:rPr>
                <w:rFonts w:ascii="Times New Roman" w:hAnsi="Times New Roman" w:cs="宋体"/>
                <w:color w:val="auto"/>
              </w:rPr>
            </w:pPr>
            <w:r>
              <w:rPr>
                <w:rFonts w:hint="eastAsia" w:ascii="Times New Roman" w:hAnsi="Times New Roman" w:cs="宋体"/>
                <w:color w:val="auto"/>
              </w:rPr>
              <w:t>联系电话</w:t>
            </w:r>
          </w:p>
        </w:tc>
        <w:tc>
          <w:tcPr>
            <w:tcW w:w="1709" w:type="dxa"/>
            <w:gridSpan w:val="4"/>
            <w:vAlign w:val="center"/>
          </w:tcPr>
          <w:p w14:paraId="19DABAE4">
            <w:pPr>
              <w:spacing w:line="260" w:lineRule="exact"/>
              <w:jc w:val="center"/>
              <w:rPr>
                <w:rFonts w:hint="eastAsia" w:ascii="Times New Roman" w:hAnsi="Times New Roman" w:eastAsia="宋体" w:cs="宋体"/>
                <w:color w:val="auto"/>
                <w:lang w:eastAsia="zh-CN"/>
              </w:rPr>
            </w:pPr>
          </w:p>
        </w:tc>
        <w:tc>
          <w:tcPr>
            <w:tcW w:w="1223" w:type="dxa"/>
            <w:gridSpan w:val="2"/>
            <w:vAlign w:val="center"/>
          </w:tcPr>
          <w:p w14:paraId="51A9316B">
            <w:pPr>
              <w:spacing w:line="260" w:lineRule="exact"/>
              <w:jc w:val="center"/>
              <w:rPr>
                <w:rFonts w:ascii="Times New Roman" w:hAnsi="Times New Roman" w:cs="宋体"/>
                <w:color w:val="auto"/>
              </w:rPr>
            </w:pPr>
            <w:r>
              <w:rPr>
                <w:rFonts w:hint="eastAsia" w:ascii="Times New Roman" w:hAnsi="Times New Roman" w:cs="宋体"/>
                <w:color w:val="auto"/>
              </w:rPr>
              <w:t>传真</w:t>
            </w:r>
          </w:p>
        </w:tc>
        <w:tc>
          <w:tcPr>
            <w:tcW w:w="1730" w:type="dxa"/>
            <w:gridSpan w:val="5"/>
            <w:vAlign w:val="center"/>
          </w:tcPr>
          <w:p w14:paraId="20224B41">
            <w:pPr>
              <w:spacing w:line="260" w:lineRule="exact"/>
              <w:jc w:val="center"/>
              <w:rPr>
                <w:rFonts w:ascii="Times New Roman" w:hAnsi="Times New Roman" w:cs="宋体"/>
                <w:color w:val="auto"/>
              </w:rPr>
            </w:pPr>
          </w:p>
        </w:tc>
        <w:tc>
          <w:tcPr>
            <w:tcW w:w="1407" w:type="dxa"/>
            <w:gridSpan w:val="3"/>
            <w:vAlign w:val="center"/>
          </w:tcPr>
          <w:p w14:paraId="0154F7CB">
            <w:pPr>
              <w:spacing w:line="260" w:lineRule="exact"/>
              <w:jc w:val="center"/>
              <w:rPr>
                <w:rFonts w:ascii="Times New Roman" w:hAnsi="Times New Roman" w:cs="宋体"/>
                <w:color w:val="auto"/>
              </w:rPr>
            </w:pPr>
            <w:r>
              <w:rPr>
                <w:rFonts w:hint="eastAsia" w:ascii="Times New Roman" w:hAnsi="Times New Roman" w:cs="宋体"/>
                <w:color w:val="auto"/>
              </w:rPr>
              <w:t>邮政编码</w:t>
            </w:r>
          </w:p>
        </w:tc>
        <w:tc>
          <w:tcPr>
            <w:tcW w:w="1751" w:type="dxa"/>
            <w:gridSpan w:val="2"/>
            <w:vAlign w:val="center"/>
          </w:tcPr>
          <w:p w14:paraId="0B7B2AD9">
            <w:pPr>
              <w:spacing w:line="260" w:lineRule="exact"/>
              <w:jc w:val="center"/>
              <w:rPr>
                <w:rFonts w:ascii="Times New Roman" w:hAnsi="Times New Roman" w:cs="宋体"/>
                <w:color w:val="auto"/>
              </w:rPr>
            </w:pPr>
          </w:p>
        </w:tc>
      </w:tr>
      <w:tr w14:paraId="11786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399" w:type="dxa"/>
            <w:gridSpan w:val="2"/>
            <w:vAlign w:val="center"/>
          </w:tcPr>
          <w:p w14:paraId="69C70FF5">
            <w:pPr>
              <w:spacing w:line="260" w:lineRule="exact"/>
              <w:jc w:val="center"/>
              <w:rPr>
                <w:rFonts w:ascii="Times New Roman" w:hAnsi="Times New Roman" w:cs="宋体"/>
                <w:color w:val="auto"/>
              </w:rPr>
            </w:pPr>
            <w:r>
              <w:rPr>
                <w:rFonts w:hint="eastAsia" w:ascii="Times New Roman" w:hAnsi="Times New Roman" w:cs="宋体"/>
                <w:color w:val="auto"/>
              </w:rPr>
              <w:t>企业类型</w:t>
            </w:r>
          </w:p>
        </w:tc>
        <w:tc>
          <w:tcPr>
            <w:tcW w:w="7820" w:type="dxa"/>
            <w:gridSpan w:val="16"/>
            <w:vAlign w:val="center"/>
          </w:tcPr>
          <w:p w14:paraId="2DFED4B7">
            <w:pPr>
              <w:spacing w:line="260" w:lineRule="exact"/>
              <w:jc w:val="center"/>
              <w:rPr>
                <w:rFonts w:ascii="Times New Roman" w:hAnsi="Times New Roman" w:cs="宋体"/>
                <w:color w:val="auto"/>
              </w:rPr>
            </w:pPr>
            <w:r>
              <w:rPr>
                <w:rFonts w:hint="eastAsia" w:ascii="Times New Roman" w:hAnsi="Times New Roman" w:cs="Times New Roman"/>
                <w:color w:val="auto"/>
              </w:rPr>
              <w:t>外商投资企业分公司</w:t>
            </w:r>
          </w:p>
        </w:tc>
      </w:tr>
      <w:tr w14:paraId="5D70F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399" w:type="dxa"/>
            <w:gridSpan w:val="2"/>
            <w:vAlign w:val="center"/>
          </w:tcPr>
          <w:p w14:paraId="05FB7ABF">
            <w:pPr>
              <w:spacing w:line="260" w:lineRule="exact"/>
              <w:jc w:val="center"/>
              <w:rPr>
                <w:rFonts w:ascii="Times New Roman" w:hAnsi="Times New Roman" w:cs="宋体"/>
                <w:color w:val="auto"/>
              </w:rPr>
            </w:pPr>
            <w:r>
              <w:rPr>
                <w:rFonts w:hint="eastAsia" w:ascii="Times New Roman" w:hAnsi="Times New Roman" w:cs="宋体"/>
                <w:color w:val="auto"/>
              </w:rPr>
              <w:t>非法人类别</w:t>
            </w:r>
          </w:p>
        </w:tc>
        <w:tc>
          <w:tcPr>
            <w:tcW w:w="7820" w:type="dxa"/>
            <w:gridSpan w:val="16"/>
            <w:vAlign w:val="center"/>
          </w:tcPr>
          <w:p w14:paraId="42BF56BA">
            <w:pPr>
              <w:spacing w:line="260" w:lineRule="exact"/>
              <w:jc w:val="center"/>
              <w:rPr>
                <w:rFonts w:ascii="Times New Roman" w:hAnsi="Times New Roman" w:cs="宋体"/>
                <w:color w:val="auto"/>
              </w:rPr>
            </w:pPr>
            <w:r>
              <w:rPr>
                <w:rFonts w:hint="eastAsia" w:ascii="Times New Roman" w:hAnsi="Times New Roman" w:cs="宋体"/>
                <w:color w:val="auto"/>
              </w:rPr>
              <w:t>分公司☑              办事机构□</w:t>
            </w:r>
          </w:p>
        </w:tc>
      </w:tr>
      <w:tr w14:paraId="6E9F67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399" w:type="dxa"/>
            <w:gridSpan w:val="2"/>
            <w:vAlign w:val="center"/>
          </w:tcPr>
          <w:p w14:paraId="1405A06B">
            <w:pPr>
              <w:spacing w:line="260" w:lineRule="exact"/>
              <w:jc w:val="center"/>
              <w:rPr>
                <w:rFonts w:ascii="Times New Roman" w:hAnsi="Times New Roman" w:cs="宋体"/>
                <w:color w:val="auto"/>
              </w:rPr>
            </w:pPr>
            <w:r>
              <w:rPr>
                <w:rFonts w:hint="eastAsia" w:ascii="Times New Roman" w:hAnsi="Times New Roman" w:cs="宋体"/>
                <w:color w:val="auto"/>
              </w:rPr>
              <w:t>经济类型</w:t>
            </w:r>
          </w:p>
        </w:tc>
        <w:tc>
          <w:tcPr>
            <w:tcW w:w="7820" w:type="dxa"/>
            <w:gridSpan w:val="16"/>
            <w:vAlign w:val="center"/>
          </w:tcPr>
          <w:p w14:paraId="59E77031">
            <w:pPr>
              <w:spacing w:line="260" w:lineRule="exact"/>
              <w:jc w:val="center"/>
              <w:rPr>
                <w:rFonts w:ascii="Times New Roman" w:hAnsi="Times New Roman" w:cs="宋体"/>
                <w:color w:val="auto"/>
              </w:rPr>
            </w:pPr>
            <w:r>
              <w:rPr>
                <w:rFonts w:hint="eastAsia" w:ascii="Times New Roman" w:hAnsi="Times New Roman" w:cs="宋体"/>
                <w:color w:val="auto"/>
              </w:rPr>
              <w:t>全民所有制☑      集体所有制□      私有制</w:t>
            </w:r>
            <w:r>
              <w:rPr>
                <w:rFonts w:hint="eastAsia" w:ascii="Times New Roman" w:hAnsi="Times New Roman" w:cs="宋体"/>
                <w:color w:val="auto"/>
              </w:rPr>
              <w:sym w:font="Wingdings 2" w:char="00A3"/>
            </w:r>
          </w:p>
        </w:tc>
      </w:tr>
      <w:tr w14:paraId="7D717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399" w:type="dxa"/>
            <w:gridSpan w:val="2"/>
            <w:vAlign w:val="center"/>
          </w:tcPr>
          <w:p w14:paraId="5D93B8A8">
            <w:pPr>
              <w:spacing w:line="260" w:lineRule="exact"/>
              <w:jc w:val="center"/>
              <w:rPr>
                <w:rFonts w:ascii="Times New Roman" w:hAnsi="Times New Roman" w:cs="宋体"/>
                <w:color w:val="auto"/>
              </w:rPr>
            </w:pPr>
            <w:r>
              <w:rPr>
                <w:rFonts w:hint="eastAsia" w:ascii="Times New Roman" w:hAnsi="Times New Roman" w:cs="宋体"/>
                <w:color w:val="auto"/>
              </w:rPr>
              <w:t>登记机关</w:t>
            </w:r>
          </w:p>
        </w:tc>
        <w:tc>
          <w:tcPr>
            <w:tcW w:w="7820" w:type="dxa"/>
            <w:gridSpan w:val="16"/>
            <w:vAlign w:val="center"/>
          </w:tcPr>
          <w:p w14:paraId="71EDA62C">
            <w:pPr>
              <w:spacing w:line="260" w:lineRule="exact"/>
              <w:jc w:val="center"/>
              <w:rPr>
                <w:rFonts w:ascii="Times New Roman" w:hAnsi="Times New Roman" w:cs="宋体"/>
                <w:color w:val="auto"/>
              </w:rPr>
            </w:pPr>
            <w:r>
              <w:rPr>
                <w:rFonts w:hint="eastAsia" w:ascii="Times New Roman" w:hAnsi="Times New Roman" w:cs="Times New Roman"/>
                <w:color w:val="auto"/>
              </w:rPr>
              <w:t>赣州市市场监督管理局（营业执照）</w:t>
            </w:r>
          </w:p>
        </w:tc>
      </w:tr>
      <w:tr w14:paraId="2B9C4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399" w:type="dxa"/>
            <w:gridSpan w:val="2"/>
            <w:vAlign w:val="center"/>
          </w:tcPr>
          <w:p w14:paraId="3ABE2EE7">
            <w:pPr>
              <w:spacing w:line="260" w:lineRule="exact"/>
              <w:jc w:val="center"/>
              <w:rPr>
                <w:rFonts w:ascii="Times New Roman" w:hAnsi="Times New Roman" w:cs="宋体"/>
                <w:color w:val="auto"/>
              </w:rPr>
            </w:pPr>
            <w:r>
              <w:rPr>
                <w:rFonts w:hint="eastAsia" w:ascii="Times New Roman" w:hAnsi="Times New Roman" w:cs="宋体"/>
                <w:color w:val="auto"/>
              </w:rPr>
              <w:t>负责人</w:t>
            </w:r>
          </w:p>
        </w:tc>
        <w:tc>
          <w:tcPr>
            <w:tcW w:w="2932" w:type="dxa"/>
            <w:gridSpan w:val="6"/>
            <w:vAlign w:val="center"/>
          </w:tcPr>
          <w:p w14:paraId="293EFE2D">
            <w:pPr>
              <w:spacing w:line="260" w:lineRule="exact"/>
              <w:jc w:val="center"/>
              <w:rPr>
                <w:rFonts w:hint="eastAsia" w:ascii="Times New Roman" w:hAnsi="Times New Roman" w:eastAsia="宋体" w:cs="宋体"/>
                <w:color w:val="auto"/>
                <w:lang w:eastAsia="zh-CN"/>
              </w:rPr>
            </w:pPr>
          </w:p>
        </w:tc>
        <w:tc>
          <w:tcPr>
            <w:tcW w:w="1512" w:type="dxa"/>
            <w:gridSpan w:val="3"/>
            <w:vAlign w:val="center"/>
          </w:tcPr>
          <w:p w14:paraId="6F8D0DF3">
            <w:pPr>
              <w:spacing w:line="260" w:lineRule="exact"/>
              <w:jc w:val="center"/>
              <w:rPr>
                <w:rFonts w:ascii="Times New Roman" w:hAnsi="Times New Roman" w:cs="宋体"/>
                <w:color w:val="auto"/>
              </w:rPr>
            </w:pPr>
            <w:r>
              <w:rPr>
                <w:rFonts w:hint="eastAsia" w:ascii="Times New Roman" w:hAnsi="Times New Roman" w:cs="宋体"/>
                <w:color w:val="auto"/>
              </w:rPr>
              <w:t>主管负责人</w:t>
            </w:r>
          </w:p>
        </w:tc>
        <w:tc>
          <w:tcPr>
            <w:tcW w:w="3376" w:type="dxa"/>
            <w:gridSpan w:val="7"/>
            <w:vAlign w:val="center"/>
          </w:tcPr>
          <w:p w14:paraId="535ECC0E">
            <w:pPr>
              <w:spacing w:line="260" w:lineRule="exact"/>
              <w:jc w:val="center"/>
              <w:rPr>
                <w:rFonts w:hint="eastAsia" w:ascii="Times New Roman" w:hAnsi="Times New Roman" w:eastAsia="宋体" w:cs="宋体"/>
                <w:color w:val="auto"/>
                <w:lang w:eastAsia="zh-CN"/>
              </w:rPr>
            </w:pPr>
          </w:p>
        </w:tc>
      </w:tr>
      <w:tr w14:paraId="15F93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399" w:type="dxa"/>
            <w:gridSpan w:val="2"/>
            <w:vMerge w:val="restart"/>
            <w:vAlign w:val="center"/>
          </w:tcPr>
          <w:p w14:paraId="32E8B471">
            <w:pPr>
              <w:spacing w:line="260" w:lineRule="exact"/>
              <w:jc w:val="center"/>
              <w:rPr>
                <w:rFonts w:ascii="Times New Roman" w:hAnsi="Times New Roman" w:cs="宋体"/>
                <w:color w:val="auto"/>
              </w:rPr>
            </w:pPr>
            <w:r>
              <w:rPr>
                <w:rFonts w:hint="eastAsia" w:ascii="Times New Roman" w:hAnsi="Times New Roman" w:cs="宋体"/>
                <w:color w:val="auto"/>
              </w:rPr>
              <w:t>经营场所</w:t>
            </w:r>
          </w:p>
        </w:tc>
        <w:tc>
          <w:tcPr>
            <w:tcW w:w="1232" w:type="dxa"/>
            <w:gridSpan w:val="2"/>
            <w:vAlign w:val="center"/>
          </w:tcPr>
          <w:p w14:paraId="56730E96">
            <w:pPr>
              <w:spacing w:line="260" w:lineRule="exact"/>
              <w:jc w:val="center"/>
              <w:rPr>
                <w:rFonts w:ascii="Times New Roman" w:hAnsi="Times New Roman" w:cs="宋体"/>
                <w:color w:val="auto"/>
              </w:rPr>
            </w:pPr>
            <w:r>
              <w:rPr>
                <w:rFonts w:hint="eastAsia" w:ascii="Times New Roman" w:hAnsi="Times New Roman" w:cs="宋体"/>
                <w:color w:val="auto"/>
              </w:rPr>
              <w:t>地址</w:t>
            </w:r>
          </w:p>
        </w:tc>
        <w:tc>
          <w:tcPr>
            <w:tcW w:w="6588" w:type="dxa"/>
            <w:gridSpan w:val="14"/>
            <w:vAlign w:val="center"/>
          </w:tcPr>
          <w:p w14:paraId="69AC31E2">
            <w:pPr>
              <w:spacing w:line="260" w:lineRule="exact"/>
              <w:jc w:val="center"/>
              <w:rPr>
                <w:rFonts w:hint="eastAsia" w:ascii="Times New Roman" w:hAnsi="Times New Roman" w:eastAsia="宋体" w:cs="宋体"/>
                <w:color w:val="auto"/>
                <w:lang w:eastAsia="zh-CN"/>
              </w:rPr>
            </w:pPr>
            <w:r>
              <w:rPr>
                <w:rFonts w:hint="eastAsia" w:ascii="Times New Roman" w:hAnsi="Times New Roman" w:cs="宋体"/>
                <w:color w:val="auto"/>
                <w:lang w:eastAsia="zh-CN"/>
              </w:rPr>
              <w:t>兴国县江背镇兴前组</w:t>
            </w:r>
          </w:p>
        </w:tc>
      </w:tr>
      <w:tr w14:paraId="646B0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399" w:type="dxa"/>
            <w:gridSpan w:val="2"/>
            <w:vMerge w:val="continue"/>
            <w:vAlign w:val="center"/>
          </w:tcPr>
          <w:p w14:paraId="27B519DF">
            <w:pPr>
              <w:spacing w:line="260" w:lineRule="exact"/>
              <w:jc w:val="center"/>
              <w:rPr>
                <w:rFonts w:ascii="Times New Roman" w:hAnsi="Times New Roman" w:cs="宋体"/>
                <w:color w:val="auto"/>
              </w:rPr>
            </w:pPr>
          </w:p>
        </w:tc>
        <w:tc>
          <w:tcPr>
            <w:tcW w:w="1232" w:type="dxa"/>
            <w:gridSpan w:val="2"/>
            <w:vAlign w:val="center"/>
          </w:tcPr>
          <w:p w14:paraId="475DA236">
            <w:pPr>
              <w:spacing w:line="260" w:lineRule="exact"/>
              <w:jc w:val="center"/>
              <w:rPr>
                <w:rFonts w:ascii="Times New Roman" w:hAnsi="Times New Roman" w:cs="宋体"/>
                <w:color w:val="auto"/>
              </w:rPr>
            </w:pPr>
            <w:r>
              <w:rPr>
                <w:rFonts w:hint="eastAsia" w:ascii="Times New Roman" w:hAnsi="Times New Roman" w:cs="宋体"/>
                <w:color w:val="auto"/>
              </w:rPr>
              <w:t>产权</w:t>
            </w:r>
          </w:p>
        </w:tc>
        <w:tc>
          <w:tcPr>
            <w:tcW w:w="6588" w:type="dxa"/>
            <w:gridSpan w:val="14"/>
            <w:vAlign w:val="center"/>
          </w:tcPr>
          <w:p w14:paraId="0F2FD1B7">
            <w:pPr>
              <w:spacing w:line="260" w:lineRule="exact"/>
              <w:jc w:val="center"/>
              <w:rPr>
                <w:rFonts w:ascii="Times New Roman" w:hAnsi="Times New Roman" w:cs="宋体"/>
                <w:color w:val="auto"/>
              </w:rPr>
            </w:pPr>
            <w:r>
              <w:rPr>
                <w:rFonts w:hint="eastAsia" w:ascii="Times New Roman" w:hAnsi="Times New Roman" w:cs="宋体"/>
                <w:color w:val="auto"/>
              </w:rPr>
              <w:t>自有</w:t>
            </w:r>
            <w:r>
              <w:rPr>
                <w:rFonts w:hint="eastAsia" w:ascii="Times New Roman" w:hAnsi="Times New Roman" w:cs="宋体"/>
                <w:color w:val="auto"/>
              </w:rPr>
              <w:sym w:font="Wingdings 2" w:char="0052"/>
            </w:r>
            <w:r>
              <w:rPr>
                <w:rFonts w:hint="eastAsia" w:ascii="Times New Roman" w:hAnsi="Times New Roman" w:cs="宋体"/>
                <w:color w:val="auto"/>
              </w:rPr>
              <w:t xml:space="preserve">     租赁</w:t>
            </w:r>
            <w:r>
              <w:rPr>
                <w:rFonts w:hint="eastAsia" w:ascii="Times New Roman" w:hAnsi="Times New Roman" w:cs="宋体"/>
                <w:color w:val="auto"/>
              </w:rPr>
              <w:sym w:font="Wingdings 2" w:char="00A3"/>
            </w:r>
            <w:r>
              <w:rPr>
                <w:rFonts w:hint="eastAsia" w:ascii="Times New Roman" w:hAnsi="Times New Roman" w:cs="宋体"/>
                <w:color w:val="auto"/>
              </w:rPr>
              <w:t xml:space="preserve">       承包□</w:t>
            </w:r>
          </w:p>
        </w:tc>
      </w:tr>
      <w:tr w14:paraId="3A404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399" w:type="dxa"/>
            <w:gridSpan w:val="2"/>
            <w:vMerge w:val="restart"/>
            <w:vAlign w:val="center"/>
          </w:tcPr>
          <w:p w14:paraId="3A60A6C7">
            <w:pPr>
              <w:spacing w:line="260" w:lineRule="exact"/>
              <w:jc w:val="center"/>
              <w:rPr>
                <w:rFonts w:ascii="Times New Roman" w:hAnsi="Times New Roman" w:cs="宋体"/>
                <w:color w:val="auto"/>
              </w:rPr>
            </w:pPr>
            <w:r>
              <w:rPr>
                <w:rFonts w:hint="eastAsia" w:ascii="Times New Roman" w:hAnsi="Times New Roman" w:cs="宋体"/>
                <w:color w:val="auto"/>
              </w:rPr>
              <w:t>储存设施</w:t>
            </w:r>
          </w:p>
        </w:tc>
        <w:tc>
          <w:tcPr>
            <w:tcW w:w="1232" w:type="dxa"/>
            <w:gridSpan w:val="2"/>
            <w:vAlign w:val="center"/>
          </w:tcPr>
          <w:p w14:paraId="06CCC301">
            <w:pPr>
              <w:spacing w:line="260" w:lineRule="exact"/>
              <w:jc w:val="center"/>
              <w:rPr>
                <w:rFonts w:ascii="Times New Roman" w:hAnsi="Times New Roman" w:cs="宋体"/>
                <w:color w:val="auto"/>
              </w:rPr>
            </w:pPr>
            <w:r>
              <w:rPr>
                <w:rFonts w:hint="eastAsia" w:ascii="Times New Roman" w:hAnsi="Times New Roman" w:cs="宋体"/>
                <w:color w:val="auto"/>
              </w:rPr>
              <w:t>地址</w:t>
            </w:r>
          </w:p>
        </w:tc>
        <w:tc>
          <w:tcPr>
            <w:tcW w:w="6588" w:type="dxa"/>
            <w:gridSpan w:val="14"/>
            <w:vAlign w:val="center"/>
          </w:tcPr>
          <w:p w14:paraId="5CA691D1">
            <w:pPr>
              <w:spacing w:line="260" w:lineRule="exact"/>
              <w:jc w:val="center"/>
              <w:rPr>
                <w:rFonts w:ascii="Times New Roman" w:hAnsi="Times New Roman" w:cs="宋体"/>
                <w:color w:val="auto"/>
              </w:rPr>
            </w:pPr>
            <w:r>
              <w:rPr>
                <w:rFonts w:hint="eastAsia" w:ascii="Times New Roman" w:hAnsi="Times New Roman" w:cs="宋体"/>
                <w:color w:val="auto"/>
              </w:rPr>
              <w:t>中石化</w:t>
            </w:r>
            <w:r>
              <w:rPr>
                <w:rFonts w:hint="eastAsia" w:ascii="Times New Roman" w:hAnsi="Times New Roman" w:cs="宋体"/>
                <w:color w:val="auto"/>
                <w:lang w:eastAsia="zh-CN"/>
              </w:rPr>
              <w:t>兴国江背加油站</w:t>
            </w:r>
            <w:r>
              <w:rPr>
                <w:rFonts w:hint="eastAsia" w:ascii="Times New Roman" w:hAnsi="Times New Roman" w:cs="宋体"/>
                <w:color w:val="auto"/>
              </w:rPr>
              <w:t>内</w:t>
            </w:r>
          </w:p>
        </w:tc>
      </w:tr>
      <w:tr w14:paraId="1C9C5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399" w:type="dxa"/>
            <w:gridSpan w:val="2"/>
            <w:vMerge w:val="continue"/>
            <w:vAlign w:val="center"/>
          </w:tcPr>
          <w:p w14:paraId="1C883813">
            <w:pPr>
              <w:spacing w:line="260" w:lineRule="exact"/>
              <w:jc w:val="center"/>
              <w:rPr>
                <w:rFonts w:ascii="Times New Roman" w:hAnsi="Times New Roman" w:cs="宋体"/>
                <w:color w:val="auto"/>
              </w:rPr>
            </w:pPr>
          </w:p>
        </w:tc>
        <w:tc>
          <w:tcPr>
            <w:tcW w:w="1232" w:type="dxa"/>
            <w:gridSpan w:val="2"/>
            <w:vAlign w:val="center"/>
          </w:tcPr>
          <w:p w14:paraId="782C5AF8">
            <w:pPr>
              <w:spacing w:line="260" w:lineRule="exact"/>
              <w:jc w:val="center"/>
              <w:rPr>
                <w:rFonts w:ascii="Times New Roman" w:hAnsi="Times New Roman" w:cs="宋体"/>
                <w:color w:val="auto"/>
              </w:rPr>
            </w:pPr>
            <w:r>
              <w:rPr>
                <w:rFonts w:hint="eastAsia" w:ascii="Times New Roman" w:hAnsi="Times New Roman" w:cs="宋体"/>
                <w:color w:val="auto"/>
              </w:rPr>
              <w:t>建筑结构</w:t>
            </w:r>
          </w:p>
        </w:tc>
        <w:tc>
          <w:tcPr>
            <w:tcW w:w="2560" w:type="dxa"/>
            <w:gridSpan w:val="6"/>
            <w:vAlign w:val="center"/>
          </w:tcPr>
          <w:p w14:paraId="1C33768B">
            <w:pPr>
              <w:spacing w:line="260" w:lineRule="exact"/>
              <w:jc w:val="center"/>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SF 双层储罐</w:t>
            </w:r>
          </w:p>
        </w:tc>
        <w:tc>
          <w:tcPr>
            <w:tcW w:w="1407" w:type="dxa"/>
            <w:gridSpan w:val="4"/>
            <w:vAlign w:val="center"/>
          </w:tcPr>
          <w:p w14:paraId="44FD5950">
            <w:pPr>
              <w:spacing w:line="260" w:lineRule="exact"/>
              <w:jc w:val="center"/>
              <w:rPr>
                <w:rFonts w:ascii="Times New Roman" w:hAnsi="Times New Roman" w:cs="宋体"/>
                <w:color w:val="auto"/>
              </w:rPr>
            </w:pPr>
            <w:r>
              <w:rPr>
                <w:rFonts w:hint="eastAsia" w:ascii="Times New Roman" w:hAnsi="Times New Roman" w:cs="宋体"/>
                <w:color w:val="auto"/>
              </w:rPr>
              <w:t>储存能力</w:t>
            </w:r>
          </w:p>
        </w:tc>
        <w:tc>
          <w:tcPr>
            <w:tcW w:w="2621" w:type="dxa"/>
            <w:gridSpan w:val="4"/>
            <w:vAlign w:val="center"/>
          </w:tcPr>
          <w:p w14:paraId="437BF562">
            <w:pPr>
              <w:spacing w:line="260" w:lineRule="exact"/>
              <w:jc w:val="center"/>
              <w:rPr>
                <w:rFonts w:ascii="Times New Roman" w:hAnsi="Times New Roman" w:cs="宋体"/>
                <w:color w:val="auto"/>
              </w:rPr>
            </w:pPr>
            <w:r>
              <w:rPr>
                <w:rFonts w:hint="eastAsia" w:ascii="Times New Roman" w:hAnsi="Times New Roman" w:cs="宋体"/>
                <w:color w:val="auto"/>
              </w:rPr>
              <w:t>（总）</w:t>
            </w:r>
            <w:r>
              <w:rPr>
                <w:rFonts w:hint="eastAsia" w:ascii="Times New Roman" w:hAnsi="Times New Roman" w:cs="宋体"/>
                <w:color w:val="auto"/>
                <w:lang w:val="en-US" w:eastAsia="zh-CN"/>
              </w:rPr>
              <w:t>9</w:t>
            </w:r>
            <w:r>
              <w:rPr>
                <w:rFonts w:hint="eastAsia" w:ascii="Times New Roman" w:hAnsi="Times New Roman" w:cs="宋体"/>
                <w:color w:val="auto"/>
              </w:rPr>
              <w:t>0m</w:t>
            </w:r>
            <w:r>
              <w:rPr>
                <w:rFonts w:hint="eastAsia" w:ascii="Times New Roman" w:hAnsi="Times New Roman" w:cs="宋体"/>
                <w:color w:val="auto"/>
                <w:vertAlign w:val="superscript"/>
              </w:rPr>
              <w:t>3</w:t>
            </w:r>
            <w:r>
              <w:rPr>
                <w:rFonts w:hint="eastAsia" w:ascii="Times New Roman" w:hAnsi="Times New Roman" w:cs="宋体"/>
                <w:color w:val="auto"/>
              </w:rPr>
              <w:t>，折算</w:t>
            </w:r>
            <w:r>
              <w:rPr>
                <w:rFonts w:hint="eastAsia" w:ascii="Times New Roman" w:hAnsi="Times New Roman" w:cs="宋体"/>
                <w:color w:val="auto"/>
                <w:lang w:val="en-US" w:eastAsia="zh-CN"/>
              </w:rPr>
              <w:t>7</w:t>
            </w:r>
            <w:r>
              <w:rPr>
                <w:rFonts w:hint="eastAsia" w:ascii="Times New Roman" w:hAnsi="Times New Roman" w:cs="宋体"/>
                <w:color w:val="auto"/>
              </w:rPr>
              <w:t>5m</w:t>
            </w:r>
            <w:r>
              <w:rPr>
                <w:rFonts w:hint="eastAsia" w:ascii="Times New Roman" w:hAnsi="Times New Roman" w:cs="宋体"/>
                <w:color w:val="auto"/>
                <w:vertAlign w:val="superscript"/>
              </w:rPr>
              <w:t>3</w:t>
            </w:r>
          </w:p>
        </w:tc>
      </w:tr>
      <w:tr w14:paraId="7C56F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399" w:type="dxa"/>
            <w:gridSpan w:val="2"/>
            <w:vMerge w:val="continue"/>
            <w:vAlign w:val="center"/>
          </w:tcPr>
          <w:p w14:paraId="6FE49949">
            <w:pPr>
              <w:spacing w:line="260" w:lineRule="exact"/>
              <w:jc w:val="center"/>
              <w:rPr>
                <w:rFonts w:ascii="Times New Roman" w:hAnsi="Times New Roman" w:cs="宋体"/>
                <w:color w:val="auto"/>
              </w:rPr>
            </w:pPr>
          </w:p>
        </w:tc>
        <w:tc>
          <w:tcPr>
            <w:tcW w:w="1232" w:type="dxa"/>
            <w:gridSpan w:val="2"/>
            <w:vAlign w:val="center"/>
          </w:tcPr>
          <w:p w14:paraId="0CF2A1CF">
            <w:pPr>
              <w:spacing w:line="260" w:lineRule="exact"/>
              <w:jc w:val="center"/>
              <w:rPr>
                <w:rFonts w:ascii="Times New Roman" w:hAnsi="Times New Roman" w:cs="宋体"/>
                <w:color w:val="auto"/>
              </w:rPr>
            </w:pPr>
            <w:r>
              <w:rPr>
                <w:rFonts w:hint="eastAsia" w:ascii="Times New Roman" w:hAnsi="Times New Roman" w:cs="宋体"/>
                <w:color w:val="auto"/>
              </w:rPr>
              <w:t>产权</w:t>
            </w:r>
          </w:p>
        </w:tc>
        <w:tc>
          <w:tcPr>
            <w:tcW w:w="6588" w:type="dxa"/>
            <w:gridSpan w:val="14"/>
            <w:vAlign w:val="center"/>
          </w:tcPr>
          <w:p w14:paraId="0C20A0F7">
            <w:pPr>
              <w:spacing w:line="260" w:lineRule="exact"/>
              <w:jc w:val="center"/>
              <w:rPr>
                <w:rFonts w:ascii="Times New Roman" w:hAnsi="Times New Roman" w:cs="宋体"/>
                <w:color w:val="auto"/>
              </w:rPr>
            </w:pPr>
            <w:r>
              <w:rPr>
                <w:rFonts w:hint="eastAsia" w:ascii="Times New Roman" w:hAnsi="Times New Roman" w:cs="宋体"/>
                <w:color w:val="auto"/>
              </w:rPr>
              <w:t>自有</w:t>
            </w:r>
            <w:r>
              <w:rPr>
                <w:rFonts w:hint="eastAsia" w:ascii="Times New Roman" w:hAnsi="Times New Roman" w:cs="宋体"/>
                <w:color w:val="auto"/>
              </w:rPr>
              <w:sym w:font="Wingdings 2" w:char="0052"/>
            </w:r>
            <w:r>
              <w:rPr>
                <w:rFonts w:hint="eastAsia" w:ascii="Times New Roman" w:hAnsi="Times New Roman" w:cs="宋体"/>
                <w:color w:val="auto"/>
              </w:rPr>
              <w:t xml:space="preserve">      租赁□       承包□</w:t>
            </w:r>
          </w:p>
        </w:tc>
      </w:tr>
      <w:tr w14:paraId="785FF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219" w:type="dxa"/>
            <w:gridSpan w:val="18"/>
            <w:vAlign w:val="center"/>
          </w:tcPr>
          <w:p w14:paraId="271AE597">
            <w:pPr>
              <w:spacing w:line="260" w:lineRule="exact"/>
              <w:jc w:val="center"/>
              <w:rPr>
                <w:rFonts w:ascii="Times New Roman" w:hAnsi="Times New Roman" w:cs="宋体"/>
                <w:color w:val="auto"/>
              </w:rPr>
            </w:pPr>
            <w:r>
              <w:rPr>
                <w:rFonts w:hint="eastAsia" w:ascii="Times New Roman" w:hAnsi="Times New Roman" w:cs="宋体"/>
                <w:color w:val="auto"/>
              </w:rPr>
              <w:t>申请经营危险化学品范围</w:t>
            </w:r>
          </w:p>
        </w:tc>
      </w:tr>
      <w:tr w14:paraId="7EE86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907" w:type="dxa"/>
            <w:gridSpan w:val="5"/>
            <w:vAlign w:val="center"/>
          </w:tcPr>
          <w:p w14:paraId="3D14DCA8">
            <w:pPr>
              <w:spacing w:line="260" w:lineRule="exact"/>
              <w:jc w:val="center"/>
              <w:rPr>
                <w:rFonts w:ascii="Times New Roman" w:hAnsi="Times New Roman" w:cs="宋体"/>
                <w:color w:val="auto"/>
              </w:rPr>
            </w:pPr>
            <w:r>
              <w:rPr>
                <w:rFonts w:hint="eastAsia" w:ascii="Times New Roman" w:hAnsi="Times New Roman" w:cs="宋体"/>
                <w:color w:val="auto"/>
              </w:rPr>
              <w:t>剧毒化学品</w:t>
            </w:r>
          </w:p>
        </w:tc>
        <w:tc>
          <w:tcPr>
            <w:tcW w:w="3045" w:type="dxa"/>
            <w:gridSpan w:val="7"/>
            <w:vAlign w:val="center"/>
          </w:tcPr>
          <w:p w14:paraId="7BDB5AFD">
            <w:pPr>
              <w:spacing w:line="260" w:lineRule="exact"/>
              <w:jc w:val="center"/>
              <w:rPr>
                <w:rFonts w:ascii="Times New Roman" w:hAnsi="Times New Roman" w:cs="宋体"/>
                <w:color w:val="auto"/>
              </w:rPr>
            </w:pPr>
            <w:r>
              <w:rPr>
                <w:rFonts w:hint="eastAsia" w:ascii="Times New Roman" w:hAnsi="Times New Roman" w:cs="宋体"/>
                <w:color w:val="auto"/>
              </w:rPr>
              <w:t>成品油（储量）</w:t>
            </w:r>
          </w:p>
        </w:tc>
        <w:tc>
          <w:tcPr>
            <w:tcW w:w="3267" w:type="dxa"/>
            <w:gridSpan w:val="6"/>
            <w:vAlign w:val="center"/>
          </w:tcPr>
          <w:p w14:paraId="15AE0A13">
            <w:pPr>
              <w:spacing w:line="260" w:lineRule="exact"/>
              <w:jc w:val="center"/>
              <w:rPr>
                <w:rFonts w:ascii="Times New Roman" w:hAnsi="Times New Roman" w:cs="宋体"/>
                <w:color w:val="auto"/>
              </w:rPr>
            </w:pPr>
            <w:r>
              <w:rPr>
                <w:rFonts w:hint="eastAsia" w:ascii="Times New Roman" w:hAnsi="Times New Roman" w:cs="宋体"/>
                <w:color w:val="auto"/>
              </w:rPr>
              <w:t>其他危险化学品</w:t>
            </w:r>
          </w:p>
        </w:tc>
      </w:tr>
      <w:tr w14:paraId="632F9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67" w:type="dxa"/>
            <w:vAlign w:val="center"/>
          </w:tcPr>
          <w:p w14:paraId="72B56219">
            <w:pPr>
              <w:spacing w:line="260" w:lineRule="exact"/>
              <w:jc w:val="center"/>
              <w:rPr>
                <w:rFonts w:ascii="Times New Roman" w:hAnsi="Times New Roman" w:cs="宋体"/>
                <w:color w:val="auto"/>
              </w:rPr>
            </w:pPr>
            <w:r>
              <w:rPr>
                <w:rFonts w:hint="eastAsia" w:ascii="Times New Roman" w:hAnsi="Times New Roman" w:cs="宋体"/>
                <w:color w:val="auto"/>
              </w:rPr>
              <w:t>品名</w:t>
            </w:r>
          </w:p>
        </w:tc>
        <w:tc>
          <w:tcPr>
            <w:tcW w:w="1154" w:type="dxa"/>
            <w:gridSpan w:val="2"/>
            <w:vAlign w:val="center"/>
          </w:tcPr>
          <w:p w14:paraId="6980D656">
            <w:pPr>
              <w:spacing w:line="260" w:lineRule="exact"/>
              <w:jc w:val="center"/>
              <w:rPr>
                <w:rFonts w:ascii="Times New Roman" w:hAnsi="Times New Roman" w:cs="宋体"/>
                <w:color w:val="auto"/>
              </w:rPr>
            </w:pPr>
            <w:r>
              <w:rPr>
                <w:rFonts w:hint="eastAsia" w:ascii="Times New Roman" w:hAnsi="Times New Roman" w:cs="宋体"/>
                <w:color w:val="auto"/>
              </w:rPr>
              <w:t>规模</w:t>
            </w:r>
          </w:p>
        </w:tc>
        <w:tc>
          <w:tcPr>
            <w:tcW w:w="786" w:type="dxa"/>
            <w:gridSpan w:val="2"/>
            <w:vAlign w:val="center"/>
          </w:tcPr>
          <w:p w14:paraId="59CC390F">
            <w:pPr>
              <w:spacing w:line="260" w:lineRule="exact"/>
              <w:jc w:val="center"/>
              <w:rPr>
                <w:rFonts w:ascii="Times New Roman" w:hAnsi="Times New Roman" w:cs="宋体"/>
                <w:color w:val="auto"/>
              </w:rPr>
            </w:pPr>
            <w:r>
              <w:rPr>
                <w:rFonts w:hint="eastAsia" w:ascii="Times New Roman" w:hAnsi="Times New Roman" w:cs="宋体"/>
                <w:color w:val="auto"/>
              </w:rPr>
              <w:t>用途</w:t>
            </w:r>
          </w:p>
        </w:tc>
        <w:tc>
          <w:tcPr>
            <w:tcW w:w="992" w:type="dxa"/>
            <w:gridSpan w:val="2"/>
            <w:vAlign w:val="center"/>
          </w:tcPr>
          <w:p w14:paraId="0E207023">
            <w:pPr>
              <w:spacing w:line="260" w:lineRule="exact"/>
              <w:jc w:val="center"/>
              <w:rPr>
                <w:rFonts w:ascii="Times New Roman" w:hAnsi="Times New Roman" w:cs="宋体"/>
                <w:color w:val="auto"/>
              </w:rPr>
            </w:pPr>
            <w:r>
              <w:rPr>
                <w:rFonts w:hint="eastAsia" w:ascii="Times New Roman" w:hAnsi="Times New Roman" w:cs="宋体"/>
                <w:color w:val="auto"/>
              </w:rPr>
              <w:t>品名</w:t>
            </w:r>
          </w:p>
        </w:tc>
        <w:tc>
          <w:tcPr>
            <w:tcW w:w="1080" w:type="dxa"/>
            <w:gridSpan w:val="2"/>
            <w:vAlign w:val="center"/>
          </w:tcPr>
          <w:p w14:paraId="0048005F">
            <w:pPr>
              <w:spacing w:line="260" w:lineRule="exact"/>
              <w:jc w:val="center"/>
              <w:rPr>
                <w:rFonts w:ascii="Times New Roman" w:hAnsi="Times New Roman" w:cs="宋体"/>
                <w:color w:val="auto"/>
              </w:rPr>
            </w:pPr>
            <w:r>
              <w:rPr>
                <w:rFonts w:hint="eastAsia" w:ascii="Times New Roman" w:hAnsi="Times New Roman" w:cs="宋体"/>
                <w:color w:val="auto"/>
              </w:rPr>
              <w:t>规模</w:t>
            </w:r>
          </w:p>
        </w:tc>
        <w:tc>
          <w:tcPr>
            <w:tcW w:w="973" w:type="dxa"/>
            <w:gridSpan w:val="3"/>
            <w:vAlign w:val="center"/>
          </w:tcPr>
          <w:p w14:paraId="427F1A35">
            <w:pPr>
              <w:spacing w:line="260" w:lineRule="exact"/>
              <w:jc w:val="center"/>
              <w:rPr>
                <w:rFonts w:ascii="Times New Roman" w:hAnsi="Times New Roman" w:cs="宋体"/>
                <w:color w:val="auto"/>
              </w:rPr>
            </w:pPr>
            <w:r>
              <w:rPr>
                <w:rFonts w:hint="eastAsia" w:ascii="Times New Roman" w:hAnsi="Times New Roman" w:cs="宋体"/>
                <w:color w:val="auto"/>
              </w:rPr>
              <w:t>用途</w:t>
            </w:r>
          </w:p>
        </w:tc>
        <w:tc>
          <w:tcPr>
            <w:tcW w:w="967" w:type="dxa"/>
            <w:gridSpan w:val="3"/>
            <w:vAlign w:val="center"/>
          </w:tcPr>
          <w:p w14:paraId="4DA52AA9">
            <w:pPr>
              <w:spacing w:line="260" w:lineRule="exact"/>
              <w:jc w:val="center"/>
              <w:rPr>
                <w:rFonts w:ascii="Times New Roman" w:hAnsi="Times New Roman" w:cs="宋体"/>
                <w:color w:val="auto"/>
              </w:rPr>
            </w:pPr>
            <w:r>
              <w:rPr>
                <w:rFonts w:hint="eastAsia" w:ascii="Times New Roman" w:hAnsi="Times New Roman" w:cs="宋体"/>
                <w:color w:val="auto"/>
              </w:rPr>
              <w:t>品名</w:t>
            </w:r>
          </w:p>
        </w:tc>
        <w:tc>
          <w:tcPr>
            <w:tcW w:w="969" w:type="dxa"/>
            <w:gridSpan w:val="2"/>
            <w:vAlign w:val="center"/>
          </w:tcPr>
          <w:p w14:paraId="54225A57">
            <w:pPr>
              <w:spacing w:line="260" w:lineRule="exact"/>
              <w:jc w:val="center"/>
              <w:rPr>
                <w:rFonts w:ascii="Times New Roman" w:hAnsi="Times New Roman" w:cs="宋体"/>
                <w:color w:val="auto"/>
              </w:rPr>
            </w:pPr>
            <w:r>
              <w:rPr>
                <w:rFonts w:hint="eastAsia" w:ascii="Times New Roman" w:hAnsi="Times New Roman" w:cs="宋体"/>
                <w:color w:val="auto"/>
              </w:rPr>
              <w:t>规模</w:t>
            </w:r>
          </w:p>
        </w:tc>
        <w:tc>
          <w:tcPr>
            <w:tcW w:w="1331" w:type="dxa"/>
            <w:vAlign w:val="center"/>
          </w:tcPr>
          <w:p w14:paraId="5B60DC8C">
            <w:pPr>
              <w:spacing w:line="260" w:lineRule="exact"/>
              <w:jc w:val="center"/>
              <w:rPr>
                <w:rFonts w:ascii="Times New Roman" w:hAnsi="Times New Roman" w:cs="宋体"/>
                <w:color w:val="auto"/>
              </w:rPr>
            </w:pPr>
            <w:r>
              <w:rPr>
                <w:rFonts w:hint="eastAsia" w:ascii="Times New Roman" w:hAnsi="Times New Roman" w:cs="宋体"/>
                <w:color w:val="auto"/>
              </w:rPr>
              <w:t>用途</w:t>
            </w:r>
          </w:p>
        </w:tc>
      </w:tr>
      <w:tr w14:paraId="37840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67" w:type="dxa"/>
            <w:vAlign w:val="center"/>
          </w:tcPr>
          <w:p w14:paraId="6A2D74E5">
            <w:pPr>
              <w:spacing w:line="260" w:lineRule="exact"/>
              <w:jc w:val="center"/>
              <w:rPr>
                <w:rFonts w:ascii="Times New Roman" w:hAnsi="Times New Roman" w:cs="宋体"/>
                <w:color w:val="auto"/>
              </w:rPr>
            </w:pPr>
          </w:p>
        </w:tc>
        <w:tc>
          <w:tcPr>
            <w:tcW w:w="1154" w:type="dxa"/>
            <w:gridSpan w:val="2"/>
            <w:vAlign w:val="center"/>
          </w:tcPr>
          <w:p w14:paraId="6CB4BFAE">
            <w:pPr>
              <w:spacing w:line="260" w:lineRule="exact"/>
              <w:jc w:val="center"/>
              <w:rPr>
                <w:rFonts w:ascii="Times New Roman" w:hAnsi="Times New Roman" w:cs="宋体"/>
                <w:color w:val="auto"/>
              </w:rPr>
            </w:pPr>
          </w:p>
        </w:tc>
        <w:tc>
          <w:tcPr>
            <w:tcW w:w="786" w:type="dxa"/>
            <w:gridSpan w:val="2"/>
            <w:vAlign w:val="center"/>
          </w:tcPr>
          <w:p w14:paraId="309C1C94">
            <w:pPr>
              <w:spacing w:line="260" w:lineRule="exact"/>
              <w:jc w:val="center"/>
              <w:rPr>
                <w:rFonts w:ascii="Times New Roman" w:hAnsi="Times New Roman" w:cs="宋体"/>
                <w:color w:val="auto"/>
              </w:rPr>
            </w:pPr>
          </w:p>
        </w:tc>
        <w:tc>
          <w:tcPr>
            <w:tcW w:w="992" w:type="dxa"/>
            <w:gridSpan w:val="2"/>
            <w:shd w:val="clear" w:color="auto" w:fill="auto"/>
            <w:vAlign w:val="center"/>
          </w:tcPr>
          <w:p w14:paraId="23BD8BD2">
            <w:pPr>
              <w:spacing w:line="260" w:lineRule="exact"/>
              <w:jc w:val="center"/>
              <w:rPr>
                <w:rFonts w:ascii="Times New Roman" w:hAnsi="Times New Roman" w:cs="宋体"/>
                <w:color w:val="auto"/>
              </w:rPr>
            </w:pPr>
            <w:r>
              <w:rPr>
                <w:rFonts w:hint="eastAsia" w:ascii="Times New Roman" w:hAnsi="Times New Roman" w:cs="宋体"/>
                <w:color w:val="auto"/>
              </w:rPr>
              <w:t>0#柴油</w:t>
            </w:r>
          </w:p>
        </w:tc>
        <w:tc>
          <w:tcPr>
            <w:tcW w:w="1080" w:type="dxa"/>
            <w:gridSpan w:val="2"/>
            <w:shd w:val="clear" w:color="auto" w:fill="auto"/>
            <w:vAlign w:val="center"/>
          </w:tcPr>
          <w:p w14:paraId="4AE88E35">
            <w:pPr>
              <w:spacing w:line="260" w:lineRule="exact"/>
              <w:jc w:val="center"/>
              <w:rPr>
                <w:rFonts w:ascii="Times New Roman" w:hAnsi="Times New Roman" w:cs="宋体"/>
                <w:color w:val="auto"/>
              </w:rPr>
            </w:pPr>
            <w:r>
              <w:rPr>
                <w:rFonts w:hint="eastAsia" w:ascii="Times New Roman" w:hAnsi="Times New Roman" w:cs="宋体"/>
                <w:color w:val="auto"/>
                <w:lang w:val="en-US" w:eastAsia="zh-CN"/>
              </w:rPr>
              <w:t>3</w:t>
            </w:r>
            <w:r>
              <w:rPr>
                <w:rFonts w:hint="eastAsia" w:ascii="Times New Roman" w:hAnsi="Times New Roman" w:cs="宋体"/>
                <w:color w:val="auto"/>
              </w:rPr>
              <w:t>0m</w:t>
            </w:r>
            <w:r>
              <w:rPr>
                <w:rFonts w:hint="eastAsia" w:ascii="Times New Roman" w:hAnsi="Times New Roman" w:cs="宋体"/>
                <w:color w:val="auto"/>
                <w:vertAlign w:val="superscript"/>
              </w:rPr>
              <w:t>3</w:t>
            </w:r>
          </w:p>
        </w:tc>
        <w:tc>
          <w:tcPr>
            <w:tcW w:w="973" w:type="dxa"/>
            <w:gridSpan w:val="3"/>
            <w:shd w:val="clear" w:color="auto" w:fill="auto"/>
            <w:vAlign w:val="center"/>
          </w:tcPr>
          <w:p w14:paraId="1E408877">
            <w:pPr>
              <w:spacing w:line="260" w:lineRule="exact"/>
              <w:jc w:val="center"/>
              <w:rPr>
                <w:rFonts w:ascii="Times New Roman" w:hAnsi="Times New Roman" w:cs="宋体"/>
                <w:color w:val="auto"/>
              </w:rPr>
            </w:pPr>
            <w:r>
              <w:rPr>
                <w:rFonts w:hint="eastAsia" w:ascii="Times New Roman" w:hAnsi="Times New Roman" w:cs="宋体"/>
                <w:color w:val="auto"/>
              </w:rPr>
              <w:t>车用</w:t>
            </w:r>
          </w:p>
        </w:tc>
        <w:tc>
          <w:tcPr>
            <w:tcW w:w="967" w:type="dxa"/>
            <w:gridSpan w:val="3"/>
            <w:vAlign w:val="center"/>
          </w:tcPr>
          <w:p w14:paraId="4CC05A04">
            <w:pPr>
              <w:spacing w:line="260" w:lineRule="exact"/>
              <w:jc w:val="center"/>
              <w:rPr>
                <w:rFonts w:ascii="Times New Roman" w:hAnsi="Times New Roman" w:cs="宋体"/>
                <w:color w:val="auto"/>
              </w:rPr>
            </w:pPr>
          </w:p>
        </w:tc>
        <w:tc>
          <w:tcPr>
            <w:tcW w:w="969" w:type="dxa"/>
            <w:gridSpan w:val="2"/>
            <w:vAlign w:val="center"/>
          </w:tcPr>
          <w:p w14:paraId="5C7C732F">
            <w:pPr>
              <w:spacing w:line="260" w:lineRule="exact"/>
              <w:jc w:val="center"/>
              <w:rPr>
                <w:rFonts w:ascii="Times New Roman" w:hAnsi="Times New Roman" w:cs="宋体"/>
                <w:color w:val="auto"/>
              </w:rPr>
            </w:pPr>
          </w:p>
        </w:tc>
        <w:tc>
          <w:tcPr>
            <w:tcW w:w="1331" w:type="dxa"/>
            <w:vAlign w:val="center"/>
          </w:tcPr>
          <w:p w14:paraId="607EA6EE">
            <w:pPr>
              <w:spacing w:line="260" w:lineRule="exact"/>
              <w:jc w:val="center"/>
              <w:rPr>
                <w:rFonts w:ascii="Times New Roman" w:hAnsi="Times New Roman" w:cs="宋体"/>
                <w:color w:val="auto"/>
              </w:rPr>
            </w:pPr>
          </w:p>
        </w:tc>
      </w:tr>
      <w:tr w14:paraId="1DBDA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8" w:hRule="atLeast"/>
        </w:trPr>
        <w:tc>
          <w:tcPr>
            <w:tcW w:w="967" w:type="dxa"/>
            <w:vAlign w:val="center"/>
          </w:tcPr>
          <w:p w14:paraId="410C521F">
            <w:pPr>
              <w:spacing w:line="260" w:lineRule="exact"/>
              <w:jc w:val="center"/>
              <w:rPr>
                <w:rFonts w:ascii="Times New Roman" w:hAnsi="Times New Roman" w:cs="宋体"/>
                <w:color w:val="auto"/>
              </w:rPr>
            </w:pPr>
          </w:p>
        </w:tc>
        <w:tc>
          <w:tcPr>
            <w:tcW w:w="1154" w:type="dxa"/>
            <w:gridSpan w:val="2"/>
            <w:vAlign w:val="center"/>
          </w:tcPr>
          <w:p w14:paraId="362F30AC">
            <w:pPr>
              <w:spacing w:line="260" w:lineRule="exact"/>
              <w:jc w:val="center"/>
              <w:rPr>
                <w:rFonts w:ascii="Times New Roman" w:hAnsi="Times New Roman" w:cs="宋体"/>
                <w:color w:val="auto"/>
              </w:rPr>
            </w:pPr>
          </w:p>
        </w:tc>
        <w:tc>
          <w:tcPr>
            <w:tcW w:w="786" w:type="dxa"/>
            <w:gridSpan w:val="2"/>
            <w:vAlign w:val="center"/>
          </w:tcPr>
          <w:p w14:paraId="722DDC89">
            <w:pPr>
              <w:spacing w:line="260" w:lineRule="exact"/>
              <w:jc w:val="center"/>
              <w:rPr>
                <w:rFonts w:ascii="Times New Roman" w:hAnsi="Times New Roman" w:cs="宋体"/>
                <w:color w:val="auto"/>
              </w:rPr>
            </w:pPr>
          </w:p>
        </w:tc>
        <w:tc>
          <w:tcPr>
            <w:tcW w:w="992" w:type="dxa"/>
            <w:gridSpan w:val="2"/>
            <w:shd w:val="clear" w:color="auto" w:fill="auto"/>
            <w:vAlign w:val="center"/>
          </w:tcPr>
          <w:p w14:paraId="2AC86010">
            <w:pPr>
              <w:spacing w:line="260" w:lineRule="exact"/>
              <w:jc w:val="center"/>
              <w:rPr>
                <w:rFonts w:hint="eastAsia" w:ascii="Times New Roman" w:hAnsi="Times New Roman" w:cs="宋体"/>
                <w:color w:val="auto"/>
              </w:rPr>
            </w:pPr>
            <w:r>
              <w:rPr>
                <w:rFonts w:hint="eastAsia" w:ascii="Times New Roman" w:hAnsi="Times New Roman" w:cs="宋体"/>
                <w:color w:val="auto"/>
              </w:rPr>
              <w:t>92#汽油</w:t>
            </w:r>
          </w:p>
        </w:tc>
        <w:tc>
          <w:tcPr>
            <w:tcW w:w="1080" w:type="dxa"/>
            <w:gridSpan w:val="2"/>
            <w:shd w:val="clear" w:color="auto" w:fill="auto"/>
            <w:vAlign w:val="center"/>
          </w:tcPr>
          <w:p w14:paraId="2B6B5911">
            <w:pPr>
              <w:spacing w:line="260" w:lineRule="exact"/>
              <w:jc w:val="center"/>
              <w:rPr>
                <w:rFonts w:hint="eastAsia" w:ascii="Times New Roman" w:hAnsi="Times New Roman" w:cs="宋体"/>
                <w:color w:val="auto"/>
              </w:rPr>
            </w:pPr>
            <w:r>
              <w:rPr>
                <w:rFonts w:hint="eastAsia" w:ascii="Times New Roman" w:hAnsi="Times New Roman" w:cs="宋体"/>
                <w:color w:val="auto"/>
                <w:lang w:val="en-US" w:eastAsia="zh-CN"/>
              </w:rPr>
              <w:t>3</w:t>
            </w:r>
            <w:r>
              <w:rPr>
                <w:rFonts w:hint="eastAsia" w:ascii="Times New Roman" w:hAnsi="Times New Roman" w:cs="宋体"/>
                <w:color w:val="auto"/>
              </w:rPr>
              <w:t>0m</w:t>
            </w:r>
            <w:r>
              <w:rPr>
                <w:rFonts w:hint="eastAsia" w:ascii="Times New Roman" w:hAnsi="Times New Roman" w:cs="宋体"/>
                <w:color w:val="auto"/>
                <w:vertAlign w:val="superscript"/>
              </w:rPr>
              <w:t>3</w:t>
            </w:r>
          </w:p>
        </w:tc>
        <w:tc>
          <w:tcPr>
            <w:tcW w:w="973" w:type="dxa"/>
            <w:gridSpan w:val="3"/>
            <w:shd w:val="clear" w:color="auto" w:fill="auto"/>
            <w:vAlign w:val="center"/>
          </w:tcPr>
          <w:p w14:paraId="197EB4F2">
            <w:pPr>
              <w:spacing w:line="260" w:lineRule="exact"/>
              <w:jc w:val="center"/>
              <w:rPr>
                <w:rFonts w:hint="eastAsia" w:ascii="Times New Roman" w:hAnsi="Times New Roman" w:cs="宋体"/>
                <w:color w:val="auto"/>
              </w:rPr>
            </w:pPr>
            <w:r>
              <w:rPr>
                <w:rFonts w:hint="eastAsia" w:ascii="Times New Roman" w:hAnsi="Times New Roman" w:cs="宋体"/>
                <w:color w:val="auto"/>
              </w:rPr>
              <w:t>车用</w:t>
            </w:r>
          </w:p>
        </w:tc>
        <w:tc>
          <w:tcPr>
            <w:tcW w:w="967" w:type="dxa"/>
            <w:gridSpan w:val="3"/>
            <w:vAlign w:val="center"/>
          </w:tcPr>
          <w:p w14:paraId="56D8FB21">
            <w:pPr>
              <w:spacing w:line="260" w:lineRule="exact"/>
              <w:jc w:val="center"/>
              <w:rPr>
                <w:rFonts w:ascii="Times New Roman" w:hAnsi="Times New Roman" w:cs="宋体"/>
                <w:color w:val="auto"/>
              </w:rPr>
            </w:pPr>
          </w:p>
        </w:tc>
        <w:tc>
          <w:tcPr>
            <w:tcW w:w="969" w:type="dxa"/>
            <w:gridSpan w:val="2"/>
            <w:vAlign w:val="center"/>
          </w:tcPr>
          <w:p w14:paraId="0F153FA9">
            <w:pPr>
              <w:spacing w:line="260" w:lineRule="exact"/>
              <w:jc w:val="center"/>
              <w:rPr>
                <w:rFonts w:ascii="Times New Roman" w:hAnsi="Times New Roman" w:cs="宋体"/>
                <w:color w:val="auto"/>
              </w:rPr>
            </w:pPr>
          </w:p>
        </w:tc>
        <w:tc>
          <w:tcPr>
            <w:tcW w:w="1331" w:type="dxa"/>
            <w:vAlign w:val="center"/>
          </w:tcPr>
          <w:p w14:paraId="154DA748">
            <w:pPr>
              <w:spacing w:line="260" w:lineRule="exact"/>
              <w:jc w:val="center"/>
              <w:rPr>
                <w:rFonts w:ascii="Times New Roman" w:hAnsi="Times New Roman" w:cs="宋体"/>
                <w:color w:val="auto"/>
              </w:rPr>
            </w:pPr>
          </w:p>
        </w:tc>
      </w:tr>
      <w:tr w14:paraId="6B00B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67" w:type="dxa"/>
            <w:vAlign w:val="center"/>
          </w:tcPr>
          <w:p w14:paraId="2CB0FD3B">
            <w:pPr>
              <w:spacing w:line="260" w:lineRule="exact"/>
              <w:jc w:val="center"/>
              <w:rPr>
                <w:rFonts w:ascii="Times New Roman" w:hAnsi="Times New Roman" w:cs="宋体"/>
                <w:color w:val="auto"/>
              </w:rPr>
            </w:pPr>
          </w:p>
        </w:tc>
        <w:tc>
          <w:tcPr>
            <w:tcW w:w="1154" w:type="dxa"/>
            <w:gridSpan w:val="2"/>
            <w:vAlign w:val="center"/>
          </w:tcPr>
          <w:p w14:paraId="1E8FE1ED">
            <w:pPr>
              <w:spacing w:line="260" w:lineRule="exact"/>
              <w:jc w:val="center"/>
              <w:rPr>
                <w:rFonts w:ascii="Times New Roman" w:hAnsi="Times New Roman" w:cs="宋体"/>
                <w:color w:val="auto"/>
              </w:rPr>
            </w:pPr>
          </w:p>
        </w:tc>
        <w:tc>
          <w:tcPr>
            <w:tcW w:w="786" w:type="dxa"/>
            <w:gridSpan w:val="2"/>
            <w:vAlign w:val="center"/>
          </w:tcPr>
          <w:p w14:paraId="33210FEB">
            <w:pPr>
              <w:spacing w:line="260" w:lineRule="exact"/>
              <w:jc w:val="center"/>
              <w:rPr>
                <w:rFonts w:ascii="Times New Roman" w:hAnsi="Times New Roman" w:cs="宋体"/>
                <w:color w:val="auto"/>
              </w:rPr>
            </w:pPr>
          </w:p>
        </w:tc>
        <w:tc>
          <w:tcPr>
            <w:tcW w:w="992" w:type="dxa"/>
            <w:gridSpan w:val="2"/>
            <w:shd w:val="clear" w:color="auto" w:fill="auto"/>
            <w:vAlign w:val="center"/>
          </w:tcPr>
          <w:p w14:paraId="4529544E">
            <w:pPr>
              <w:spacing w:line="260" w:lineRule="exact"/>
              <w:jc w:val="center"/>
              <w:rPr>
                <w:rFonts w:hint="eastAsia" w:ascii="Times New Roman" w:hAnsi="Times New Roman" w:cs="宋体"/>
                <w:color w:val="auto"/>
              </w:rPr>
            </w:pPr>
            <w:r>
              <w:rPr>
                <w:rFonts w:hint="eastAsia" w:ascii="Times New Roman" w:hAnsi="Times New Roman" w:cs="宋体"/>
                <w:color w:val="auto"/>
              </w:rPr>
              <w:t>9</w:t>
            </w:r>
            <w:r>
              <w:rPr>
                <w:rFonts w:hint="eastAsia" w:ascii="Times New Roman" w:hAnsi="Times New Roman" w:cs="宋体"/>
                <w:color w:val="auto"/>
                <w:lang w:val="en-US" w:eastAsia="zh-CN"/>
              </w:rPr>
              <w:t>5</w:t>
            </w:r>
            <w:r>
              <w:rPr>
                <w:rFonts w:hint="eastAsia" w:ascii="Times New Roman" w:hAnsi="Times New Roman" w:cs="宋体"/>
                <w:color w:val="auto"/>
              </w:rPr>
              <w:t>#汽油</w:t>
            </w:r>
          </w:p>
        </w:tc>
        <w:tc>
          <w:tcPr>
            <w:tcW w:w="1080" w:type="dxa"/>
            <w:gridSpan w:val="2"/>
            <w:shd w:val="clear" w:color="auto" w:fill="auto"/>
            <w:vAlign w:val="center"/>
          </w:tcPr>
          <w:p w14:paraId="0FD1F930">
            <w:pPr>
              <w:spacing w:line="260" w:lineRule="exact"/>
              <w:jc w:val="center"/>
              <w:rPr>
                <w:rFonts w:hint="eastAsia" w:ascii="Times New Roman" w:hAnsi="Times New Roman" w:cs="宋体"/>
                <w:color w:val="auto"/>
              </w:rPr>
            </w:pPr>
            <w:r>
              <w:rPr>
                <w:rFonts w:hint="eastAsia" w:ascii="Times New Roman" w:hAnsi="Times New Roman" w:cs="宋体"/>
                <w:color w:val="auto"/>
              </w:rPr>
              <w:t>30m</w:t>
            </w:r>
            <w:r>
              <w:rPr>
                <w:rFonts w:hint="eastAsia" w:ascii="Times New Roman" w:hAnsi="Times New Roman" w:cs="宋体"/>
                <w:color w:val="auto"/>
                <w:vertAlign w:val="superscript"/>
              </w:rPr>
              <w:t>3</w:t>
            </w:r>
          </w:p>
        </w:tc>
        <w:tc>
          <w:tcPr>
            <w:tcW w:w="973" w:type="dxa"/>
            <w:gridSpan w:val="3"/>
            <w:shd w:val="clear" w:color="auto" w:fill="auto"/>
            <w:vAlign w:val="center"/>
          </w:tcPr>
          <w:p w14:paraId="63269DB9">
            <w:pPr>
              <w:spacing w:line="260" w:lineRule="exact"/>
              <w:jc w:val="center"/>
              <w:rPr>
                <w:rFonts w:hint="eastAsia" w:ascii="Times New Roman" w:hAnsi="Times New Roman" w:cs="宋体"/>
                <w:color w:val="auto"/>
              </w:rPr>
            </w:pPr>
            <w:r>
              <w:rPr>
                <w:rFonts w:hint="eastAsia" w:ascii="Times New Roman" w:hAnsi="Times New Roman" w:cs="宋体"/>
                <w:color w:val="auto"/>
              </w:rPr>
              <w:t>车用</w:t>
            </w:r>
          </w:p>
        </w:tc>
        <w:tc>
          <w:tcPr>
            <w:tcW w:w="967" w:type="dxa"/>
            <w:gridSpan w:val="3"/>
            <w:vAlign w:val="center"/>
          </w:tcPr>
          <w:p w14:paraId="5BA8F62C">
            <w:pPr>
              <w:spacing w:line="260" w:lineRule="exact"/>
              <w:jc w:val="center"/>
              <w:rPr>
                <w:rFonts w:ascii="Times New Roman" w:hAnsi="Times New Roman" w:cs="宋体"/>
                <w:color w:val="auto"/>
              </w:rPr>
            </w:pPr>
          </w:p>
        </w:tc>
        <w:tc>
          <w:tcPr>
            <w:tcW w:w="969" w:type="dxa"/>
            <w:gridSpan w:val="2"/>
            <w:vAlign w:val="center"/>
          </w:tcPr>
          <w:p w14:paraId="552403A1">
            <w:pPr>
              <w:spacing w:line="260" w:lineRule="exact"/>
              <w:jc w:val="center"/>
              <w:rPr>
                <w:rFonts w:ascii="Times New Roman" w:hAnsi="Times New Roman" w:cs="宋体"/>
                <w:color w:val="auto"/>
              </w:rPr>
            </w:pPr>
          </w:p>
        </w:tc>
        <w:tc>
          <w:tcPr>
            <w:tcW w:w="1331" w:type="dxa"/>
            <w:vAlign w:val="center"/>
          </w:tcPr>
          <w:p w14:paraId="01E739E5">
            <w:pPr>
              <w:spacing w:line="260" w:lineRule="exact"/>
              <w:jc w:val="center"/>
              <w:rPr>
                <w:rFonts w:ascii="Times New Roman" w:hAnsi="Times New Roman" w:cs="宋体"/>
                <w:color w:val="auto"/>
              </w:rPr>
            </w:pPr>
          </w:p>
        </w:tc>
      </w:tr>
      <w:tr w14:paraId="7191E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121" w:type="dxa"/>
            <w:gridSpan w:val="3"/>
            <w:vAlign w:val="center"/>
          </w:tcPr>
          <w:p w14:paraId="06F83275">
            <w:pPr>
              <w:spacing w:line="260" w:lineRule="exact"/>
              <w:jc w:val="center"/>
              <w:rPr>
                <w:rFonts w:ascii="Times New Roman" w:hAnsi="Times New Roman" w:cs="宋体"/>
                <w:color w:val="auto"/>
              </w:rPr>
            </w:pPr>
            <w:r>
              <w:rPr>
                <w:rFonts w:hint="eastAsia" w:ascii="Times New Roman" w:hAnsi="Times New Roman" w:cs="宋体"/>
                <w:color w:val="auto"/>
              </w:rPr>
              <w:t>申请经营方式</w:t>
            </w:r>
          </w:p>
        </w:tc>
        <w:tc>
          <w:tcPr>
            <w:tcW w:w="7098" w:type="dxa"/>
            <w:gridSpan w:val="15"/>
            <w:vAlign w:val="center"/>
          </w:tcPr>
          <w:p w14:paraId="70F6F4E5">
            <w:pPr>
              <w:spacing w:line="260" w:lineRule="exact"/>
              <w:rPr>
                <w:rFonts w:ascii="Times New Roman" w:hAnsi="Times New Roman" w:cs="宋体"/>
                <w:color w:val="auto"/>
              </w:rPr>
            </w:pPr>
            <w:r>
              <w:rPr>
                <w:rFonts w:hint="eastAsia" w:ascii="Times New Roman" w:hAnsi="Times New Roman" w:cs="宋体"/>
                <w:color w:val="auto"/>
              </w:rPr>
              <w:t xml:space="preserve"> 零售</w:t>
            </w:r>
            <w:r>
              <w:rPr>
                <w:rFonts w:hint="eastAsia" w:ascii="Times New Roman" w:hAnsi="Times New Roman" w:cs="宋体"/>
                <w:color w:val="auto"/>
              </w:rPr>
              <w:sym w:font="Wingdings 2" w:char="0052"/>
            </w:r>
            <w:r>
              <w:rPr>
                <w:rFonts w:hint="eastAsia" w:ascii="Times New Roman" w:hAnsi="Times New Roman" w:cs="宋体"/>
                <w:color w:val="auto"/>
              </w:rPr>
              <w:t xml:space="preserve"> </w:t>
            </w:r>
          </w:p>
        </w:tc>
      </w:tr>
      <w:tr w14:paraId="41EE5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121" w:type="dxa"/>
            <w:gridSpan w:val="3"/>
            <w:vAlign w:val="center"/>
          </w:tcPr>
          <w:p w14:paraId="7075C3AE">
            <w:pPr>
              <w:spacing w:line="260" w:lineRule="exact"/>
              <w:jc w:val="center"/>
              <w:rPr>
                <w:rFonts w:ascii="Times New Roman" w:hAnsi="Times New Roman" w:cs="宋体"/>
                <w:color w:val="auto"/>
              </w:rPr>
            </w:pPr>
            <w:r>
              <w:rPr>
                <w:rFonts w:hint="eastAsia" w:ascii="Times New Roman" w:hAnsi="Times New Roman" w:cs="宋体"/>
                <w:color w:val="auto"/>
              </w:rPr>
              <w:t>诊断及整改设计单位</w:t>
            </w:r>
          </w:p>
        </w:tc>
        <w:tc>
          <w:tcPr>
            <w:tcW w:w="7098" w:type="dxa"/>
            <w:gridSpan w:val="15"/>
            <w:vAlign w:val="center"/>
          </w:tcPr>
          <w:p w14:paraId="02888BEF">
            <w:pPr>
              <w:spacing w:line="260" w:lineRule="exact"/>
              <w:rPr>
                <w:rFonts w:ascii="Times New Roman" w:hAnsi="Times New Roman" w:cs="宋体"/>
                <w:color w:val="auto"/>
              </w:rPr>
            </w:pPr>
            <w:r>
              <w:rPr>
                <w:rFonts w:hint="eastAsia" w:ascii="Times New Roman" w:hAnsi="Times New Roman" w:cs="宋体"/>
                <w:color w:val="auto"/>
              </w:rPr>
              <w:t>海湾工程有限公司，具有化工石化医药行业（化工工程）专业甲级资质</w:t>
            </w:r>
          </w:p>
        </w:tc>
      </w:tr>
    </w:tbl>
    <w:p w14:paraId="0E00C8FF">
      <w:pPr>
        <w:pStyle w:val="4"/>
        <w:spacing w:line="360" w:lineRule="auto"/>
        <w:rPr>
          <w:rFonts w:cs="Times New Roman"/>
          <w:color w:val="auto"/>
          <w:sz w:val="28"/>
          <w:szCs w:val="28"/>
        </w:rPr>
      </w:pPr>
      <w:bookmarkStart w:id="27" w:name="_Toc26252"/>
      <w:r>
        <w:rPr>
          <w:color w:val="auto"/>
          <w:sz w:val="28"/>
          <w:szCs w:val="28"/>
        </w:rPr>
        <w:t>2.1.3</w:t>
      </w:r>
      <w:r>
        <w:rPr>
          <w:rFonts w:hint="eastAsia" w:cs="宋体"/>
          <w:color w:val="auto"/>
          <w:sz w:val="28"/>
          <w:szCs w:val="28"/>
        </w:rPr>
        <w:t>安全设施符合性诊断及整改设计情况</w:t>
      </w:r>
    </w:p>
    <w:p w14:paraId="11B49A81">
      <w:pPr>
        <w:spacing w:line="360" w:lineRule="auto"/>
        <w:ind w:firstLine="536" w:firstLineChars="200"/>
        <w:jc w:val="left"/>
        <w:rPr>
          <w:rFonts w:ascii="Times New Roman" w:hAnsi="Times New Roman" w:cs="宋体"/>
          <w:color w:val="auto"/>
          <w:sz w:val="28"/>
          <w:szCs w:val="28"/>
        </w:rPr>
      </w:pPr>
      <w:r>
        <w:rPr>
          <w:rFonts w:hint="eastAsia" w:ascii="Times New Roman" w:hAnsi="Times New Roman" w:cs="宋体"/>
          <w:color w:val="auto"/>
          <w:spacing w:val="-6"/>
          <w:sz w:val="28"/>
          <w:szCs w:val="28"/>
        </w:rPr>
        <w:t>加油站经营多年，部分设施与原设计或与现状存在出入，有的资料也缺失，加油站为了加强安全管理，隐患排查，补齐资料，于202</w:t>
      </w:r>
      <w:r>
        <w:rPr>
          <w:rFonts w:hint="eastAsia" w:ascii="Times New Roman" w:hAnsi="Times New Roman" w:cs="宋体"/>
          <w:color w:val="auto"/>
          <w:spacing w:val="-6"/>
          <w:sz w:val="28"/>
          <w:szCs w:val="28"/>
          <w:lang w:val="en-US" w:eastAsia="zh-CN"/>
        </w:rPr>
        <w:t>6</w:t>
      </w:r>
      <w:r>
        <w:rPr>
          <w:rFonts w:hint="eastAsia" w:ascii="Times New Roman" w:hAnsi="Times New Roman" w:cs="宋体"/>
          <w:color w:val="auto"/>
          <w:spacing w:val="-6"/>
          <w:sz w:val="28"/>
          <w:szCs w:val="28"/>
        </w:rPr>
        <w:t>年</w:t>
      </w:r>
      <w:r>
        <w:rPr>
          <w:rFonts w:hint="eastAsia" w:ascii="Times New Roman" w:hAnsi="Times New Roman" w:cs="宋体"/>
          <w:color w:val="auto"/>
          <w:spacing w:val="-6"/>
          <w:sz w:val="28"/>
          <w:szCs w:val="28"/>
          <w:lang w:val="en-US" w:eastAsia="zh-CN"/>
        </w:rPr>
        <w:t>1</w:t>
      </w:r>
      <w:r>
        <w:rPr>
          <w:rFonts w:hint="eastAsia" w:ascii="Times New Roman" w:hAnsi="Times New Roman" w:cs="宋体"/>
          <w:color w:val="auto"/>
          <w:spacing w:val="-6"/>
          <w:sz w:val="28"/>
          <w:szCs w:val="28"/>
        </w:rPr>
        <w:t>月委托海湾工程有限公司出具了《中国石化销售股份有限公司江西赣州</w:t>
      </w:r>
      <w:r>
        <w:rPr>
          <w:rFonts w:hint="eastAsia" w:ascii="Times New Roman" w:hAnsi="Times New Roman" w:cs="宋体"/>
          <w:color w:val="auto"/>
          <w:spacing w:val="-6"/>
          <w:sz w:val="28"/>
          <w:szCs w:val="28"/>
          <w:lang w:eastAsia="zh-CN"/>
        </w:rPr>
        <w:t>兴国石油分公司江背加油站</w:t>
      </w:r>
      <w:r>
        <w:rPr>
          <w:rFonts w:hint="eastAsia" w:ascii="Times New Roman" w:hAnsi="Times New Roman" w:cs="宋体"/>
          <w:color w:val="auto"/>
          <w:spacing w:val="-6"/>
          <w:sz w:val="28"/>
          <w:szCs w:val="28"/>
        </w:rPr>
        <w:t>安全设施符合性诊断及整改设计》，并通过专家审查。</w:t>
      </w:r>
    </w:p>
    <w:p w14:paraId="651FAA7E">
      <w:pPr>
        <w:pStyle w:val="33"/>
        <w:rPr>
          <w:rFonts w:ascii="Times New Roman"/>
          <w:color w:val="auto"/>
          <w:sz w:val="28"/>
          <w:szCs w:val="28"/>
        </w:rPr>
      </w:pPr>
      <w:r>
        <w:rPr>
          <w:rFonts w:hint="eastAsia" w:ascii="Times New Roman"/>
          <w:color w:val="auto"/>
          <w:sz w:val="28"/>
          <w:szCs w:val="28"/>
        </w:rPr>
        <w:t>海湾工程有限公司针对加油站的总图、建构结构、工艺管道、电气仪表、消防等专业分别进行了诊断，并根据加油站的实际情况补充了对应的图纸，如总平面布置图、工艺流程图、消防器材布置图、视频监控、爆炸危险区域划分图、防雷接地图等图纸。</w:t>
      </w:r>
    </w:p>
    <w:p w14:paraId="68E66E12">
      <w:pPr>
        <w:pStyle w:val="33"/>
        <w:tabs>
          <w:tab w:val="center" w:pos="4536"/>
        </w:tabs>
        <w:rPr>
          <w:rFonts w:ascii="Times New Roman" w:cs="Times New Roman"/>
          <w:color w:val="auto"/>
          <w:sz w:val="28"/>
          <w:szCs w:val="28"/>
        </w:rPr>
      </w:pPr>
      <w:r>
        <w:rPr>
          <w:rFonts w:hint="eastAsia" w:ascii="Times New Roman"/>
          <w:color w:val="auto"/>
          <w:sz w:val="28"/>
          <w:szCs w:val="28"/>
        </w:rPr>
        <w:t>《安全设施符合性诊断及整改设计》中针对各专业提出了现场整改建议，加油站针对现场整改建议进行了整改，整改后加油站现场与设计一致，详见5.1</w:t>
      </w:r>
      <w:r>
        <w:rPr>
          <w:rFonts w:hint="eastAsia" w:ascii="Times New Roman"/>
          <w:color w:val="auto"/>
          <w:sz w:val="28"/>
          <w:szCs w:val="28"/>
          <w:lang w:val="en-US" w:eastAsia="zh-CN"/>
        </w:rPr>
        <w:t>5</w:t>
      </w:r>
      <w:r>
        <w:rPr>
          <w:rFonts w:hint="eastAsia" w:ascii="Times New Roman"/>
          <w:color w:val="auto"/>
          <w:sz w:val="28"/>
          <w:szCs w:val="28"/>
        </w:rPr>
        <w:t>章节。</w:t>
      </w:r>
    </w:p>
    <w:p w14:paraId="2065EC61">
      <w:pPr>
        <w:spacing w:line="360" w:lineRule="auto"/>
        <w:outlineLvl w:val="1"/>
        <w:rPr>
          <w:rStyle w:val="36"/>
          <w:color w:val="auto"/>
        </w:rPr>
      </w:pPr>
      <w:bookmarkStart w:id="28" w:name="_Toc17186"/>
      <w:r>
        <w:rPr>
          <w:rStyle w:val="36"/>
          <w:color w:val="auto"/>
        </w:rPr>
        <w:t xml:space="preserve">2.2 </w:t>
      </w:r>
      <w:r>
        <w:rPr>
          <w:rStyle w:val="36"/>
          <w:rFonts w:hint="eastAsia" w:cs="宋体"/>
          <w:color w:val="auto"/>
        </w:rPr>
        <w:t>加油站概况</w:t>
      </w:r>
      <w:bookmarkEnd w:id="27"/>
      <w:bookmarkEnd w:id="28"/>
    </w:p>
    <w:p w14:paraId="38A5320F">
      <w:pPr>
        <w:pStyle w:val="4"/>
        <w:spacing w:line="360" w:lineRule="auto"/>
        <w:rPr>
          <w:rFonts w:cs="Times New Roman"/>
          <w:color w:val="auto"/>
        </w:rPr>
      </w:pPr>
      <w:bookmarkStart w:id="29" w:name="_Toc25412"/>
      <w:r>
        <w:rPr>
          <w:color w:val="auto"/>
        </w:rPr>
        <w:t>2.2.1</w:t>
      </w:r>
      <w:r>
        <w:rPr>
          <w:rFonts w:hint="eastAsia" w:cs="宋体"/>
          <w:color w:val="auto"/>
        </w:rPr>
        <w:t>周边环境</w:t>
      </w:r>
      <w:bookmarkEnd w:id="29"/>
    </w:p>
    <w:p w14:paraId="6085809E">
      <w:pPr>
        <w:spacing w:line="360" w:lineRule="auto"/>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加油站地处</w:t>
      </w:r>
      <w:r>
        <w:rPr>
          <w:rFonts w:hint="eastAsia" w:ascii="Times New Roman" w:hAnsi="Times New Roman" w:cs="Times New Roman"/>
          <w:color w:val="auto"/>
          <w:sz w:val="28"/>
          <w:szCs w:val="28"/>
          <w:lang w:eastAsia="zh-CN"/>
        </w:rPr>
        <w:t>兴国县江背镇兴前组</w:t>
      </w:r>
      <w:r>
        <w:rPr>
          <w:rFonts w:hint="eastAsia" w:ascii="Times New Roman" w:hAnsi="Times New Roman" w:cs="Times New Roman"/>
          <w:color w:val="auto"/>
          <w:sz w:val="28"/>
          <w:szCs w:val="28"/>
        </w:rPr>
        <w:t>。</w:t>
      </w:r>
    </w:p>
    <w:p w14:paraId="1E16E27D">
      <w:pPr>
        <w:spacing w:line="360" w:lineRule="auto"/>
        <w:ind w:firstLine="560" w:firstLineChars="200"/>
        <w:jc w:val="left"/>
        <w:rPr>
          <w:rFonts w:hint="eastAsia" w:ascii="Times New Roman" w:hAnsi="Times New Roman" w:cs="宋体"/>
          <w:color w:val="auto"/>
          <w:sz w:val="28"/>
          <w:szCs w:val="28"/>
          <w:lang w:eastAsia="zh-CN"/>
        </w:rPr>
      </w:pPr>
      <w:r>
        <w:rPr>
          <w:rFonts w:hint="eastAsia" w:ascii="Times New Roman" w:hAnsi="Times New Roman" w:cs="宋体"/>
          <w:color w:val="auto"/>
          <w:sz w:val="28"/>
          <w:szCs w:val="28"/>
          <w:lang w:eastAsia="zh-CN"/>
        </w:rPr>
        <w:t>加油站北侧临G319厦成线，加油站出入口与G319 厦成线连接，G319 厦成线对面为兴国县市场监督管理局（江背分局）（三类保护物）；</w:t>
      </w:r>
    </w:p>
    <w:p w14:paraId="0966367D">
      <w:pPr>
        <w:spacing w:line="360" w:lineRule="auto"/>
        <w:ind w:firstLine="560" w:firstLineChars="200"/>
        <w:jc w:val="left"/>
        <w:rPr>
          <w:rFonts w:hint="eastAsia" w:ascii="Times New Roman" w:hAnsi="Times New Roman" w:cs="宋体"/>
          <w:color w:val="auto"/>
          <w:sz w:val="28"/>
          <w:szCs w:val="28"/>
          <w:lang w:eastAsia="zh-CN"/>
        </w:rPr>
      </w:pPr>
      <w:r>
        <w:rPr>
          <w:rFonts w:hint="eastAsia" w:ascii="Times New Roman" w:hAnsi="Times New Roman" w:cs="宋体"/>
          <w:color w:val="auto"/>
          <w:sz w:val="28"/>
          <w:szCs w:val="28"/>
          <w:lang w:eastAsia="zh-CN"/>
        </w:rPr>
        <w:t>加油站西侧有民房（三类保护物）；</w:t>
      </w:r>
    </w:p>
    <w:p w14:paraId="6E156C1C">
      <w:pPr>
        <w:spacing w:line="360" w:lineRule="auto"/>
        <w:ind w:firstLine="560" w:firstLineChars="200"/>
        <w:jc w:val="left"/>
        <w:rPr>
          <w:rFonts w:hint="eastAsia" w:ascii="Times New Roman" w:hAnsi="Times New Roman" w:cs="宋体"/>
          <w:color w:val="auto"/>
          <w:sz w:val="28"/>
          <w:szCs w:val="28"/>
          <w:lang w:eastAsia="zh-CN"/>
        </w:rPr>
      </w:pPr>
      <w:r>
        <w:rPr>
          <w:rFonts w:hint="eastAsia" w:ascii="Times New Roman" w:hAnsi="Times New Roman" w:cs="宋体"/>
          <w:color w:val="auto"/>
          <w:sz w:val="28"/>
          <w:szCs w:val="28"/>
          <w:lang w:eastAsia="zh-CN"/>
        </w:rPr>
        <w:t>南侧为空地；</w:t>
      </w:r>
    </w:p>
    <w:p w14:paraId="56395E0D">
      <w:pPr>
        <w:spacing w:line="360" w:lineRule="auto"/>
        <w:ind w:firstLine="560" w:firstLineChars="200"/>
        <w:jc w:val="left"/>
        <w:rPr>
          <w:rFonts w:hint="eastAsia" w:ascii="Times New Roman" w:hAnsi="Times New Roman" w:cs="宋体"/>
          <w:color w:val="auto"/>
          <w:sz w:val="28"/>
          <w:szCs w:val="28"/>
          <w:lang w:eastAsia="zh-CN"/>
        </w:rPr>
      </w:pPr>
      <w:r>
        <w:rPr>
          <w:rFonts w:hint="eastAsia" w:ascii="Times New Roman" w:hAnsi="Times New Roman" w:cs="宋体"/>
          <w:color w:val="auto"/>
          <w:sz w:val="28"/>
          <w:szCs w:val="28"/>
          <w:lang w:eastAsia="zh-CN"/>
        </w:rPr>
        <w:t>东侧为立德路，路旁有架空电力线（有绝缘层，H=8m）。</w:t>
      </w:r>
    </w:p>
    <w:p w14:paraId="52ACB481">
      <w:pPr>
        <w:spacing w:line="360" w:lineRule="auto"/>
        <w:ind w:firstLine="560" w:firstLineChars="200"/>
        <w:jc w:val="left"/>
        <w:rPr>
          <w:rFonts w:ascii="Times New Roman" w:hAnsi="Times New Roman" w:cs="宋体"/>
          <w:color w:val="auto"/>
          <w:sz w:val="28"/>
          <w:szCs w:val="28"/>
        </w:rPr>
      </w:pPr>
      <w:r>
        <w:rPr>
          <w:rFonts w:hint="eastAsia" w:ascii="Times New Roman" w:hAnsi="Times New Roman" w:cs="宋体"/>
          <w:color w:val="auto"/>
          <w:sz w:val="28"/>
          <w:szCs w:val="28"/>
        </w:rPr>
        <w:t>根据提供的总平面布置图和现场实地勘查，加油站站区周围50m范围内无重要建（构）筑物，无自然保护、风景区等。</w:t>
      </w:r>
    </w:p>
    <w:p w14:paraId="3493477A">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该站油罐、加油机和通气管管口与站外建、构筑物防火距离见下表。</w:t>
      </w:r>
    </w:p>
    <w:p w14:paraId="05D4D61B">
      <w:pPr>
        <w:spacing w:line="240" w:lineRule="atLeast"/>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w:t>
      </w:r>
      <w:r>
        <w:rPr>
          <w:rFonts w:hint="eastAsia" w:ascii="Times New Roman" w:hAnsi="Times New Roman" w:cs="宋体"/>
          <w:color w:val="auto"/>
          <w:sz w:val="24"/>
          <w:szCs w:val="24"/>
        </w:rPr>
        <w:t>2.2-1</w:t>
      </w:r>
      <w:r>
        <w:rPr>
          <w:rFonts w:hint="eastAsia" w:ascii="Times New Roman" w:hAnsi="Times New Roman" w:cs="宋体"/>
          <w:color w:val="auto"/>
          <w:sz w:val="24"/>
          <w:szCs w:val="24"/>
          <w:lang w:val="zh-CN"/>
        </w:rPr>
        <w:t xml:space="preserve"> 油罐、加油机和通气管管口与站外</w:t>
      </w:r>
      <w:r>
        <w:rPr>
          <w:rFonts w:hint="eastAsia" w:ascii="Times New Roman" w:hAnsi="Times New Roman" w:cs="宋体"/>
          <w:color w:val="auto"/>
          <w:sz w:val="24"/>
          <w:szCs w:val="24"/>
        </w:rPr>
        <w:t>建</w:t>
      </w:r>
      <w:r>
        <w:rPr>
          <w:rFonts w:hint="eastAsia" w:ascii="Times New Roman" w:hAnsi="Times New Roman" w:cs="宋体"/>
          <w:color w:val="auto"/>
          <w:sz w:val="24"/>
          <w:szCs w:val="24"/>
          <w:lang w:val="zh-CN"/>
        </w:rPr>
        <w:t>、构筑物实际距离（m）</w:t>
      </w:r>
    </w:p>
    <w:tbl>
      <w:tblPr>
        <w:tblStyle w:val="25"/>
        <w:tblW w:w="95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33"/>
        <w:gridCol w:w="1331"/>
        <w:gridCol w:w="4108"/>
        <w:gridCol w:w="1766"/>
      </w:tblGrid>
      <w:tr w14:paraId="46150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333" w:type="dxa"/>
            <w:vAlign w:val="center"/>
          </w:tcPr>
          <w:p w14:paraId="3193B748">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lang w:val="zh-CN"/>
              </w:rPr>
              <w:t>工艺装置</w:t>
            </w:r>
            <w:r>
              <w:rPr>
                <w:rFonts w:ascii="Times New Roman" w:hAnsi="Times New Roman" w:cs="Times New Roman"/>
                <w:b/>
                <w:bCs/>
                <w:color w:val="auto"/>
                <w:szCs w:val="24"/>
              </w:rPr>
              <w:t>名称</w:t>
            </w:r>
          </w:p>
        </w:tc>
        <w:tc>
          <w:tcPr>
            <w:tcW w:w="1331" w:type="dxa"/>
            <w:vAlign w:val="center"/>
          </w:tcPr>
          <w:p w14:paraId="451C56A8">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相对位置</w:t>
            </w:r>
          </w:p>
        </w:tc>
        <w:tc>
          <w:tcPr>
            <w:tcW w:w="4108" w:type="dxa"/>
            <w:vAlign w:val="center"/>
          </w:tcPr>
          <w:p w14:paraId="2DAFAE0E">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建（构）筑物名称</w:t>
            </w:r>
          </w:p>
        </w:tc>
        <w:tc>
          <w:tcPr>
            <w:tcW w:w="1766" w:type="dxa"/>
            <w:vAlign w:val="center"/>
          </w:tcPr>
          <w:p w14:paraId="79A52273">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防火间距（m）</w:t>
            </w:r>
          </w:p>
        </w:tc>
      </w:tr>
      <w:tr w14:paraId="3A147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restart"/>
            <w:vAlign w:val="center"/>
          </w:tcPr>
          <w:p w14:paraId="3D12FF23">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汽油/柴油埋地油罐</w:t>
            </w:r>
          </w:p>
        </w:tc>
        <w:tc>
          <w:tcPr>
            <w:tcW w:w="1331" w:type="dxa"/>
            <w:shd w:val="clear" w:color="auto" w:fill="auto"/>
            <w:vAlign w:val="center"/>
          </w:tcPr>
          <w:p w14:paraId="29F5502D">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北侧</w:t>
            </w:r>
          </w:p>
        </w:tc>
        <w:tc>
          <w:tcPr>
            <w:tcW w:w="4108" w:type="dxa"/>
            <w:shd w:val="clear" w:color="auto" w:fill="auto"/>
            <w:vAlign w:val="center"/>
          </w:tcPr>
          <w:p w14:paraId="6A6C6792">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G319厦成线</w:t>
            </w:r>
          </w:p>
        </w:tc>
        <w:tc>
          <w:tcPr>
            <w:tcW w:w="1766" w:type="dxa"/>
            <w:vAlign w:val="center"/>
          </w:tcPr>
          <w:p w14:paraId="47E1B6F5">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12.2/10.5</w:t>
            </w:r>
          </w:p>
        </w:tc>
      </w:tr>
      <w:tr w14:paraId="5E602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48212FAA">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665B0E06">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北侧</w:t>
            </w:r>
          </w:p>
        </w:tc>
        <w:tc>
          <w:tcPr>
            <w:tcW w:w="4108" w:type="dxa"/>
            <w:shd w:val="clear" w:color="auto" w:fill="auto"/>
            <w:vAlign w:val="center"/>
          </w:tcPr>
          <w:p w14:paraId="21B79107">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兴国县市场监督管理局（江背分局）（三类保护物）</w:t>
            </w:r>
          </w:p>
        </w:tc>
        <w:tc>
          <w:tcPr>
            <w:tcW w:w="1766" w:type="dxa"/>
            <w:vAlign w:val="center"/>
          </w:tcPr>
          <w:p w14:paraId="06E66CEB">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36.2/35.7</w:t>
            </w:r>
          </w:p>
        </w:tc>
      </w:tr>
      <w:tr w14:paraId="45636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02BD73F0">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6D0C8FD4">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西侧</w:t>
            </w:r>
          </w:p>
        </w:tc>
        <w:tc>
          <w:tcPr>
            <w:tcW w:w="4108" w:type="dxa"/>
            <w:shd w:val="clear" w:color="auto" w:fill="auto"/>
            <w:vAlign w:val="center"/>
          </w:tcPr>
          <w:p w14:paraId="3492C104">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民房（三类保护物）</w:t>
            </w:r>
          </w:p>
        </w:tc>
        <w:tc>
          <w:tcPr>
            <w:tcW w:w="1766" w:type="dxa"/>
            <w:vAlign w:val="center"/>
          </w:tcPr>
          <w:p w14:paraId="4D7C2EC7">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27.5/32.8</w:t>
            </w:r>
          </w:p>
        </w:tc>
      </w:tr>
      <w:tr w14:paraId="19A81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02463B5F">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5C86D44A">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东侧</w:t>
            </w:r>
          </w:p>
        </w:tc>
        <w:tc>
          <w:tcPr>
            <w:tcW w:w="4108" w:type="dxa"/>
            <w:shd w:val="clear" w:color="auto" w:fill="auto"/>
            <w:vAlign w:val="center"/>
          </w:tcPr>
          <w:p w14:paraId="6AE9C414">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立德路</w:t>
            </w:r>
          </w:p>
        </w:tc>
        <w:tc>
          <w:tcPr>
            <w:tcW w:w="1766" w:type="dxa"/>
            <w:vAlign w:val="center"/>
          </w:tcPr>
          <w:p w14:paraId="0B8CB9FD">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13.0/10.4</w:t>
            </w:r>
          </w:p>
        </w:tc>
      </w:tr>
      <w:tr w14:paraId="567AF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4BCAB829">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784A9943">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东侧</w:t>
            </w:r>
          </w:p>
        </w:tc>
        <w:tc>
          <w:tcPr>
            <w:tcW w:w="4108" w:type="dxa"/>
            <w:shd w:val="clear" w:color="auto" w:fill="auto"/>
            <w:vAlign w:val="center"/>
          </w:tcPr>
          <w:p w14:paraId="3667D163">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架空电力线（有绝缘层，H=8m）</w:t>
            </w:r>
          </w:p>
        </w:tc>
        <w:tc>
          <w:tcPr>
            <w:tcW w:w="1766" w:type="dxa"/>
            <w:vAlign w:val="center"/>
          </w:tcPr>
          <w:p w14:paraId="4692F152">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33.1/30.1</w:t>
            </w:r>
          </w:p>
        </w:tc>
      </w:tr>
      <w:tr w14:paraId="537EA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restart"/>
            <w:vAlign w:val="center"/>
          </w:tcPr>
          <w:p w14:paraId="53D2D5DB">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汽油/柴油通气管</w:t>
            </w:r>
          </w:p>
        </w:tc>
        <w:tc>
          <w:tcPr>
            <w:tcW w:w="1331" w:type="dxa"/>
            <w:shd w:val="clear" w:color="auto" w:fill="auto"/>
            <w:vAlign w:val="center"/>
          </w:tcPr>
          <w:p w14:paraId="41BEB26C">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北侧</w:t>
            </w:r>
          </w:p>
        </w:tc>
        <w:tc>
          <w:tcPr>
            <w:tcW w:w="4108" w:type="dxa"/>
            <w:shd w:val="clear" w:color="auto" w:fill="auto"/>
            <w:vAlign w:val="center"/>
          </w:tcPr>
          <w:p w14:paraId="579F926E">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G319厦成线</w:t>
            </w:r>
          </w:p>
        </w:tc>
        <w:tc>
          <w:tcPr>
            <w:tcW w:w="1766" w:type="dxa"/>
            <w:vAlign w:val="center"/>
          </w:tcPr>
          <w:p w14:paraId="7A83C169">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12.0/12.0</w:t>
            </w:r>
          </w:p>
        </w:tc>
      </w:tr>
      <w:tr w14:paraId="5F808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014E808B">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0B70D19F">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北侧</w:t>
            </w:r>
          </w:p>
        </w:tc>
        <w:tc>
          <w:tcPr>
            <w:tcW w:w="4108" w:type="dxa"/>
            <w:shd w:val="clear" w:color="auto" w:fill="auto"/>
            <w:vAlign w:val="center"/>
          </w:tcPr>
          <w:p w14:paraId="2BBA18E2">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兴国县市场监督管理局（江背分局）（三类保护物）</w:t>
            </w:r>
          </w:p>
        </w:tc>
        <w:tc>
          <w:tcPr>
            <w:tcW w:w="1766" w:type="dxa"/>
            <w:vAlign w:val="center"/>
          </w:tcPr>
          <w:p w14:paraId="6603C8F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33.3/33.3</w:t>
            </w:r>
          </w:p>
        </w:tc>
      </w:tr>
      <w:tr w14:paraId="75D98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33" w:type="dxa"/>
            <w:vMerge w:val="continue"/>
            <w:vAlign w:val="center"/>
          </w:tcPr>
          <w:p w14:paraId="6BAE1339">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6D95AE19">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西侧</w:t>
            </w:r>
          </w:p>
        </w:tc>
        <w:tc>
          <w:tcPr>
            <w:tcW w:w="4108" w:type="dxa"/>
            <w:shd w:val="clear" w:color="auto" w:fill="auto"/>
            <w:vAlign w:val="center"/>
          </w:tcPr>
          <w:p w14:paraId="0BF903B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民房（三类保护物）</w:t>
            </w:r>
          </w:p>
        </w:tc>
        <w:tc>
          <w:tcPr>
            <w:tcW w:w="1766" w:type="dxa"/>
            <w:vAlign w:val="center"/>
          </w:tcPr>
          <w:p w14:paraId="1142A22D">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21.2/21.2</w:t>
            </w:r>
          </w:p>
        </w:tc>
      </w:tr>
      <w:tr w14:paraId="0E442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33" w:type="dxa"/>
            <w:vMerge w:val="continue"/>
            <w:vAlign w:val="center"/>
          </w:tcPr>
          <w:p w14:paraId="5155372B">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683A4C5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东侧</w:t>
            </w:r>
          </w:p>
        </w:tc>
        <w:tc>
          <w:tcPr>
            <w:tcW w:w="4108" w:type="dxa"/>
            <w:shd w:val="clear" w:color="auto" w:fill="auto"/>
            <w:vAlign w:val="center"/>
          </w:tcPr>
          <w:p w14:paraId="417BD428">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立德路</w:t>
            </w:r>
          </w:p>
        </w:tc>
        <w:tc>
          <w:tcPr>
            <w:tcW w:w="1766" w:type="dxa"/>
            <w:vAlign w:val="center"/>
          </w:tcPr>
          <w:p w14:paraId="0959341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24.8/24.8</w:t>
            </w:r>
          </w:p>
        </w:tc>
      </w:tr>
      <w:tr w14:paraId="33BF8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33" w:type="dxa"/>
            <w:vMerge w:val="continue"/>
            <w:vAlign w:val="center"/>
          </w:tcPr>
          <w:p w14:paraId="1D409610">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149AB111">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东侧</w:t>
            </w:r>
          </w:p>
        </w:tc>
        <w:tc>
          <w:tcPr>
            <w:tcW w:w="4108" w:type="dxa"/>
            <w:shd w:val="clear" w:color="auto" w:fill="auto"/>
            <w:vAlign w:val="center"/>
          </w:tcPr>
          <w:p w14:paraId="2843946B">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架空电力线（有绝缘层，H=8m）</w:t>
            </w:r>
          </w:p>
        </w:tc>
        <w:tc>
          <w:tcPr>
            <w:tcW w:w="1766" w:type="dxa"/>
            <w:vAlign w:val="center"/>
          </w:tcPr>
          <w:p w14:paraId="6D7233B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44.0/44.0</w:t>
            </w:r>
          </w:p>
        </w:tc>
      </w:tr>
      <w:tr w14:paraId="2FFB3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restart"/>
            <w:vAlign w:val="center"/>
          </w:tcPr>
          <w:p w14:paraId="6C447542">
            <w:pPr>
              <w:spacing w:line="240" w:lineRule="exact"/>
              <w:jc w:val="center"/>
              <w:rPr>
                <w:rFonts w:ascii="Times New Roman" w:hAnsi="Times New Roman" w:cs="Times New Roman"/>
                <w:bCs/>
                <w:color w:val="auto"/>
                <w:szCs w:val="24"/>
              </w:rPr>
            </w:pPr>
            <w:r>
              <w:rPr>
                <w:rFonts w:ascii="Times New Roman" w:hAnsi="Times New Roman" w:cs="Times New Roman"/>
                <w:color w:val="auto"/>
                <w:szCs w:val="24"/>
                <w:lang w:val="zh-CN"/>
              </w:rPr>
              <w:t>汽油</w:t>
            </w:r>
            <w:r>
              <w:rPr>
                <w:rFonts w:ascii="Times New Roman" w:hAnsi="Times New Roman" w:cs="Times New Roman"/>
                <w:color w:val="auto"/>
                <w:szCs w:val="24"/>
              </w:rPr>
              <w:t>/柴油</w:t>
            </w:r>
            <w:r>
              <w:rPr>
                <w:rFonts w:ascii="Times New Roman" w:hAnsi="Times New Roman" w:cs="Times New Roman"/>
                <w:color w:val="auto"/>
                <w:szCs w:val="24"/>
                <w:lang w:val="zh-CN"/>
              </w:rPr>
              <w:t>加油机</w:t>
            </w:r>
          </w:p>
        </w:tc>
        <w:tc>
          <w:tcPr>
            <w:tcW w:w="1331" w:type="dxa"/>
            <w:shd w:val="clear" w:color="auto" w:fill="auto"/>
            <w:vAlign w:val="center"/>
          </w:tcPr>
          <w:p w14:paraId="0B03ADE3">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北侧</w:t>
            </w:r>
          </w:p>
        </w:tc>
        <w:tc>
          <w:tcPr>
            <w:tcW w:w="4108" w:type="dxa"/>
            <w:shd w:val="clear" w:color="auto" w:fill="auto"/>
            <w:vAlign w:val="center"/>
          </w:tcPr>
          <w:p w14:paraId="7E73B51B">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G319厦成线</w:t>
            </w:r>
          </w:p>
        </w:tc>
        <w:tc>
          <w:tcPr>
            <w:tcW w:w="1766" w:type="dxa"/>
            <w:vAlign w:val="center"/>
          </w:tcPr>
          <w:p w14:paraId="035C15A4">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12.0/12.0</w:t>
            </w:r>
          </w:p>
        </w:tc>
      </w:tr>
      <w:tr w14:paraId="74C50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55AA8D61">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1A7E2FB3">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北侧</w:t>
            </w:r>
          </w:p>
        </w:tc>
        <w:tc>
          <w:tcPr>
            <w:tcW w:w="4108" w:type="dxa"/>
            <w:shd w:val="clear" w:color="auto" w:fill="auto"/>
            <w:vAlign w:val="center"/>
          </w:tcPr>
          <w:p w14:paraId="48F2012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兴国县市场监督管理局（江背分局）（三类保护物）</w:t>
            </w:r>
          </w:p>
        </w:tc>
        <w:tc>
          <w:tcPr>
            <w:tcW w:w="1766" w:type="dxa"/>
            <w:vAlign w:val="center"/>
          </w:tcPr>
          <w:p w14:paraId="7AE49967">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33.0/33.0</w:t>
            </w:r>
          </w:p>
        </w:tc>
      </w:tr>
      <w:tr w14:paraId="4B768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67D66688">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33E49285">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西侧</w:t>
            </w:r>
          </w:p>
        </w:tc>
        <w:tc>
          <w:tcPr>
            <w:tcW w:w="4108" w:type="dxa"/>
            <w:shd w:val="clear" w:color="auto" w:fill="auto"/>
            <w:vAlign w:val="center"/>
          </w:tcPr>
          <w:p w14:paraId="5D45A3C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民房（三类保护物）</w:t>
            </w:r>
          </w:p>
        </w:tc>
        <w:tc>
          <w:tcPr>
            <w:tcW w:w="1766" w:type="dxa"/>
            <w:vAlign w:val="center"/>
          </w:tcPr>
          <w:p w14:paraId="799DDE2A">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14.1/19.3</w:t>
            </w:r>
          </w:p>
        </w:tc>
      </w:tr>
      <w:tr w14:paraId="0618B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0682E843">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4D4BE1C8">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东侧</w:t>
            </w:r>
          </w:p>
        </w:tc>
        <w:tc>
          <w:tcPr>
            <w:tcW w:w="4108" w:type="dxa"/>
            <w:shd w:val="clear" w:color="auto" w:fill="auto"/>
            <w:vAlign w:val="center"/>
          </w:tcPr>
          <w:p w14:paraId="280A22EA">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立德路</w:t>
            </w:r>
          </w:p>
        </w:tc>
        <w:tc>
          <w:tcPr>
            <w:tcW w:w="1766" w:type="dxa"/>
            <w:vAlign w:val="center"/>
          </w:tcPr>
          <w:p w14:paraId="2F550878">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27.1/27.1</w:t>
            </w:r>
          </w:p>
        </w:tc>
      </w:tr>
      <w:tr w14:paraId="0D0C4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0F38D9BB">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178F22A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东侧</w:t>
            </w:r>
          </w:p>
        </w:tc>
        <w:tc>
          <w:tcPr>
            <w:tcW w:w="4108" w:type="dxa"/>
            <w:shd w:val="clear" w:color="auto" w:fill="auto"/>
            <w:vAlign w:val="center"/>
          </w:tcPr>
          <w:p w14:paraId="684EB990">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架空电力线（有绝缘层，H=8m）</w:t>
            </w:r>
          </w:p>
        </w:tc>
        <w:tc>
          <w:tcPr>
            <w:tcW w:w="1766" w:type="dxa"/>
            <w:vAlign w:val="center"/>
          </w:tcPr>
          <w:p w14:paraId="0912A8B2">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51.6/46.4</w:t>
            </w:r>
          </w:p>
        </w:tc>
      </w:tr>
    </w:tbl>
    <w:p w14:paraId="0FB26A44">
      <w:pPr>
        <w:pStyle w:val="4"/>
        <w:spacing w:line="360" w:lineRule="auto"/>
        <w:rPr>
          <w:rFonts w:cs="Times New Roman"/>
          <w:color w:val="auto"/>
          <w:sz w:val="28"/>
          <w:szCs w:val="28"/>
        </w:rPr>
      </w:pPr>
      <w:bookmarkStart w:id="30" w:name="_Toc7824"/>
      <w:r>
        <w:rPr>
          <w:color w:val="auto"/>
          <w:sz w:val="28"/>
          <w:szCs w:val="28"/>
        </w:rPr>
        <w:t>2.2.3</w:t>
      </w:r>
      <w:r>
        <w:rPr>
          <w:rFonts w:hint="eastAsia" w:cs="宋体"/>
          <w:color w:val="auto"/>
          <w:sz w:val="28"/>
          <w:szCs w:val="28"/>
        </w:rPr>
        <w:t>总图及平面布置</w:t>
      </w:r>
      <w:bookmarkEnd w:id="30"/>
    </w:p>
    <w:p w14:paraId="50EA0E8C">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加油站总平面布置按功能划分为加油区、站房、油罐区（承重）、密闭卸油口、隔油池等。</w:t>
      </w:r>
    </w:p>
    <w:p w14:paraId="541A0E3A">
      <w:p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加油站区内地势平坦，坡向道路，地面坡度&lt;2%。站内混凝土路面与G319厦成线相连，进口、出口分开设置。加油站除出入口外，站后设有高2.2m的实体围墙与外部隔开。</w:t>
      </w:r>
    </w:p>
    <w:p w14:paraId="78175118">
      <w:pPr>
        <w:spacing w:line="360" w:lineRule="auto"/>
        <w:ind w:firstLine="562" w:firstLineChars="200"/>
        <w:jc w:val="left"/>
        <w:rPr>
          <w:rFonts w:hint="eastAsia" w:ascii="Times New Roman" w:hAnsi="Times New Roman" w:cs="Times New Roman"/>
          <w:color w:val="auto"/>
          <w:sz w:val="28"/>
          <w:szCs w:val="28"/>
        </w:rPr>
      </w:pPr>
      <w:r>
        <w:rPr>
          <w:rFonts w:hint="eastAsia" w:ascii="Times New Roman" w:hAnsi="Times New Roman" w:cs="宋体"/>
          <w:b/>
          <w:bCs/>
          <w:color w:val="auto"/>
          <w:sz w:val="28"/>
          <w:szCs w:val="28"/>
          <w:lang w:val="zh-CN"/>
        </w:rPr>
        <w:t>站房：</w:t>
      </w:r>
      <w:r>
        <w:rPr>
          <w:rFonts w:hint="eastAsia" w:ascii="Times New Roman" w:hAnsi="Times New Roman" w:cs="Times New Roman"/>
          <w:color w:val="auto"/>
          <w:sz w:val="28"/>
          <w:szCs w:val="28"/>
        </w:rPr>
        <w:t>位于站区中部，为一层建筑，砖混结构，砼地面，占地面积</w:t>
      </w:r>
      <w:r>
        <w:rPr>
          <w:rFonts w:hint="eastAsia" w:ascii="Times New Roman" w:hAnsi="Times New Roman" w:cs="Times New Roman"/>
          <w:color w:val="auto"/>
          <w:sz w:val="28"/>
          <w:szCs w:val="28"/>
          <w:lang w:val="en-US" w:eastAsia="zh-CN"/>
        </w:rPr>
        <w:t>98.8</w:t>
      </w:r>
      <w:r>
        <w:rPr>
          <w:rFonts w:hint="eastAsia" w:ascii="Times New Roman" w:hAnsi="Times New Roman" w:cs="Times New Roman"/>
          <w:color w:val="auto"/>
          <w:sz w:val="28"/>
          <w:szCs w:val="28"/>
        </w:rPr>
        <w:t>m</w:t>
      </w:r>
      <w:r>
        <w:rPr>
          <w:rFonts w:hint="eastAsia" w:ascii="Times New Roman" w:hAnsi="Times New Roman" w:cs="Times New Roman"/>
          <w:color w:val="auto"/>
          <w:sz w:val="28"/>
          <w:szCs w:val="28"/>
          <w:vertAlign w:val="superscript"/>
        </w:rPr>
        <w:t>2</w:t>
      </w:r>
      <w:r>
        <w:rPr>
          <w:rFonts w:hint="eastAsia" w:ascii="Times New Roman" w:hAnsi="Times New Roman" w:cs="Times New Roman"/>
          <w:color w:val="auto"/>
          <w:sz w:val="28"/>
          <w:szCs w:val="28"/>
        </w:rPr>
        <w:t>，内设值班室、营业厅、</w:t>
      </w:r>
      <w:r>
        <w:rPr>
          <w:rFonts w:hint="eastAsia" w:ascii="Times New Roman" w:hAnsi="Times New Roman" w:cs="Times New Roman"/>
          <w:color w:val="auto"/>
          <w:sz w:val="28"/>
          <w:szCs w:val="28"/>
          <w:lang w:val="en-US" w:eastAsia="zh-CN"/>
        </w:rPr>
        <w:t>配电间</w:t>
      </w:r>
      <w:r>
        <w:rPr>
          <w:rFonts w:hint="eastAsia" w:ascii="Times New Roman" w:hAnsi="Times New Roman" w:cs="Times New Roman"/>
          <w:color w:val="auto"/>
          <w:sz w:val="28"/>
          <w:szCs w:val="28"/>
        </w:rPr>
        <w:t>、卫生间等。</w:t>
      </w:r>
    </w:p>
    <w:p w14:paraId="5AC37D3C">
      <w:pPr>
        <w:spacing w:line="360" w:lineRule="auto"/>
        <w:ind w:firstLine="562" w:firstLineChars="200"/>
        <w:jc w:val="left"/>
        <w:rPr>
          <w:rFonts w:hint="eastAsia" w:ascii="Times New Roman" w:hAnsi="Times New Roman" w:cs="Times New Roman"/>
          <w:color w:val="auto"/>
          <w:sz w:val="28"/>
          <w:szCs w:val="28"/>
        </w:rPr>
      </w:pPr>
      <w:r>
        <w:rPr>
          <w:rFonts w:hint="eastAsia" w:ascii="Times New Roman" w:hAnsi="Times New Roman" w:cs="宋体"/>
          <w:b/>
          <w:bCs/>
          <w:color w:val="auto"/>
          <w:sz w:val="28"/>
          <w:szCs w:val="28"/>
          <w:lang w:val="zh-CN"/>
        </w:rPr>
        <w:t>加油区：</w:t>
      </w:r>
      <w:r>
        <w:rPr>
          <w:rFonts w:hint="eastAsia" w:ascii="Times New Roman" w:hAnsi="Times New Roman" w:cs="Times New Roman"/>
          <w:color w:val="auto"/>
          <w:sz w:val="28"/>
          <w:szCs w:val="28"/>
        </w:rPr>
        <w:t>位于站区西侧，罩棚高</w:t>
      </w:r>
      <w:r>
        <w:rPr>
          <w:rFonts w:hint="eastAsia" w:ascii="Times New Roman" w:hAnsi="Times New Roman" w:cs="Times New Roman"/>
          <w:color w:val="auto"/>
          <w:sz w:val="28"/>
          <w:szCs w:val="28"/>
          <w:lang w:val="en-US" w:eastAsia="zh-CN"/>
        </w:rPr>
        <w:t>6.0</w:t>
      </w:r>
      <w:r>
        <w:rPr>
          <w:rFonts w:hint="eastAsia" w:ascii="Times New Roman" w:hAnsi="Times New Roman" w:cs="Times New Roman"/>
          <w:color w:val="auto"/>
          <w:sz w:val="28"/>
          <w:szCs w:val="28"/>
        </w:rPr>
        <w:t>m，罩棚边缘突出加油机</w:t>
      </w:r>
      <w:r>
        <w:rPr>
          <w:rFonts w:hint="eastAsia" w:ascii="Times New Roman" w:hAnsi="Times New Roman" w:cs="Times New Roman"/>
          <w:color w:val="auto"/>
          <w:sz w:val="28"/>
          <w:szCs w:val="28"/>
          <w:lang w:val="en-US" w:eastAsia="zh-CN"/>
        </w:rPr>
        <w:t>4.0</w:t>
      </w:r>
      <w:r>
        <w:rPr>
          <w:rFonts w:hint="eastAsia" w:ascii="Times New Roman" w:hAnsi="Times New Roman" w:cs="Times New Roman"/>
          <w:color w:val="auto"/>
          <w:sz w:val="28"/>
          <w:szCs w:val="28"/>
        </w:rPr>
        <w:t>m，罩棚共</w:t>
      </w:r>
      <w:r>
        <w:rPr>
          <w:rFonts w:hint="eastAsia" w:ascii="Times New Roman" w:hAnsi="Times New Roman" w:cs="Times New Roman"/>
          <w:color w:val="auto"/>
          <w:sz w:val="28"/>
          <w:szCs w:val="28"/>
          <w:lang w:val="en-US" w:eastAsia="zh-CN"/>
        </w:rPr>
        <w:t>4</w:t>
      </w:r>
      <w:r>
        <w:rPr>
          <w:rFonts w:hint="eastAsia" w:ascii="Times New Roman" w:hAnsi="Times New Roman" w:cs="Times New Roman"/>
          <w:color w:val="auto"/>
          <w:sz w:val="28"/>
          <w:szCs w:val="28"/>
        </w:rPr>
        <w:t>根现浇钢筋混凝土立柱，罩棚顶为</w:t>
      </w:r>
      <w:r>
        <w:rPr>
          <w:rFonts w:hint="eastAsia" w:ascii="Times New Roman" w:hAnsi="Times New Roman" w:cs="Times New Roman"/>
          <w:color w:val="auto"/>
          <w:sz w:val="28"/>
          <w:szCs w:val="28"/>
          <w:lang w:val="en-US" w:eastAsia="zh-CN"/>
        </w:rPr>
        <w:t>钢架结构</w:t>
      </w:r>
      <w:r>
        <w:rPr>
          <w:rFonts w:hint="eastAsia" w:ascii="Times New Roman" w:hAnsi="Times New Roman" w:cs="Times New Roman"/>
          <w:color w:val="auto"/>
          <w:sz w:val="28"/>
          <w:szCs w:val="28"/>
        </w:rPr>
        <w:t>，占地面积</w:t>
      </w:r>
      <w:r>
        <w:rPr>
          <w:rFonts w:hint="eastAsia" w:ascii="Times New Roman" w:hAnsi="Times New Roman" w:cs="Times New Roman"/>
          <w:color w:val="auto"/>
          <w:sz w:val="28"/>
          <w:szCs w:val="28"/>
          <w:lang w:val="en-US" w:eastAsia="zh-CN"/>
        </w:rPr>
        <w:t>184.0</w:t>
      </w:r>
      <w:r>
        <w:rPr>
          <w:rFonts w:hint="eastAsia" w:ascii="Times New Roman" w:hAnsi="Times New Roman" w:cs="Times New Roman"/>
          <w:color w:val="auto"/>
          <w:sz w:val="28"/>
          <w:szCs w:val="28"/>
        </w:rPr>
        <w:t>m</w:t>
      </w:r>
      <w:r>
        <w:rPr>
          <w:rFonts w:hint="eastAsia" w:ascii="Times New Roman" w:hAnsi="Times New Roman" w:cs="Times New Roman"/>
          <w:color w:val="auto"/>
          <w:sz w:val="28"/>
          <w:szCs w:val="28"/>
          <w:vertAlign w:val="superscript"/>
        </w:rPr>
        <w:t>2</w:t>
      </w:r>
      <w:r>
        <w:rPr>
          <w:rFonts w:hint="eastAsia" w:ascii="Times New Roman" w:hAnsi="Times New Roman" w:cs="Times New Roman"/>
          <w:color w:val="auto"/>
          <w:sz w:val="28"/>
          <w:szCs w:val="28"/>
        </w:rPr>
        <w:t>，内设有1座通长加油岛，高0.2m，宽1.2m，长</w:t>
      </w:r>
      <w:r>
        <w:rPr>
          <w:rFonts w:hint="eastAsia" w:ascii="Times New Roman" w:hAnsi="Times New Roman" w:cs="Times New Roman"/>
          <w:color w:val="auto"/>
          <w:sz w:val="28"/>
          <w:szCs w:val="28"/>
          <w:lang w:val="en-US" w:eastAsia="zh-CN"/>
        </w:rPr>
        <w:t>10.5</w:t>
      </w:r>
      <w:r>
        <w:rPr>
          <w:rFonts w:hint="eastAsia" w:ascii="Times New Roman" w:hAnsi="Times New Roman" w:cs="Times New Roman"/>
          <w:color w:val="auto"/>
          <w:sz w:val="28"/>
          <w:szCs w:val="28"/>
        </w:rPr>
        <w:t>m，加油岛上罩棚支柱距岛端部为0.6m，加油岛为1 台95#、95#、92#、92#四枪加油机和1 台0#、0#双枪加油机。</w:t>
      </w:r>
    </w:p>
    <w:p w14:paraId="2EA354A5">
      <w:pPr>
        <w:spacing w:line="360" w:lineRule="auto"/>
        <w:ind w:firstLine="562"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zh-CN"/>
        </w:rPr>
        <w:t>承重油罐区：</w:t>
      </w:r>
      <w:r>
        <w:rPr>
          <w:rFonts w:hint="eastAsia" w:ascii="Times New Roman" w:hAnsi="Times New Roman" w:cs="宋体"/>
          <w:color w:val="auto"/>
          <w:sz w:val="28"/>
          <w:szCs w:val="28"/>
          <w:lang w:val="zh-CN"/>
        </w:rPr>
        <w:t>位于站区</w:t>
      </w:r>
      <w:r>
        <w:rPr>
          <w:rFonts w:hint="eastAsia" w:ascii="Times New Roman" w:hAnsi="Times New Roman" w:cs="宋体"/>
          <w:color w:val="auto"/>
          <w:sz w:val="28"/>
          <w:szCs w:val="28"/>
          <w:lang w:val="en-US" w:eastAsia="zh-CN"/>
        </w:rPr>
        <w:t>东</w:t>
      </w:r>
      <w:r>
        <w:rPr>
          <w:rFonts w:hint="eastAsia" w:ascii="Times New Roman" w:hAnsi="Times New Roman" w:cs="宋体"/>
          <w:color w:val="auto"/>
          <w:sz w:val="28"/>
          <w:szCs w:val="28"/>
          <w:lang w:val="zh-CN"/>
        </w:rPr>
        <w:t>侧，属承重罐区，</w:t>
      </w:r>
      <w:r>
        <w:rPr>
          <w:rFonts w:hint="eastAsia" w:ascii="Times New Roman" w:hAnsi="Times New Roman" w:cs="宋体"/>
          <w:color w:val="auto"/>
          <w:sz w:val="28"/>
          <w:szCs w:val="28"/>
          <w:lang w:val="en-US" w:eastAsia="zh-CN"/>
        </w:rPr>
        <w:t>3</w:t>
      </w:r>
      <w:r>
        <w:rPr>
          <w:rFonts w:hint="eastAsia" w:ascii="Times New Roman" w:hAnsi="Times New Roman" w:cs="宋体"/>
          <w:color w:val="auto"/>
          <w:sz w:val="28"/>
          <w:szCs w:val="28"/>
          <w:lang w:val="zh-CN"/>
        </w:rPr>
        <w:t>个卧式埋地SF油罐由</w:t>
      </w:r>
      <w:r>
        <w:rPr>
          <w:rFonts w:hint="eastAsia" w:ascii="Times New Roman" w:hAnsi="Times New Roman" w:cs="宋体"/>
          <w:color w:val="auto"/>
          <w:sz w:val="28"/>
          <w:szCs w:val="28"/>
          <w:lang w:val="en-US" w:eastAsia="zh-CN"/>
        </w:rPr>
        <w:t>西</w:t>
      </w:r>
      <w:r>
        <w:rPr>
          <w:rFonts w:hint="eastAsia" w:ascii="Times New Roman" w:hAnsi="Times New Roman" w:cs="宋体"/>
          <w:color w:val="auto"/>
          <w:sz w:val="28"/>
          <w:szCs w:val="28"/>
          <w:lang w:val="zh-CN"/>
        </w:rPr>
        <w:t>向</w:t>
      </w:r>
      <w:r>
        <w:rPr>
          <w:rFonts w:hint="eastAsia" w:ascii="Times New Roman" w:hAnsi="Times New Roman" w:cs="宋体"/>
          <w:color w:val="auto"/>
          <w:sz w:val="28"/>
          <w:szCs w:val="28"/>
          <w:lang w:val="en-US" w:eastAsia="zh-CN"/>
        </w:rPr>
        <w:t>东</w:t>
      </w:r>
      <w:r>
        <w:rPr>
          <w:rFonts w:hint="eastAsia" w:ascii="Times New Roman" w:hAnsi="Times New Roman" w:cs="宋体"/>
          <w:color w:val="auto"/>
          <w:sz w:val="28"/>
          <w:szCs w:val="28"/>
          <w:lang w:val="zh-CN"/>
        </w:rPr>
        <w:t>呈单排设置，分别为容量为30m3 的95#汽油储罐1 个，容量为30m3 的92#汽油储罐1 个，容量为30m3的0#柴油储罐1 个。柴油通气管、汽油通气管设置于罩棚立柱内，为DN50 的无缝钢管，通气管高出罩棚2m。</w:t>
      </w:r>
    </w:p>
    <w:p w14:paraId="78A2FF4A">
      <w:pPr>
        <w:spacing w:line="360" w:lineRule="auto"/>
        <w:ind w:firstLine="562"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zh-CN"/>
        </w:rPr>
        <w:t>密闭卸油口：</w:t>
      </w:r>
      <w:r>
        <w:rPr>
          <w:rFonts w:hint="eastAsia" w:ascii="Times New Roman" w:hAnsi="Times New Roman" w:cs="宋体"/>
          <w:color w:val="auto"/>
          <w:sz w:val="28"/>
          <w:szCs w:val="28"/>
          <w:lang w:val="zh-CN"/>
        </w:rPr>
        <w:t>位于罐区</w:t>
      </w:r>
      <w:r>
        <w:rPr>
          <w:rFonts w:hint="eastAsia" w:ascii="Times New Roman" w:hAnsi="Times New Roman" w:cs="宋体"/>
          <w:color w:val="auto"/>
          <w:sz w:val="28"/>
          <w:szCs w:val="28"/>
          <w:lang w:val="en-US" w:eastAsia="zh-CN"/>
        </w:rPr>
        <w:t>东</w:t>
      </w:r>
      <w:r>
        <w:rPr>
          <w:rFonts w:hint="eastAsia" w:ascii="Times New Roman" w:hAnsi="Times New Roman" w:cs="宋体"/>
          <w:color w:val="auto"/>
          <w:sz w:val="28"/>
          <w:szCs w:val="28"/>
          <w:lang w:val="zh-CN"/>
        </w:rPr>
        <w:t>侧，设置1 座2m</w:t>
      </w:r>
      <w:r>
        <w:rPr>
          <w:rFonts w:hint="eastAsia" w:ascii="Times New Roman" w:hAnsi="Times New Roman" w:cs="宋体"/>
          <w:color w:val="auto"/>
          <w:sz w:val="28"/>
          <w:szCs w:val="28"/>
          <w:vertAlign w:val="superscript"/>
          <w:lang w:val="zh-CN"/>
        </w:rPr>
        <w:t>3</w:t>
      </w:r>
      <w:r>
        <w:rPr>
          <w:rFonts w:hint="eastAsia" w:ascii="Times New Roman" w:hAnsi="Times New Roman" w:cs="宋体"/>
          <w:color w:val="auto"/>
          <w:sz w:val="28"/>
          <w:szCs w:val="28"/>
          <w:lang w:val="zh-CN"/>
        </w:rPr>
        <w:t xml:space="preserve"> 消防沙池，1 个消防器材箱，1个计量组合柜。</w:t>
      </w:r>
    </w:p>
    <w:p w14:paraId="67FB596C">
      <w:pPr>
        <w:spacing w:line="360" w:lineRule="auto"/>
        <w:ind w:firstLine="562"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zh-CN"/>
        </w:rPr>
        <w:t>隔油池：</w:t>
      </w:r>
      <w:r>
        <w:rPr>
          <w:rFonts w:hint="eastAsia" w:ascii="Times New Roman" w:hAnsi="Times New Roman" w:cs="宋体"/>
          <w:color w:val="auto"/>
          <w:sz w:val="28"/>
          <w:szCs w:val="28"/>
          <w:lang w:val="zh-CN"/>
        </w:rPr>
        <w:t>设有隔油池一座，位于站区出口附近。</w:t>
      </w:r>
    </w:p>
    <w:p w14:paraId="4FE59C4F">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站内设施防火间距详见下表。</w:t>
      </w:r>
    </w:p>
    <w:p w14:paraId="10B2E0F3">
      <w:pPr>
        <w:jc w:val="center"/>
        <w:rPr>
          <w:rFonts w:ascii="Times New Roman" w:hAnsi="Times New Roman" w:cs="宋体"/>
          <w:color w:val="auto"/>
          <w:sz w:val="24"/>
          <w:szCs w:val="24"/>
        </w:rPr>
      </w:pPr>
      <w:r>
        <w:rPr>
          <w:rFonts w:hint="eastAsia" w:ascii="Times New Roman" w:hAnsi="Times New Roman" w:cs="宋体"/>
          <w:color w:val="auto"/>
          <w:sz w:val="24"/>
          <w:szCs w:val="24"/>
        </w:rPr>
        <w:t>表</w:t>
      </w:r>
      <w:r>
        <w:rPr>
          <w:rFonts w:hint="eastAsia" w:ascii="Times New Roman" w:hAnsi="Times New Roman" w:cs="Times New Roman"/>
          <w:color w:val="auto"/>
          <w:sz w:val="24"/>
          <w:szCs w:val="24"/>
        </w:rPr>
        <w:t>2.2-2</w:t>
      </w:r>
      <w:r>
        <w:rPr>
          <w:rFonts w:hint="eastAsia" w:ascii="Times New Roman" w:hAnsi="Times New Roman" w:cs="宋体"/>
          <w:color w:val="auto"/>
          <w:sz w:val="24"/>
          <w:szCs w:val="24"/>
          <w:lang w:val="zh-CN"/>
        </w:rPr>
        <w:t>站内加油设施之间防火间距</w:t>
      </w:r>
      <w:r>
        <w:rPr>
          <w:rFonts w:hint="eastAsia" w:ascii="Times New Roman" w:hAnsi="Times New Roman" w:cs="宋体"/>
          <w:color w:val="auto"/>
          <w:sz w:val="24"/>
          <w:szCs w:val="24"/>
        </w:rPr>
        <w:t>表</w:t>
      </w:r>
    </w:p>
    <w:tbl>
      <w:tblPr>
        <w:tblStyle w:val="25"/>
        <w:tblW w:w="514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35"/>
        <w:gridCol w:w="2306"/>
        <w:gridCol w:w="3313"/>
        <w:gridCol w:w="1792"/>
        <w:gridCol w:w="1522"/>
      </w:tblGrid>
      <w:tr w14:paraId="7C61D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32" w:type="pct"/>
            <w:vAlign w:val="center"/>
          </w:tcPr>
          <w:p w14:paraId="63C8415A">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序号</w:t>
            </w:r>
          </w:p>
        </w:tc>
        <w:tc>
          <w:tcPr>
            <w:tcW w:w="1230" w:type="pct"/>
            <w:vAlign w:val="center"/>
          </w:tcPr>
          <w:p w14:paraId="389EA685">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设施名称</w:t>
            </w:r>
          </w:p>
        </w:tc>
        <w:tc>
          <w:tcPr>
            <w:tcW w:w="1767" w:type="pct"/>
            <w:vAlign w:val="center"/>
          </w:tcPr>
          <w:p w14:paraId="1172C92D">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相邻设施</w:t>
            </w:r>
          </w:p>
        </w:tc>
        <w:tc>
          <w:tcPr>
            <w:tcW w:w="956" w:type="pct"/>
            <w:vAlign w:val="center"/>
          </w:tcPr>
          <w:p w14:paraId="15845DBD">
            <w:pPr>
              <w:jc w:val="center"/>
              <w:rPr>
                <w:rFonts w:ascii="Times New Roman" w:hAnsi="Times New Roman" w:cs="Times New Roman"/>
                <w:b/>
                <w:bCs/>
                <w:color w:val="auto"/>
              </w:rPr>
            </w:pPr>
            <w:r>
              <w:rPr>
                <w:rFonts w:ascii="Times New Roman" w:hAnsi="Times New Roman" w:cs="Times New Roman"/>
                <w:b/>
                <w:bCs/>
                <w:color w:val="auto"/>
              </w:rPr>
              <w:t>标准要求（m）</w:t>
            </w:r>
          </w:p>
        </w:tc>
        <w:tc>
          <w:tcPr>
            <w:tcW w:w="812" w:type="pct"/>
            <w:vAlign w:val="center"/>
          </w:tcPr>
          <w:p w14:paraId="1171369A">
            <w:pPr>
              <w:jc w:val="center"/>
              <w:rPr>
                <w:rFonts w:ascii="Times New Roman" w:hAnsi="Times New Roman" w:cs="Times New Roman"/>
                <w:b/>
                <w:bCs/>
                <w:color w:val="auto"/>
                <w:kern w:val="0"/>
              </w:rPr>
            </w:pPr>
            <w:r>
              <w:rPr>
                <w:rFonts w:ascii="Times New Roman" w:hAnsi="Times New Roman" w:cs="Times New Roman"/>
                <w:b/>
                <w:bCs/>
                <w:color w:val="auto"/>
                <w:kern w:val="0"/>
              </w:rPr>
              <w:t>检查记录（m）</w:t>
            </w:r>
          </w:p>
        </w:tc>
      </w:tr>
      <w:tr w14:paraId="266BB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2" w:type="pct"/>
            <w:vAlign w:val="center"/>
          </w:tcPr>
          <w:p w14:paraId="077060F8">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1F8793F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1767" w:type="pct"/>
            <w:vAlign w:val="center"/>
          </w:tcPr>
          <w:p w14:paraId="5D09655F">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956" w:type="pct"/>
            <w:vAlign w:val="center"/>
          </w:tcPr>
          <w:p w14:paraId="18908505">
            <w:pPr>
              <w:jc w:val="center"/>
              <w:rPr>
                <w:rFonts w:ascii="Times New Roman" w:hAnsi="Times New Roman" w:cs="Times New Roman"/>
                <w:color w:val="auto"/>
              </w:rPr>
            </w:pPr>
            <w:r>
              <w:rPr>
                <w:rFonts w:ascii="Times New Roman" w:hAnsi="Times New Roman" w:cs="Times New Roman"/>
                <w:color w:val="auto"/>
              </w:rPr>
              <w:t>0.5</w:t>
            </w:r>
          </w:p>
        </w:tc>
        <w:tc>
          <w:tcPr>
            <w:tcW w:w="812" w:type="pct"/>
            <w:vAlign w:val="center"/>
          </w:tcPr>
          <w:p w14:paraId="7116D2D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0.5</w:t>
            </w:r>
          </w:p>
        </w:tc>
      </w:tr>
      <w:tr w14:paraId="57F47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2" w:type="pct"/>
            <w:vAlign w:val="center"/>
          </w:tcPr>
          <w:p w14:paraId="246207E6">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3AE242C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1767" w:type="pct"/>
            <w:vAlign w:val="center"/>
          </w:tcPr>
          <w:p w14:paraId="5E42B47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956" w:type="pct"/>
            <w:vAlign w:val="center"/>
          </w:tcPr>
          <w:p w14:paraId="7C376AE5">
            <w:pPr>
              <w:jc w:val="center"/>
              <w:rPr>
                <w:rFonts w:ascii="Times New Roman" w:hAnsi="Times New Roman" w:cs="Times New Roman"/>
                <w:color w:val="auto"/>
              </w:rPr>
            </w:pPr>
            <w:r>
              <w:rPr>
                <w:rFonts w:ascii="Times New Roman" w:hAnsi="Times New Roman" w:cs="Times New Roman"/>
                <w:color w:val="auto"/>
              </w:rPr>
              <w:t>4</w:t>
            </w:r>
          </w:p>
        </w:tc>
        <w:tc>
          <w:tcPr>
            <w:tcW w:w="812" w:type="pct"/>
            <w:vAlign w:val="center"/>
          </w:tcPr>
          <w:p w14:paraId="6415606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7.1</w:t>
            </w:r>
          </w:p>
        </w:tc>
      </w:tr>
      <w:tr w14:paraId="4233E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2" w:type="pct"/>
            <w:vAlign w:val="center"/>
          </w:tcPr>
          <w:p w14:paraId="2514AFE1">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3C47EE7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1767" w:type="pct"/>
            <w:vAlign w:val="center"/>
          </w:tcPr>
          <w:p w14:paraId="6100875C">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956" w:type="pct"/>
            <w:vAlign w:val="center"/>
          </w:tcPr>
          <w:p w14:paraId="77E1F47A">
            <w:pPr>
              <w:jc w:val="center"/>
              <w:rPr>
                <w:rFonts w:ascii="Times New Roman" w:hAnsi="Times New Roman" w:cs="Times New Roman"/>
                <w:color w:val="auto"/>
              </w:rPr>
            </w:pPr>
            <w:r>
              <w:rPr>
                <w:rFonts w:ascii="Times New Roman" w:hAnsi="Times New Roman" w:cs="Times New Roman"/>
                <w:color w:val="auto"/>
              </w:rPr>
              <w:t>3</w:t>
            </w:r>
          </w:p>
        </w:tc>
        <w:tc>
          <w:tcPr>
            <w:tcW w:w="812" w:type="pct"/>
            <w:vAlign w:val="center"/>
          </w:tcPr>
          <w:p w14:paraId="6D5C570A">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13.2</w:t>
            </w:r>
          </w:p>
        </w:tc>
      </w:tr>
      <w:tr w14:paraId="654D3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2" w:type="pct"/>
            <w:vAlign w:val="center"/>
          </w:tcPr>
          <w:p w14:paraId="5A04F2DC">
            <w:pPr>
              <w:numPr>
                <w:ilvl w:val="0"/>
                <w:numId w:val="3"/>
              </w:numPr>
              <w:autoSpaceDE w:val="0"/>
              <w:autoSpaceDN w:val="0"/>
              <w:ind w:left="0" w:firstLine="0"/>
              <w:jc w:val="center"/>
              <w:rPr>
                <w:rFonts w:ascii="Times New Roman" w:hAnsi="Times New Roman" w:cs="Times New Roman"/>
                <w:color w:val="auto"/>
                <w:kern w:val="0"/>
              </w:rPr>
            </w:pPr>
          </w:p>
        </w:tc>
        <w:tc>
          <w:tcPr>
            <w:tcW w:w="1230" w:type="pct"/>
            <w:shd w:val="clear" w:color="auto" w:fill="auto"/>
            <w:vAlign w:val="center"/>
          </w:tcPr>
          <w:p w14:paraId="3A82E9D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1767" w:type="pct"/>
            <w:shd w:val="clear" w:color="auto" w:fill="auto"/>
            <w:vAlign w:val="center"/>
          </w:tcPr>
          <w:p w14:paraId="1CA4E38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956" w:type="pct"/>
            <w:shd w:val="clear" w:color="auto" w:fill="auto"/>
            <w:vAlign w:val="center"/>
          </w:tcPr>
          <w:p w14:paraId="63B9C738">
            <w:pPr>
              <w:jc w:val="center"/>
              <w:rPr>
                <w:rFonts w:ascii="Times New Roman" w:hAnsi="Times New Roman" w:cs="Times New Roman"/>
                <w:color w:val="auto"/>
              </w:rPr>
            </w:pPr>
            <w:r>
              <w:rPr>
                <w:rFonts w:ascii="Times New Roman" w:hAnsi="Times New Roman" w:cs="Times New Roman"/>
                <w:color w:val="auto"/>
              </w:rPr>
              <w:t>2</w:t>
            </w:r>
          </w:p>
        </w:tc>
        <w:tc>
          <w:tcPr>
            <w:tcW w:w="812" w:type="pct"/>
            <w:vAlign w:val="center"/>
          </w:tcPr>
          <w:p w14:paraId="424A834F">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2.0</w:t>
            </w:r>
          </w:p>
        </w:tc>
      </w:tr>
      <w:tr w14:paraId="743DC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2" w:type="pct"/>
            <w:vAlign w:val="center"/>
          </w:tcPr>
          <w:p w14:paraId="5BDF9E30">
            <w:pPr>
              <w:numPr>
                <w:ilvl w:val="0"/>
                <w:numId w:val="3"/>
              </w:numPr>
              <w:autoSpaceDE w:val="0"/>
              <w:autoSpaceDN w:val="0"/>
              <w:ind w:left="0" w:firstLine="0"/>
              <w:jc w:val="center"/>
              <w:rPr>
                <w:rFonts w:ascii="Times New Roman" w:hAnsi="Times New Roman" w:cs="Times New Roman"/>
                <w:color w:val="auto"/>
                <w:kern w:val="0"/>
              </w:rPr>
            </w:pPr>
          </w:p>
        </w:tc>
        <w:tc>
          <w:tcPr>
            <w:tcW w:w="1230" w:type="pct"/>
            <w:shd w:val="clear" w:color="auto" w:fill="auto"/>
            <w:vAlign w:val="center"/>
          </w:tcPr>
          <w:p w14:paraId="20EA98E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1767" w:type="pct"/>
            <w:shd w:val="clear" w:color="auto" w:fill="auto"/>
            <w:vAlign w:val="center"/>
          </w:tcPr>
          <w:p w14:paraId="70C7614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956" w:type="pct"/>
            <w:shd w:val="clear" w:color="auto" w:fill="auto"/>
            <w:vAlign w:val="center"/>
          </w:tcPr>
          <w:p w14:paraId="6289798B">
            <w:pPr>
              <w:jc w:val="center"/>
              <w:rPr>
                <w:rFonts w:ascii="Times New Roman" w:hAnsi="Times New Roman" w:cs="Times New Roman"/>
                <w:color w:val="auto"/>
              </w:rPr>
            </w:pPr>
            <w:r>
              <w:rPr>
                <w:rFonts w:ascii="Times New Roman" w:hAnsi="Times New Roman" w:cs="Times New Roman"/>
                <w:color w:val="auto"/>
              </w:rPr>
              <w:t>2</w:t>
            </w:r>
          </w:p>
        </w:tc>
        <w:tc>
          <w:tcPr>
            <w:tcW w:w="812" w:type="pct"/>
            <w:vAlign w:val="center"/>
          </w:tcPr>
          <w:p w14:paraId="476D1E8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2.2</w:t>
            </w:r>
          </w:p>
        </w:tc>
      </w:tr>
      <w:tr w14:paraId="032E9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2" w:type="pct"/>
            <w:vAlign w:val="center"/>
          </w:tcPr>
          <w:p w14:paraId="6C3A682F">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2ECAED8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767" w:type="pct"/>
            <w:vAlign w:val="center"/>
          </w:tcPr>
          <w:p w14:paraId="2BF246E1">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956" w:type="pct"/>
            <w:vAlign w:val="center"/>
          </w:tcPr>
          <w:p w14:paraId="5BE649EE">
            <w:pPr>
              <w:autoSpaceDE w:val="0"/>
              <w:autoSpaceDN w:val="0"/>
              <w:jc w:val="center"/>
              <w:rPr>
                <w:rFonts w:ascii="Times New Roman" w:hAnsi="Times New Roman" w:cs="Times New Roman"/>
                <w:color w:val="auto"/>
              </w:rPr>
            </w:pPr>
            <w:r>
              <w:rPr>
                <w:rFonts w:ascii="Times New Roman" w:hAnsi="Times New Roman" w:cs="Times New Roman"/>
                <w:color w:val="auto"/>
                <w:kern w:val="0"/>
              </w:rPr>
              <w:t>4</w:t>
            </w:r>
          </w:p>
        </w:tc>
        <w:tc>
          <w:tcPr>
            <w:tcW w:w="812" w:type="pct"/>
            <w:vAlign w:val="center"/>
          </w:tcPr>
          <w:p w14:paraId="7887849A">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r>
      <w:tr w14:paraId="6C7FC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2" w:type="pct"/>
            <w:vAlign w:val="center"/>
          </w:tcPr>
          <w:p w14:paraId="3C074D9F">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7CF06CB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767" w:type="pct"/>
            <w:vAlign w:val="center"/>
          </w:tcPr>
          <w:p w14:paraId="2F57256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956" w:type="pct"/>
            <w:vAlign w:val="center"/>
          </w:tcPr>
          <w:p w14:paraId="3FC2275B">
            <w:pPr>
              <w:autoSpaceDE w:val="0"/>
              <w:autoSpaceDN w:val="0"/>
              <w:jc w:val="center"/>
              <w:rPr>
                <w:rFonts w:ascii="Times New Roman" w:hAnsi="Times New Roman" w:cs="Times New Roman"/>
                <w:color w:val="auto"/>
              </w:rPr>
            </w:pPr>
            <w:r>
              <w:rPr>
                <w:rFonts w:ascii="Times New Roman" w:hAnsi="Times New Roman" w:cs="Times New Roman"/>
                <w:color w:val="auto"/>
                <w:kern w:val="0"/>
              </w:rPr>
              <w:t>3.5</w:t>
            </w:r>
          </w:p>
        </w:tc>
        <w:tc>
          <w:tcPr>
            <w:tcW w:w="812" w:type="pct"/>
            <w:vAlign w:val="center"/>
          </w:tcPr>
          <w:p w14:paraId="701F5B34">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r>
      <w:tr w14:paraId="23716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2" w:type="pct"/>
            <w:vAlign w:val="center"/>
          </w:tcPr>
          <w:p w14:paraId="3248DC47">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5AB1A65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767" w:type="pct"/>
            <w:vAlign w:val="center"/>
          </w:tcPr>
          <w:p w14:paraId="0E575D2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956" w:type="pct"/>
            <w:vAlign w:val="center"/>
          </w:tcPr>
          <w:p w14:paraId="47748C45">
            <w:pPr>
              <w:autoSpaceDE w:val="0"/>
              <w:autoSpaceDN w:val="0"/>
              <w:jc w:val="center"/>
              <w:rPr>
                <w:rFonts w:ascii="Times New Roman" w:hAnsi="Times New Roman" w:cs="Times New Roman"/>
                <w:color w:val="auto"/>
              </w:rPr>
            </w:pPr>
            <w:r>
              <w:rPr>
                <w:rFonts w:ascii="Times New Roman" w:hAnsi="Times New Roman" w:cs="Times New Roman"/>
                <w:color w:val="auto"/>
                <w:kern w:val="0"/>
              </w:rPr>
              <w:t>3</w:t>
            </w:r>
          </w:p>
        </w:tc>
        <w:tc>
          <w:tcPr>
            <w:tcW w:w="812" w:type="pct"/>
            <w:vAlign w:val="center"/>
          </w:tcPr>
          <w:p w14:paraId="6899256D">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20.8</w:t>
            </w:r>
          </w:p>
        </w:tc>
      </w:tr>
      <w:tr w14:paraId="416F6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2" w:type="pct"/>
            <w:vAlign w:val="center"/>
          </w:tcPr>
          <w:p w14:paraId="12ECB61E">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21DBBC7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767" w:type="pct"/>
            <w:vAlign w:val="center"/>
          </w:tcPr>
          <w:p w14:paraId="5D3FAC1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956" w:type="pct"/>
            <w:vAlign w:val="center"/>
          </w:tcPr>
          <w:p w14:paraId="74D3D470">
            <w:pPr>
              <w:autoSpaceDE w:val="0"/>
              <w:autoSpaceDN w:val="0"/>
              <w:jc w:val="center"/>
              <w:rPr>
                <w:rFonts w:ascii="Times New Roman" w:hAnsi="Times New Roman" w:cs="Times New Roman"/>
                <w:color w:val="auto"/>
              </w:rPr>
            </w:pPr>
            <w:r>
              <w:rPr>
                <w:rFonts w:ascii="Times New Roman" w:hAnsi="Times New Roman" w:cs="Times New Roman"/>
                <w:color w:val="auto"/>
                <w:kern w:val="0"/>
              </w:rPr>
              <w:t>2</w:t>
            </w:r>
          </w:p>
        </w:tc>
        <w:tc>
          <w:tcPr>
            <w:tcW w:w="812" w:type="pct"/>
            <w:vAlign w:val="center"/>
          </w:tcPr>
          <w:p w14:paraId="57094F25">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20.8</w:t>
            </w:r>
          </w:p>
        </w:tc>
      </w:tr>
      <w:tr w14:paraId="2CBB6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2" w:type="pct"/>
            <w:vAlign w:val="center"/>
          </w:tcPr>
          <w:p w14:paraId="39FD96EE">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3D38E30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767" w:type="pct"/>
            <w:vAlign w:val="center"/>
          </w:tcPr>
          <w:p w14:paraId="5EE0139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956" w:type="pct"/>
            <w:vAlign w:val="center"/>
          </w:tcPr>
          <w:p w14:paraId="6D24C3B3">
            <w:pPr>
              <w:jc w:val="center"/>
              <w:rPr>
                <w:rFonts w:ascii="Times New Roman" w:hAnsi="Times New Roman" w:cs="Times New Roman"/>
                <w:color w:val="auto"/>
              </w:rPr>
            </w:pPr>
            <w:r>
              <w:rPr>
                <w:rFonts w:ascii="Times New Roman" w:hAnsi="Times New Roman" w:cs="Times New Roman"/>
                <w:color w:val="auto"/>
              </w:rPr>
              <w:t>2</w:t>
            </w:r>
          </w:p>
        </w:tc>
        <w:tc>
          <w:tcPr>
            <w:tcW w:w="812" w:type="pct"/>
            <w:vAlign w:val="center"/>
          </w:tcPr>
          <w:p w14:paraId="4F5F0423">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12.3</w:t>
            </w:r>
          </w:p>
        </w:tc>
      </w:tr>
      <w:tr w14:paraId="1B642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2" w:type="pct"/>
            <w:vAlign w:val="center"/>
          </w:tcPr>
          <w:p w14:paraId="32284725">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07AE9A3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767" w:type="pct"/>
            <w:vAlign w:val="center"/>
          </w:tcPr>
          <w:p w14:paraId="7327606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956" w:type="pct"/>
            <w:vAlign w:val="center"/>
          </w:tcPr>
          <w:p w14:paraId="258124EC">
            <w:pPr>
              <w:jc w:val="center"/>
              <w:rPr>
                <w:rFonts w:ascii="Times New Roman" w:hAnsi="Times New Roman" w:cs="Times New Roman"/>
                <w:color w:val="auto"/>
              </w:rPr>
            </w:pPr>
            <w:r>
              <w:rPr>
                <w:rFonts w:ascii="Times New Roman" w:hAnsi="Times New Roman" w:cs="Times New Roman"/>
                <w:color w:val="auto"/>
              </w:rPr>
              <w:t>2</w:t>
            </w:r>
          </w:p>
        </w:tc>
        <w:tc>
          <w:tcPr>
            <w:tcW w:w="812" w:type="pct"/>
            <w:vAlign w:val="center"/>
          </w:tcPr>
          <w:p w14:paraId="18B63092">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12.3</w:t>
            </w:r>
          </w:p>
        </w:tc>
      </w:tr>
      <w:tr w14:paraId="55747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2" w:type="pct"/>
            <w:vAlign w:val="center"/>
          </w:tcPr>
          <w:p w14:paraId="50F0507D">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0B6ACC0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汽油加油机</w:t>
            </w:r>
          </w:p>
        </w:tc>
        <w:tc>
          <w:tcPr>
            <w:tcW w:w="1767" w:type="pct"/>
            <w:vAlign w:val="center"/>
          </w:tcPr>
          <w:p w14:paraId="255F9BB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956" w:type="pct"/>
            <w:vAlign w:val="center"/>
          </w:tcPr>
          <w:p w14:paraId="15E85BF5">
            <w:pPr>
              <w:jc w:val="center"/>
              <w:rPr>
                <w:rFonts w:ascii="Times New Roman" w:hAnsi="Times New Roman" w:cs="Times New Roman"/>
                <w:color w:val="auto"/>
              </w:rPr>
            </w:pPr>
            <w:r>
              <w:rPr>
                <w:rFonts w:ascii="Times New Roman" w:hAnsi="Times New Roman" w:cs="Times New Roman"/>
                <w:color w:val="auto"/>
              </w:rPr>
              <w:t>5</w:t>
            </w:r>
          </w:p>
        </w:tc>
        <w:tc>
          <w:tcPr>
            <w:tcW w:w="812" w:type="pct"/>
            <w:vAlign w:val="center"/>
          </w:tcPr>
          <w:p w14:paraId="3568E460">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r>
      <w:tr w14:paraId="554F5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32" w:type="pct"/>
            <w:vAlign w:val="center"/>
          </w:tcPr>
          <w:p w14:paraId="779A2C80">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5F64E82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柴油加油机</w:t>
            </w:r>
          </w:p>
        </w:tc>
        <w:tc>
          <w:tcPr>
            <w:tcW w:w="1767" w:type="pct"/>
            <w:vAlign w:val="center"/>
          </w:tcPr>
          <w:p w14:paraId="2C58A01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956" w:type="pct"/>
            <w:vAlign w:val="center"/>
          </w:tcPr>
          <w:p w14:paraId="0CC1C0D2">
            <w:pPr>
              <w:jc w:val="center"/>
              <w:rPr>
                <w:rFonts w:ascii="Times New Roman" w:hAnsi="Times New Roman" w:cs="Times New Roman"/>
                <w:color w:val="auto"/>
              </w:rPr>
            </w:pPr>
            <w:r>
              <w:rPr>
                <w:rFonts w:ascii="Times New Roman" w:hAnsi="Times New Roman" w:cs="Times New Roman"/>
                <w:color w:val="auto"/>
              </w:rPr>
              <w:t>4</w:t>
            </w:r>
          </w:p>
        </w:tc>
        <w:tc>
          <w:tcPr>
            <w:tcW w:w="812" w:type="pct"/>
            <w:vAlign w:val="center"/>
          </w:tcPr>
          <w:p w14:paraId="098C527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r>
      <w:tr w14:paraId="482D3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2" w:type="pct"/>
            <w:vAlign w:val="center"/>
          </w:tcPr>
          <w:p w14:paraId="7879138D">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6CA305A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767" w:type="pct"/>
            <w:vAlign w:val="center"/>
          </w:tcPr>
          <w:p w14:paraId="7DA0B3C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956" w:type="pct"/>
            <w:vAlign w:val="center"/>
          </w:tcPr>
          <w:p w14:paraId="3D1A16C0">
            <w:pPr>
              <w:jc w:val="center"/>
              <w:rPr>
                <w:rFonts w:ascii="Times New Roman" w:hAnsi="Times New Roman" w:cs="Times New Roman"/>
                <w:color w:val="auto"/>
              </w:rPr>
            </w:pPr>
            <w:r>
              <w:rPr>
                <w:rFonts w:ascii="Times New Roman" w:hAnsi="Times New Roman" w:cs="Times New Roman"/>
                <w:color w:val="auto"/>
              </w:rPr>
              <w:t>5</w:t>
            </w:r>
          </w:p>
        </w:tc>
        <w:tc>
          <w:tcPr>
            <w:tcW w:w="812" w:type="pct"/>
            <w:vAlign w:val="center"/>
          </w:tcPr>
          <w:p w14:paraId="4385A724">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23.1</w:t>
            </w:r>
          </w:p>
        </w:tc>
      </w:tr>
      <w:tr w14:paraId="7CE05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2" w:type="pct"/>
            <w:vAlign w:val="center"/>
          </w:tcPr>
          <w:p w14:paraId="51C04B95">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464153A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汽油埋地卧式油罐</w:t>
            </w:r>
          </w:p>
        </w:tc>
        <w:tc>
          <w:tcPr>
            <w:tcW w:w="1767" w:type="pct"/>
            <w:vAlign w:val="center"/>
          </w:tcPr>
          <w:p w14:paraId="2544C997">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956" w:type="pct"/>
            <w:vAlign w:val="center"/>
          </w:tcPr>
          <w:p w14:paraId="7E321E6A">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4.5</w:t>
            </w:r>
          </w:p>
        </w:tc>
        <w:tc>
          <w:tcPr>
            <w:tcW w:w="812" w:type="pct"/>
            <w:vAlign w:val="center"/>
          </w:tcPr>
          <w:p w14:paraId="7ED340A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25.1</w:t>
            </w:r>
          </w:p>
        </w:tc>
      </w:tr>
      <w:tr w14:paraId="3C512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2" w:type="pct"/>
            <w:vAlign w:val="center"/>
          </w:tcPr>
          <w:p w14:paraId="2785964B">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7D50C00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767" w:type="pct"/>
            <w:vAlign w:val="center"/>
          </w:tcPr>
          <w:p w14:paraId="23D01F44">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956" w:type="pct"/>
            <w:vAlign w:val="center"/>
          </w:tcPr>
          <w:p w14:paraId="743FEEAE">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sz w:val="18"/>
                <w:szCs w:val="18"/>
              </w:rPr>
              <w:t>5（有卸油油气回收）</w:t>
            </w:r>
          </w:p>
        </w:tc>
        <w:tc>
          <w:tcPr>
            <w:tcW w:w="812" w:type="pct"/>
            <w:vAlign w:val="center"/>
          </w:tcPr>
          <w:p w14:paraId="29A4E5DD">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20.5</w:t>
            </w:r>
          </w:p>
        </w:tc>
      </w:tr>
      <w:tr w14:paraId="01856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32" w:type="pct"/>
            <w:vAlign w:val="center"/>
          </w:tcPr>
          <w:p w14:paraId="5EDE5398">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3767656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汽油密闭卸油口</w:t>
            </w:r>
          </w:p>
        </w:tc>
        <w:tc>
          <w:tcPr>
            <w:tcW w:w="1767" w:type="pct"/>
            <w:vAlign w:val="center"/>
          </w:tcPr>
          <w:p w14:paraId="49387853">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956" w:type="pct"/>
            <w:vAlign w:val="center"/>
          </w:tcPr>
          <w:p w14:paraId="592BB4B8">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rPr>
              <w:t>4.5</w:t>
            </w:r>
          </w:p>
        </w:tc>
        <w:tc>
          <w:tcPr>
            <w:tcW w:w="812" w:type="pct"/>
            <w:vAlign w:val="center"/>
          </w:tcPr>
          <w:p w14:paraId="322C9A07">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41.2</w:t>
            </w:r>
          </w:p>
        </w:tc>
      </w:tr>
      <w:tr w14:paraId="7AEAD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232" w:type="pct"/>
            <w:vAlign w:val="center"/>
          </w:tcPr>
          <w:p w14:paraId="07222977">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3562028B">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汽油</w:t>
            </w:r>
            <w:r>
              <w:rPr>
                <w:rFonts w:ascii="Times New Roman" w:hAnsi="Times New Roman" w:cs="Times New Roman"/>
                <w:color w:val="auto"/>
                <w:kern w:val="0"/>
              </w:rPr>
              <w:t>加油机</w:t>
            </w:r>
          </w:p>
        </w:tc>
        <w:tc>
          <w:tcPr>
            <w:tcW w:w="1767" w:type="pct"/>
            <w:vAlign w:val="center"/>
          </w:tcPr>
          <w:p w14:paraId="3AB6AA30">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956" w:type="pct"/>
            <w:vAlign w:val="center"/>
          </w:tcPr>
          <w:p w14:paraId="48D707DE">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6</w:t>
            </w:r>
            <w:r>
              <w:rPr>
                <w:rFonts w:hint="eastAsia" w:ascii="Times New Roman" w:hAnsi="Times New Roman" w:cs="Times New Roman"/>
                <w:color w:val="auto"/>
                <w:kern w:val="0"/>
                <w:sz w:val="18"/>
                <w:szCs w:val="18"/>
              </w:rPr>
              <w:t>（有卸油油气回收）</w:t>
            </w:r>
          </w:p>
        </w:tc>
        <w:tc>
          <w:tcPr>
            <w:tcW w:w="812" w:type="pct"/>
            <w:vAlign w:val="center"/>
          </w:tcPr>
          <w:p w14:paraId="5B3A3135">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14.8</w:t>
            </w:r>
          </w:p>
        </w:tc>
      </w:tr>
    </w:tbl>
    <w:p w14:paraId="719FD588">
      <w:pPr>
        <w:pStyle w:val="4"/>
        <w:rPr>
          <w:rFonts w:cs="Times New Roman"/>
          <w:color w:val="auto"/>
        </w:rPr>
      </w:pPr>
      <w:r>
        <w:rPr>
          <w:color w:val="auto"/>
        </w:rPr>
        <w:t xml:space="preserve">2.2.2 </w:t>
      </w:r>
      <w:r>
        <w:rPr>
          <w:rFonts w:hint="eastAsia" w:cs="宋体"/>
          <w:color w:val="auto"/>
        </w:rPr>
        <w:t>气象条件</w:t>
      </w:r>
    </w:p>
    <w:p w14:paraId="203DAACA">
      <w:pPr>
        <w:pStyle w:val="33"/>
        <w:ind w:firstLine="536" w:firstLineChars="200"/>
        <w:rPr>
          <w:rFonts w:hint="eastAsia" w:ascii="Times New Roman" w:cs="Times New Roman"/>
          <w:color w:val="auto"/>
          <w:sz w:val="28"/>
          <w:szCs w:val="28"/>
        </w:rPr>
      </w:pPr>
      <w:r>
        <w:rPr>
          <w:rFonts w:hint="eastAsia" w:ascii="Times New Roman" w:cs="Times New Roman"/>
          <w:color w:val="auto"/>
          <w:spacing w:val="-6"/>
          <w:sz w:val="28"/>
          <w:szCs w:val="28"/>
        </w:rPr>
        <w:t>兴国县系亚热带季风湿润气候。气候温和，雨量充沛，光照充足，四季分明，无霜期长。年平均气温为18.8℃，日照1926.5小时，降雨量1560 毫米，年平均降雨量为1515.6 毫米，年平均无霜期284 天，适宜各种农作物生长。</w:t>
      </w:r>
    </w:p>
    <w:p w14:paraId="464E8AFC">
      <w:pPr>
        <w:pStyle w:val="33"/>
        <w:ind w:firstLine="560" w:firstLineChars="200"/>
        <w:rPr>
          <w:rFonts w:hint="eastAsia" w:ascii="Times New Roman" w:eastAsia="宋体" w:cs="Times New Roman"/>
          <w:color w:val="auto"/>
          <w:sz w:val="28"/>
          <w:szCs w:val="28"/>
          <w:lang w:eastAsia="zh-CN"/>
        </w:rPr>
      </w:pPr>
      <w:r>
        <w:rPr>
          <w:rFonts w:hint="eastAsia" w:ascii="Times New Roman" w:cs="Times New Roman"/>
          <w:color w:val="auto"/>
          <w:sz w:val="28"/>
          <w:szCs w:val="28"/>
        </w:rPr>
        <w:t>该项目在雷电易发区，年平均地闪密度5.97，雷电活动频繁，无历史雷电害灾</w:t>
      </w:r>
      <w:r>
        <w:rPr>
          <w:rFonts w:hint="eastAsia" w:ascii="Times New Roman" w:cs="Times New Roman"/>
          <w:color w:val="auto"/>
          <w:sz w:val="28"/>
          <w:szCs w:val="28"/>
          <w:lang w:eastAsia="zh-CN"/>
        </w:rPr>
        <w:t>。</w:t>
      </w:r>
    </w:p>
    <w:p w14:paraId="1458ACC0">
      <w:pPr>
        <w:pStyle w:val="3"/>
        <w:spacing w:line="580" w:lineRule="exact"/>
        <w:rPr>
          <w:color w:val="auto"/>
        </w:rPr>
      </w:pPr>
      <w:bookmarkStart w:id="31" w:name="_Toc9074"/>
      <w:bookmarkStart w:id="32" w:name="_Toc19009"/>
      <w:r>
        <w:rPr>
          <w:color w:val="auto"/>
        </w:rPr>
        <w:t>2.3</w:t>
      </w:r>
      <w:r>
        <w:rPr>
          <w:rFonts w:hint="eastAsia" w:cs="宋体"/>
          <w:color w:val="auto"/>
        </w:rPr>
        <w:t>主要设备、建筑物及工艺：</w:t>
      </w:r>
      <w:bookmarkEnd w:id="31"/>
      <w:bookmarkEnd w:id="32"/>
    </w:p>
    <w:p w14:paraId="6AAF370C">
      <w:pPr>
        <w:pStyle w:val="4"/>
        <w:spacing w:line="580" w:lineRule="exact"/>
        <w:rPr>
          <w:rFonts w:cs="Times New Roman"/>
          <w:color w:val="auto"/>
        </w:rPr>
      </w:pPr>
      <w:bookmarkStart w:id="33" w:name="_Toc6304"/>
      <w:r>
        <w:rPr>
          <w:color w:val="auto"/>
        </w:rPr>
        <w:t>2.3.1</w:t>
      </w:r>
      <w:r>
        <w:rPr>
          <w:rFonts w:hint="eastAsia" w:cs="宋体"/>
          <w:color w:val="auto"/>
        </w:rPr>
        <w:t>主要设备、建筑物</w:t>
      </w:r>
      <w:bookmarkEnd w:id="33"/>
    </w:p>
    <w:p w14:paraId="4077A8E2">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主要设备、建筑物</w:t>
      </w:r>
      <w:r>
        <w:rPr>
          <w:rFonts w:hint="eastAsia" w:ascii="Times New Roman" w:hAnsi="Times New Roman" w:cs="宋体"/>
          <w:color w:val="auto"/>
          <w:sz w:val="28"/>
          <w:szCs w:val="28"/>
        </w:rPr>
        <w:t>具体见表</w:t>
      </w:r>
      <w:r>
        <w:rPr>
          <w:rFonts w:ascii="Times New Roman" w:hAnsi="Times New Roman" w:cs="Times New Roman"/>
          <w:color w:val="auto"/>
          <w:sz w:val="28"/>
          <w:szCs w:val="28"/>
        </w:rPr>
        <w:t>2</w:t>
      </w:r>
      <w:r>
        <w:rPr>
          <w:rFonts w:hint="eastAsia" w:ascii="Times New Roman" w:hAnsi="Times New Roman" w:cs="Times New Roman"/>
          <w:color w:val="auto"/>
          <w:sz w:val="28"/>
          <w:szCs w:val="28"/>
        </w:rPr>
        <w:t>.3</w:t>
      </w:r>
      <w:r>
        <w:rPr>
          <w:rFonts w:ascii="Times New Roman" w:hAnsi="Times New Roman" w:cs="Times New Roman"/>
          <w:color w:val="auto"/>
          <w:sz w:val="28"/>
          <w:szCs w:val="28"/>
        </w:rPr>
        <w:t>-</w:t>
      </w:r>
      <w:r>
        <w:rPr>
          <w:rFonts w:hint="eastAsia" w:ascii="Times New Roman" w:hAnsi="Times New Roman" w:cs="Times New Roman"/>
          <w:color w:val="auto"/>
          <w:sz w:val="28"/>
          <w:szCs w:val="28"/>
        </w:rPr>
        <w:t>1</w:t>
      </w:r>
      <w:r>
        <w:rPr>
          <w:rFonts w:hint="eastAsia" w:ascii="Times New Roman" w:hAnsi="Times New Roman" w:cs="宋体"/>
          <w:color w:val="auto"/>
          <w:sz w:val="28"/>
          <w:szCs w:val="28"/>
        </w:rPr>
        <w:t>和表</w:t>
      </w:r>
      <w:r>
        <w:rPr>
          <w:rFonts w:ascii="Times New Roman" w:hAnsi="Times New Roman" w:cs="Times New Roman"/>
          <w:color w:val="auto"/>
          <w:sz w:val="28"/>
          <w:szCs w:val="28"/>
        </w:rPr>
        <w:t>2</w:t>
      </w:r>
      <w:r>
        <w:rPr>
          <w:rFonts w:hint="eastAsia" w:ascii="Times New Roman" w:hAnsi="Times New Roman" w:cs="Times New Roman"/>
          <w:color w:val="auto"/>
          <w:sz w:val="28"/>
          <w:szCs w:val="28"/>
        </w:rPr>
        <w:t>.3</w:t>
      </w:r>
      <w:r>
        <w:rPr>
          <w:rFonts w:ascii="Times New Roman" w:hAnsi="Times New Roman" w:cs="Times New Roman"/>
          <w:color w:val="auto"/>
          <w:sz w:val="28"/>
          <w:szCs w:val="28"/>
        </w:rPr>
        <w:t>-</w:t>
      </w:r>
      <w:r>
        <w:rPr>
          <w:rFonts w:hint="eastAsia" w:ascii="Times New Roman" w:hAnsi="Times New Roman" w:cs="Times New Roman"/>
          <w:color w:val="auto"/>
          <w:sz w:val="28"/>
          <w:szCs w:val="28"/>
        </w:rPr>
        <w:t>2</w:t>
      </w:r>
    </w:p>
    <w:p w14:paraId="752B6A81">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w:t>
      </w:r>
      <w:r>
        <w:rPr>
          <w:rFonts w:hint="eastAsia" w:ascii="Times New Roman" w:hAnsi="Times New Roman" w:cs="宋体"/>
          <w:color w:val="auto"/>
          <w:sz w:val="24"/>
          <w:szCs w:val="24"/>
        </w:rPr>
        <w:t>2.3-1</w:t>
      </w:r>
      <w:r>
        <w:rPr>
          <w:rFonts w:hint="eastAsia" w:ascii="Times New Roman" w:hAnsi="Times New Roman" w:cs="宋体"/>
          <w:color w:val="auto"/>
          <w:sz w:val="24"/>
          <w:szCs w:val="24"/>
          <w:lang w:val="zh-CN"/>
        </w:rPr>
        <w:t xml:space="preserve"> 主要设备一览表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622"/>
        <w:gridCol w:w="1915"/>
        <w:gridCol w:w="698"/>
        <w:gridCol w:w="698"/>
        <w:gridCol w:w="1622"/>
        <w:gridCol w:w="2031"/>
      </w:tblGrid>
      <w:tr w14:paraId="06660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4" w:type="pct"/>
            <w:vAlign w:val="center"/>
          </w:tcPr>
          <w:p w14:paraId="6C17C2EA">
            <w:pPr>
              <w:spacing w:line="260" w:lineRule="exact"/>
              <w:jc w:val="center"/>
              <w:rPr>
                <w:bCs/>
                <w:color w:val="auto"/>
              </w:rPr>
            </w:pPr>
            <w:r>
              <w:rPr>
                <w:rFonts w:hint="eastAsia"/>
                <w:bCs/>
                <w:color w:val="auto"/>
              </w:rPr>
              <w:t>序号</w:t>
            </w:r>
          </w:p>
        </w:tc>
        <w:tc>
          <w:tcPr>
            <w:tcW w:w="873" w:type="pct"/>
            <w:vAlign w:val="center"/>
          </w:tcPr>
          <w:p w14:paraId="7811277D">
            <w:pPr>
              <w:spacing w:line="260" w:lineRule="exact"/>
              <w:jc w:val="center"/>
              <w:rPr>
                <w:bCs/>
                <w:color w:val="auto"/>
              </w:rPr>
            </w:pPr>
            <w:r>
              <w:rPr>
                <w:rFonts w:hint="eastAsia"/>
                <w:bCs/>
                <w:color w:val="auto"/>
              </w:rPr>
              <w:t>设备名称</w:t>
            </w:r>
          </w:p>
        </w:tc>
        <w:tc>
          <w:tcPr>
            <w:tcW w:w="1031" w:type="pct"/>
            <w:vAlign w:val="center"/>
          </w:tcPr>
          <w:p w14:paraId="663FD794">
            <w:pPr>
              <w:spacing w:line="260" w:lineRule="exact"/>
              <w:jc w:val="center"/>
              <w:rPr>
                <w:bCs/>
                <w:color w:val="auto"/>
              </w:rPr>
            </w:pPr>
            <w:r>
              <w:rPr>
                <w:rFonts w:hint="eastAsia"/>
                <w:bCs/>
                <w:color w:val="auto"/>
              </w:rPr>
              <w:t>规格/型号</w:t>
            </w:r>
          </w:p>
        </w:tc>
        <w:tc>
          <w:tcPr>
            <w:tcW w:w="376" w:type="pct"/>
            <w:vAlign w:val="center"/>
          </w:tcPr>
          <w:p w14:paraId="20C08688">
            <w:pPr>
              <w:spacing w:line="260" w:lineRule="exact"/>
              <w:jc w:val="center"/>
              <w:rPr>
                <w:bCs/>
                <w:color w:val="auto"/>
              </w:rPr>
            </w:pPr>
            <w:r>
              <w:rPr>
                <w:rFonts w:hint="eastAsia"/>
                <w:bCs/>
                <w:color w:val="auto"/>
              </w:rPr>
              <w:t>单位</w:t>
            </w:r>
          </w:p>
        </w:tc>
        <w:tc>
          <w:tcPr>
            <w:tcW w:w="376" w:type="pct"/>
            <w:vAlign w:val="center"/>
          </w:tcPr>
          <w:p w14:paraId="4DEC7AAB">
            <w:pPr>
              <w:spacing w:line="260" w:lineRule="exact"/>
              <w:jc w:val="center"/>
              <w:rPr>
                <w:bCs/>
                <w:color w:val="auto"/>
              </w:rPr>
            </w:pPr>
            <w:r>
              <w:rPr>
                <w:rFonts w:hint="eastAsia"/>
                <w:bCs/>
                <w:color w:val="auto"/>
              </w:rPr>
              <w:t>数量</w:t>
            </w:r>
          </w:p>
        </w:tc>
        <w:tc>
          <w:tcPr>
            <w:tcW w:w="873" w:type="pct"/>
            <w:vAlign w:val="center"/>
          </w:tcPr>
          <w:p w14:paraId="2799146C">
            <w:pPr>
              <w:spacing w:line="260" w:lineRule="exact"/>
              <w:jc w:val="center"/>
              <w:rPr>
                <w:bCs/>
                <w:color w:val="auto"/>
              </w:rPr>
            </w:pPr>
            <w:r>
              <w:rPr>
                <w:rFonts w:hint="eastAsia"/>
                <w:bCs/>
                <w:color w:val="auto"/>
              </w:rPr>
              <w:t>材质</w:t>
            </w:r>
          </w:p>
        </w:tc>
        <w:tc>
          <w:tcPr>
            <w:tcW w:w="1093" w:type="pct"/>
            <w:vAlign w:val="center"/>
          </w:tcPr>
          <w:p w14:paraId="23CA1D42">
            <w:pPr>
              <w:spacing w:line="260" w:lineRule="exact"/>
              <w:jc w:val="center"/>
              <w:rPr>
                <w:bCs/>
                <w:color w:val="auto"/>
              </w:rPr>
            </w:pPr>
            <w:r>
              <w:rPr>
                <w:rFonts w:hint="eastAsia"/>
                <w:bCs/>
                <w:color w:val="auto"/>
              </w:rPr>
              <w:t>备  注</w:t>
            </w:r>
          </w:p>
        </w:tc>
      </w:tr>
      <w:tr w14:paraId="2914B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4" w:type="pct"/>
            <w:shd w:val="clear" w:color="auto" w:fill="auto"/>
            <w:vAlign w:val="center"/>
          </w:tcPr>
          <w:p w14:paraId="657E7EE5">
            <w:pPr>
              <w:spacing w:line="260" w:lineRule="exact"/>
              <w:jc w:val="center"/>
              <w:rPr>
                <w:bCs/>
                <w:color w:val="auto"/>
              </w:rPr>
            </w:pPr>
            <w:r>
              <w:rPr>
                <w:rFonts w:hint="eastAsia"/>
                <w:bCs/>
                <w:color w:val="auto"/>
              </w:rPr>
              <w:t>1</w:t>
            </w:r>
          </w:p>
        </w:tc>
        <w:tc>
          <w:tcPr>
            <w:tcW w:w="873" w:type="pct"/>
            <w:shd w:val="clear" w:color="auto" w:fill="auto"/>
            <w:vAlign w:val="center"/>
          </w:tcPr>
          <w:p w14:paraId="6E95BAD8">
            <w:pPr>
              <w:spacing w:line="260" w:lineRule="exact"/>
              <w:jc w:val="center"/>
              <w:rPr>
                <w:bCs/>
                <w:color w:val="auto"/>
              </w:rPr>
            </w:pPr>
          </w:p>
        </w:tc>
        <w:tc>
          <w:tcPr>
            <w:tcW w:w="1031" w:type="pct"/>
            <w:shd w:val="clear" w:color="auto" w:fill="auto"/>
            <w:vAlign w:val="center"/>
          </w:tcPr>
          <w:p w14:paraId="580982D5">
            <w:pPr>
              <w:spacing w:line="260" w:lineRule="exact"/>
              <w:jc w:val="center"/>
              <w:rPr>
                <w:bCs/>
                <w:color w:val="auto"/>
              </w:rPr>
            </w:pPr>
          </w:p>
        </w:tc>
        <w:tc>
          <w:tcPr>
            <w:tcW w:w="376" w:type="pct"/>
            <w:shd w:val="clear" w:color="auto" w:fill="auto"/>
            <w:vAlign w:val="center"/>
          </w:tcPr>
          <w:p w14:paraId="140C5233">
            <w:pPr>
              <w:spacing w:line="260" w:lineRule="exact"/>
              <w:jc w:val="center"/>
              <w:rPr>
                <w:bCs/>
                <w:color w:val="auto"/>
              </w:rPr>
            </w:pPr>
          </w:p>
        </w:tc>
        <w:tc>
          <w:tcPr>
            <w:tcW w:w="376" w:type="pct"/>
            <w:shd w:val="clear" w:color="auto" w:fill="auto"/>
            <w:vAlign w:val="center"/>
          </w:tcPr>
          <w:p w14:paraId="5F9A3C79">
            <w:pPr>
              <w:spacing w:line="260" w:lineRule="exact"/>
              <w:jc w:val="center"/>
              <w:rPr>
                <w:rFonts w:hint="eastAsia" w:eastAsia="宋体"/>
                <w:bCs/>
                <w:color w:val="auto"/>
                <w:lang w:eastAsia="zh-CN"/>
              </w:rPr>
            </w:pPr>
          </w:p>
        </w:tc>
        <w:tc>
          <w:tcPr>
            <w:tcW w:w="873" w:type="pct"/>
            <w:shd w:val="clear" w:color="auto" w:fill="auto"/>
            <w:vAlign w:val="center"/>
          </w:tcPr>
          <w:p w14:paraId="2378C459">
            <w:pPr>
              <w:spacing w:line="260" w:lineRule="exact"/>
              <w:jc w:val="center"/>
              <w:rPr>
                <w:bCs/>
                <w:color w:val="auto"/>
              </w:rPr>
            </w:pPr>
          </w:p>
        </w:tc>
        <w:tc>
          <w:tcPr>
            <w:tcW w:w="1093" w:type="pct"/>
            <w:shd w:val="clear" w:color="auto" w:fill="auto"/>
            <w:vAlign w:val="center"/>
          </w:tcPr>
          <w:p w14:paraId="5C7D2A47">
            <w:pPr>
              <w:spacing w:line="260" w:lineRule="exact"/>
              <w:jc w:val="center"/>
              <w:rPr>
                <w:bCs/>
                <w:color w:val="auto"/>
              </w:rPr>
            </w:pPr>
          </w:p>
        </w:tc>
      </w:tr>
      <w:tr w14:paraId="16B8B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4" w:type="pct"/>
            <w:shd w:val="clear" w:color="auto" w:fill="auto"/>
            <w:vAlign w:val="center"/>
          </w:tcPr>
          <w:p w14:paraId="10855101">
            <w:pPr>
              <w:spacing w:line="260" w:lineRule="exact"/>
              <w:jc w:val="center"/>
              <w:rPr>
                <w:rFonts w:hint="default" w:ascii="Calibri" w:hAnsi="Calibri" w:eastAsia="宋体" w:cs="Calibri"/>
                <w:bCs/>
                <w:color w:val="auto"/>
                <w:kern w:val="2"/>
                <w:sz w:val="21"/>
                <w:szCs w:val="21"/>
                <w:lang w:val="en-US" w:eastAsia="zh-CN" w:bidi="ar-SA"/>
              </w:rPr>
            </w:pPr>
            <w:r>
              <w:rPr>
                <w:rFonts w:hint="eastAsia" w:cs="Calibri"/>
                <w:bCs/>
                <w:color w:val="auto"/>
                <w:kern w:val="2"/>
                <w:sz w:val="21"/>
                <w:szCs w:val="21"/>
                <w:lang w:val="en-US" w:eastAsia="zh-CN" w:bidi="ar-SA"/>
              </w:rPr>
              <w:t>2</w:t>
            </w:r>
          </w:p>
        </w:tc>
        <w:tc>
          <w:tcPr>
            <w:tcW w:w="873" w:type="pct"/>
            <w:shd w:val="clear" w:color="auto" w:fill="auto"/>
            <w:vAlign w:val="center"/>
          </w:tcPr>
          <w:p w14:paraId="12F38595">
            <w:pPr>
              <w:spacing w:line="260" w:lineRule="exact"/>
              <w:jc w:val="center"/>
              <w:rPr>
                <w:bCs/>
                <w:color w:val="auto"/>
              </w:rPr>
            </w:pPr>
          </w:p>
        </w:tc>
        <w:tc>
          <w:tcPr>
            <w:tcW w:w="1031" w:type="pct"/>
            <w:shd w:val="clear" w:color="auto" w:fill="auto"/>
            <w:vAlign w:val="center"/>
          </w:tcPr>
          <w:p w14:paraId="3589C42B">
            <w:pPr>
              <w:spacing w:line="260" w:lineRule="exact"/>
              <w:jc w:val="center"/>
              <w:rPr>
                <w:bCs/>
                <w:color w:val="auto"/>
              </w:rPr>
            </w:pPr>
          </w:p>
        </w:tc>
        <w:tc>
          <w:tcPr>
            <w:tcW w:w="376" w:type="pct"/>
            <w:shd w:val="clear" w:color="auto" w:fill="auto"/>
            <w:vAlign w:val="center"/>
          </w:tcPr>
          <w:p w14:paraId="781EEEA3">
            <w:pPr>
              <w:spacing w:line="260" w:lineRule="exact"/>
              <w:jc w:val="center"/>
              <w:rPr>
                <w:bCs/>
                <w:color w:val="auto"/>
              </w:rPr>
            </w:pPr>
          </w:p>
        </w:tc>
        <w:tc>
          <w:tcPr>
            <w:tcW w:w="376" w:type="pct"/>
            <w:shd w:val="clear" w:color="auto" w:fill="auto"/>
            <w:vAlign w:val="center"/>
          </w:tcPr>
          <w:p w14:paraId="1642EF81">
            <w:pPr>
              <w:spacing w:line="260" w:lineRule="exact"/>
              <w:jc w:val="center"/>
              <w:rPr>
                <w:bCs/>
                <w:color w:val="auto"/>
              </w:rPr>
            </w:pPr>
          </w:p>
        </w:tc>
        <w:tc>
          <w:tcPr>
            <w:tcW w:w="873" w:type="pct"/>
            <w:shd w:val="clear" w:color="auto" w:fill="auto"/>
            <w:vAlign w:val="center"/>
          </w:tcPr>
          <w:p w14:paraId="0AB70744">
            <w:pPr>
              <w:spacing w:line="260" w:lineRule="exact"/>
              <w:jc w:val="center"/>
              <w:rPr>
                <w:bCs/>
                <w:color w:val="auto"/>
              </w:rPr>
            </w:pPr>
          </w:p>
        </w:tc>
        <w:tc>
          <w:tcPr>
            <w:tcW w:w="1093" w:type="pct"/>
            <w:shd w:val="clear" w:color="auto" w:fill="auto"/>
            <w:vAlign w:val="center"/>
          </w:tcPr>
          <w:p w14:paraId="0AF29216">
            <w:pPr>
              <w:spacing w:line="260" w:lineRule="exact"/>
              <w:jc w:val="center"/>
              <w:rPr>
                <w:bCs/>
                <w:color w:val="auto"/>
              </w:rPr>
            </w:pPr>
          </w:p>
        </w:tc>
      </w:tr>
      <w:tr w14:paraId="6FD1A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5" w:type="dxa"/>
            <w:shd w:val="clear" w:color="auto" w:fill="auto"/>
            <w:vAlign w:val="center"/>
          </w:tcPr>
          <w:p w14:paraId="7E89D664">
            <w:pPr>
              <w:spacing w:line="260" w:lineRule="exact"/>
              <w:jc w:val="center"/>
              <w:rPr>
                <w:rFonts w:ascii="Calibri" w:hAnsi="Calibri" w:eastAsia="宋体" w:cs="Calibri"/>
                <w:bCs/>
                <w:color w:val="auto"/>
                <w:kern w:val="2"/>
                <w:sz w:val="21"/>
                <w:szCs w:val="21"/>
                <w:lang w:val="en-US" w:eastAsia="zh-CN" w:bidi="ar-SA"/>
              </w:rPr>
            </w:pPr>
            <w:r>
              <w:rPr>
                <w:rFonts w:hint="eastAsia"/>
                <w:bCs/>
                <w:color w:val="auto"/>
              </w:rPr>
              <w:t>3</w:t>
            </w:r>
          </w:p>
        </w:tc>
        <w:tc>
          <w:tcPr>
            <w:tcW w:w="873" w:type="pct"/>
            <w:vAlign w:val="center"/>
          </w:tcPr>
          <w:p w14:paraId="38FF651D">
            <w:pPr>
              <w:spacing w:line="260" w:lineRule="exact"/>
              <w:jc w:val="center"/>
              <w:rPr>
                <w:bCs/>
                <w:color w:val="auto"/>
              </w:rPr>
            </w:pPr>
          </w:p>
        </w:tc>
        <w:tc>
          <w:tcPr>
            <w:tcW w:w="1031" w:type="pct"/>
            <w:vAlign w:val="center"/>
          </w:tcPr>
          <w:p w14:paraId="64008698">
            <w:pPr>
              <w:spacing w:line="260" w:lineRule="exact"/>
              <w:rPr>
                <w:bCs/>
                <w:color w:val="auto"/>
              </w:rPr>
            </w:pPr>
          </w:p>
        </w:tc>
        <w:tc>
          <w:tcPr>
            <w:tcW w:w="376" w:type="pct"/>
            <w:vAlign w:val="center"/>
          </w:tcPr>
          <w:p w14:paraId="2CC071DE">
            <w:pPr>
              <w:spacing w:line="260" w:lineRule="exact"/>
              <w:jc w:val="center"/>
              <w:rPr>
                <w:bCs/>
                <w:color w:val="auto"/>
              </w:rPr>
            </w:pPr>
          </w:p>
        </w:tc>
        <w:tc>
          <w:tcPr>
            <w:tcW w:w="376" w:type="pct"/>
            <w:vAlign w:val="center"/>
          </w:tcPr>
          <w:p w14:paraId="19757907">
            <w:pPr>
              <w:spacing w:line="260" w:lineRule="exact"/>
              <w:jc w:val="center"/>
              <w:rPr>
                <w:rFonts w:hint="eastAsia" w:eastAsia="宋体"/>
                <w:bCs/>
                <w:color w:val="auto"/>
                <w:lang w:eastAsia="zh-CN"/>
              </w:rPr>
            </w:pPr>
          </w:p>
        </w:tc>
        <w:tc>
          <w:tcPr>
            <w:tcW w:w="873" w:type="pct"/>
            <w:vAlign w:val="center"/>
          </w:tcPr>
          <w:p w14:paraId="2908A827">
            <w:pPr>
              <w:spacing w:line="260" w:lineRule="exact"/>
              <w:jc w:val="center"/>
              <w:rPr>
                <w:bCs/>
                <w:color w:val="auto"/>
              </w:rPr>
            </w:pPr>
          </w:p>
        </w:tc>
        <w:tc>
          <w:tcPr>
            <w:tcW w:w="1093" w:type="pct"/>
            <w:vAlign w:val="center"/>
          </w:tcPr>
          <w:p w14:paraId="29C1063F">
            <w:pPr>
              <w:spacing w:line="260" w:lineRule="exact"/>
              <w:jc w:val="center"/>
              <w:rPr>
                <w:rFonts w:ascii="宋体" w:hAnsi="宋体"/>
                <w:bCs/>
                <w:color w:val="auto"/>
              </w:rPr>
            </w:pPr>
          </w:p>
        </w:tc>
      </w:tr>
      <w:tr w14:paraId="565FB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5" w:type="dxa"/>
            <w:shd w:val="clear" w:color="auto" w:fill="auto"/>
            <w:vAlign w:val="center"/>
          </w:tcPr>
          <w:p w14:paraId="50CAE71B">
            <w:pPr>
              <w:spacing w:line="260" w:lineRule="exact"/>
              <w:jc w:val="center"/>
              <w:rPr>
                <w:rFonts w:ascii="Calibri" w:hAnsi="Calibri" w:eastAsia="宋体" w:cs="Calibri"/>
                <w:bCs/>
                <w:color w:val="auto"/>
                <w:kern w:val="2"/>
                <w:sz w:val="21"/>
                <w:szCs w:val="21"/>
                <w:lang w:val="en-US" w:eastAsia="zh-CN" w:bidi="ar-SA"/>
              </w:rPr>
            </w:pPr>
            <w:r>
              <w:rPr>
                <w:rFonts w:hint="eastAsia"/>
                <w:bCs/>
                <w:color w:val="auto"/>
              </w:rPr>
              <w:t>4</w:t>
            </w:r>
          </w:p>
        </w:tc>
        <w:tc>
          <w:tcPr>
            <w:tcW w:w="873" w:type="pct"/>
            <w:vAlign w:val="center"/>
          </w:tcPr>
          <w:p w14:paraId="3B5F1E0E">
            <w:pPr>
              <w:spacing w:line="260" w:lineRule="exact"/>
              <w:jc w:val="center"/>
              <w:rPr>
                <w:bCs/>
                <w:color w:val="auto"/>
              </w:rPr>
            </w:pPr>
          </w:p>
        </w:tc>
        <w:tc>
          <w:tcPr>
            <w:tcW w:w="1031" w:type="pct"/>
            <w:vAlign w:val="center"/>
          </w:tcPr>
          <w:p w14:paraId="685A10D4">
            <w:pPr>
              <w:spacing w:line="260" w:lineRule="exact"/>
              <w:jc w:val="center"/>
              <w:rPr>
                <w:bCs/>
                <w:color w:val="auto"/>
              </w:rPr>
            </w:pPr>
          </w:p>
        </w:tc>
        <w:tc>
          <w:tcPr>
            <w:tcW w:w="376" w:type="pct"/>
            <w:vAlign w:val="center"/>
          </w:tcPr>
          <w:p w14:paraId="13C81D46">
            <w:pPr>
              <w:spacing w:line="260" w:lineRule="exact"/>
              <w:jc w:val="center"/>
              <w:rPr>
                <w:bCs/>
                <w:color w:val="auto"/>
              </w:rPr>
            </w:pPr>
          </w:p>
        </w:tc>
        <w:tc>
          <w:tcPr>
            <w:tcW w:w="376" w:type="pct"/>
            <w:vAlign w:val="center"/>
          </w:tcPr>
          <w:p w14:paraId="7EC95CB2">
            <w:pPr>
              <w:spacing w:line="260" w:lineRule="exact"/>
              <w:jc w:val="center"/>
              <w:rPr>
                <w:bCs/>
                <w:color w:val="auto"/>
              </w:rPr>
            </w:pPr>
          </w:p>
        </w:tc>
        <w:tc>
          <w:tcPr>
            <w:tcW w:w="873" w:type="pct"/>
            <w:vAlign w:val="center"/>
          </w:tcPr>
          <w:p w14:paraId="409E3EA3">
            <w:pPr>
              <w:spacing w:line="260" w:lineRule="exact"/>
              <w:jc w:val="center"/>
              <w:rPr>
                <w:bCs/>
                <w:color w:val="auto"/>
              </w:rPr>
            </w:pPr>
          </w:p>
        </w:tc>
        <w:tc>
          <w:tcPr>
            <w:tcW w:w="1093" w:type="pct"/>
            <w:vAlign w:val="center"/>
          </w:tcPr>
          <w:p w14:paraId="2C7CA1E4">
            <w:pPr>
              <w:spacing w:line="260" w:lineRule="exact"/>
              <w:jc w:val="center"/>
              <w:rPr>
                <w:rFonts w:ascii="宋体" w:hAnsi="宋体" w:cs="宋体"/>
                <w:bCs/>
                <w:color w:val="auto"/>
              </w:rPr>
            </w:pPr>
          </w:p>
        </w:tc>
      </w:tr>
      <w:tr w14:paraId="5967F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5" w:type="dxa"/>
            <w:shd w:val="clear" w:color="auto" w:fill="auto"/>
            <w:vAlign w:val="center"/>
          </w:tcPr>
          <w:p w14:paraId="7DE83CC0">
            <w:pPr>
              <w:spacing w:line="260" w:lineRule="exact"/>
              <w:jc w:val="center"/>
              <w:rPr>
                <w:rFonts w:ascii="Calibri" w:hAnsi="Calibri" w:eastAsia="宋体" w:cs="Calibri"/>
                <w:bCs/>
                <w:color w:val="auto"/>
                <w:kern w:val="2"/>
                <w:sz w:val="21"/>
                <w:szCs w:val="21"/>
                <w:lang w:val="en-US" w:eastAsia="zh-CN" w:bidi="ar-SA"/>
              </w:rPr>
            </w:pPr>
            <w:r>
              <w:rPr>
                <w:rFonts w:hint="eastAsia"/>
                <w:bCs/>
                <w:color w:val="auto"/>
              </w:rPr>
              <w:t>5</w:t>
            </w:r>
          </w:p>
        </w:tc>
        <w:tc>
          <w:tcPr>
            <w:tcW w:w="873" w:type="pct"/>
            <w:vAlign w:val="center"/>
          </w:tcPr>
          <w:p w14:paraId="56279505">
            <w:pPr>
              <w:spacing w:line="260" w:lineRule="exact"/>
              <w:jc w:val="center"/>
              <w:rPr>
                <w:bCs/>
                <w:color w:val="auto"/>
              </w:rPr>
            </w:pPr>
          </w:p>
        </w:tc>
        <w:tc>
          <w:tcPr>
            <w:tcW w:w="1031" w:type="pct"/>
            <w:vAlign w:val="center"/>
          </w:tcPr>
          <w:p w14:paraId="17113ADF">
            <w:pPr>
              <w:spacing w:line="260" w:lineRule="exact"/>
              <w:jc w:val="center"/>
              <w:rPr>
                <w:bCs/>
                <w:color w:val="auto"/>
              </w:rPr>
            </w:pPr>
          </w:p>
        </w:tc>
        <w:tc>
          <w:tcPr>
            <w:tcW w:w="376" w:type="pct"/>
            <w:vAlign w:val="center"/>
          </w:tcPr>
          <w:p w14:paraId="0FEAEC55">
            <w:pPr>
              <w:spacing w:line="260" w:lineRule="exact"/>
              <w:jc w:val="center"/>
              <w:rPr>
                <w:bCs/>
                <w:color w:val="auto"/>
              </w:rPr>
            </w:pPr>
          </w:p>
        </w:tc>
        <w:tc>
          <w:tcPr>
            <w:tcW w:w="376" w:type="pct"/>
            <w:vAlign w:val="center"/>
          </w:tcPr>
          <w:p w14:paraId="0DBD6027">
            <w:pPr>
              <w:spacing w:line="260" w:lineRule="exact"/>
              <w:jc w:val="center"/>
              <w:rPr>
                <w:bCs/>
                <w:color w:val="auto"/>
              </w:rPr>
            </w:pPr>
          </w:p>
        </w:tc>
        <w:tc>
          <w:tcPr>
            <w:tcW w:w="873" w:type="pct"/>
            <w:vAlign w:val="center"/>
          </w:tcPr>
          <w:p w14:paraId="35B6FDB2">
            <w:pPr>
              <w:spacing w:line="260" w:lineRule="exact"/>
              <w:jc w:val="center"/>
              <w:rPr>
                <w:bCs/>
                <w:color w:val="auto"/>
              </w:rPr>
            </w:pPr>
          </w:p>
        </w:tc>
        <w:tc>
          <w:tcPr>
            <w:tcW w:w="1093" w:type="pct"/>
            <w:vAlign w:val="center"/>
          </w:tcPr>
          <w:p w14:paraId="6030DE3A">
            <w:pPr>
              <w:spacing w:line="260" w:lineRule="exact"/>
              <w:jc w:val="center"/>
              <w:rPr>
                <w:bCs/>
                <w:color w:val="auto"/>
              </w:rPr>
            </w:pPr>
          </w:p>
        </w:tc>
      </w:tr>
      <w:tr w14:paraId="79927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5" w:type="dxa"/>
            <w:shd w:val="clear" w:color="auto" w:fill="auto"/>
            <w:vAlign w:val="center"/>
          </w:tcPr>
          <w:p w14:paraId="46B5504E">
            <w:pPr>
              <w:spacing w:line="260" w:lineRule="exact"/>
              <w:jc w:val="center"/>
              <w:rPr>
                <w:rFonts w:hint="eastAsia" w:eastAsia="宋体"/>
                <w:bCs/>
                <w:color w:val="auto"/>
                <w:lang w:val="en-US" w:eastAsia="zh-CN"/>
              </w:rPr>
            </w:pPr>
            <w:r>
              <w:rPr>
                <w:rFonts w:hint="eastAsia"/>
                <w:bCs/>
                <w:color w:val="auto"/>
              </w:rPr>
              <w:t>6</w:t>
            </w:r>
          </w:p>
        </w:tc>
        <w:tc>
          <w:tcPr>
            <w:tcW w:w="873" w:type="pct"/>
            <w:vAlign w:val="center"/>
          </w:tcPr>
          <w:p w14:paraId="686B8C77">
            <w:pPr>
              <w:spacing w:line="260" w:lineRule="exact"/>
              <w:jc w:val="center"/>
              <w:rPr>
                <w:bCs/>
                <w:color w:val="auto"/>
              </w:rPr>
            </w:pPr>
          </w:p>
        </w:tc>
        <w:tc>
          <w:tcPr>
            <w:tcW w:w="1031" w:type="pct"/>
            <w:vAlign w:val="center"/>
          </w:tcPr>
          <w:p w14:paraId="27FDFD1D">
            <w:pPr>
              <w:spacing w:line="260" w:lineRule="exact"/>
              <w:jc w:val="center"/>
              <w:rPr>
                <w:bCs/>
                <w:color w:val="auto"/>
              </w:rPr>
            </w:pPr>
          </w:p>
        </w:tc>
        <w:tc>
          <w:tcPr>
            <w:tcW w:w="376" w:type="pct"/>
            <w:vAlign w:val="center"/>
          </w:tcPr>
          <w:p w14:paraId="73F64BB6">
            <w:pPr>
              <w:spacing w:line="260" w:lineRule="exact"/>
              <w:jc w:val="center"/>
              <w:rPr>
                <w:bCs/>
                <w:color w:val="auto"/>
              </w:rPr>
            </w:pPr>
          </w:p>
        </w:tc>
        <w:tc>
          <w:tcPr>
            <w:tcW w:w="376" w:type="pct"/>
            <w:vAlign w:val="center"/>
          </w:tcPr>
          <w:p w14:paraId="6BAD6ECD">
            <w:pPr>
              <w:spacing w:line="260" w:lineRule="exact"/>
              <w:jc w:val="center"/>
              <w:rPr>
                <w:bCs/>
                <w:color w:val="auto"/>
              </w:rPr>
            </w:pPr>
          </w:p>
        </w:tc>
        <w:tc>
          <w:tcPr>
            <w:tcW w:w="873" w:type="pct"/>
            <w:vAlign w:val="center"/>
          </w:tcPr>
          <w:p w14:paraId="199BBCD5">
            <w:pPr>
              <w:spacing w:line="260" w:lineRule="exact"/>
              <w:jc w:val="center"/>
              <w:rPr>
                <w:bCs/>
                <w:color w:val="auto"/>
              </w:rPr>
            </w:pPr>
          </w:p>
        </w:tc>
        <w:tc>
          <w:tcPr>
            <w:tcW w:w="1093" w:type="pct"/>
            <w:vAlign w:val="center"/>
          </w:tcPr>
          <w:p w14:paraId="46442572">
            <w:pPr>
              <w:spacing w:line="260" w:lineRule="exact"/>
              <w:jc w:val="center"/>
              <w:rPr>
                <w:bCs/>
                <w:color w:val="auto"/>
              </w:rPr>
            </w:pPr>
          </w:p>
        </w:tc>
      </w:tr>
    </w:tbl>
    <w:p w14:paraId="49097DC5">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w:t>
      </w:r>
      <w:r>
        <w:rPr>
          <w:rFonts w:hint="eastAsia" w:ascii="Times New Roman" w:hAnsi="Times New Roman" w:cs="宋体"/>
          <w:color w:val="auto"/>
          <w:sz w:val="24"/>
          <w:szCs w:val="24"/>
        </w:rPr>
        <w:t>2.3-2</w:t>
      </w:r>
      <w:r>
        <w:rPr>
          <w:rFonts w:hint="eastAsia" w:ascii="Times New Roman" w:hAnsi="Times New Roman" w:cs="宋体"/>
          <w:color w:val="auto"/>
          <w:sz w:val="24"/>
          <w:szCs w:val="24"/>
          <w:lang w:val="zh-CN"/>
        </w:rPr>
        <w:t xml:space="preserve"> 主要建（构）筑物一览表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621"/>
        <w:gridCol w:w="717"/>
        <w:gridCol w:w="1102"/>
        <w:gridCol w:w="1251"/>
        <w:gridCol w:w="1770"/>
        <w:gridCol w:w="1907"/>
      </w:tblGrid>
      <w:tr w14:paraId="7BDDB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vAlign w:val="center"/>
          </w:tcPr>
          <w:p w14:paraId="3B51431C">
            <w:pPr>
              <w:jc w:val="center"/>
              <w:rPr>
                <w:b/>
                <w:color w:val="auto"/>
              </w:rPr>
            </w:pPr>
            <w:r>
              <w:rPr>
                <w:rFonts w:hint="eastAsia"/>
                <w:b/>
                <w:color w:val="auto"/>
              </w:rPr>
              <w:t>序号</w:t>
            </w:r>
          </w:p>
        </w:tc>
        <w:tc>
          <w:tcPr>
            <w:tcW w:w="1621" w:type="dxa"/>
            <w:vAlign w:val="center"/>
          </w:tcPr>
          <w:p w14:paraId="6A0D1A1E">
            <w:pPr>
              <w:jc w:val="center"/>
              <w:rPr>
                <w:b/>
                <w:color w:val="auto"/>
              </w:rPr>
            </w:pPr>
            <w:r>
              <w:rPr>
                <w:rFonts w:hint="eastAsia"/>
                <w:b/>
                <w:color w:val="auto"/>
              </w:rPr>
              <w:t>名称</w:t>
            </w:r>
          </w:p>
        </w:tc>
        <w:tc>
          <w:tcPr>
            <w:tcW w:w="717" w:type="dxa"/>
            <w:vAlign w:val="center"/>
          </w:tcPr>
          <w:p w14:paraId="083D95C5">
            <w:pPr>
              <w:jc w:val="center"/>
              <w:rPr>
                <w:b/>
                <w:color w:val="auto"/>
              </w:rPr>
            </w:pPr>
            <w:r>
              <w:rPr>
                <w:rFonts w:hint="eastAsia"/>
                <w:b/>
                <w:color w:val="auto"/>
              </w:rPr>
              <w:t>数量</w:t>
            </w:r>
          </w:p>
        </w:tc>
        <w:tc>
          <w:tcPr>
            <w:tcW w:w="1102" w:type="dxa"/>
            <w:vAlign w:val="center"/>
          </w:tcPr>
          <w:p w14:paraId="175DD9A4">
            <w:pPr>
              <w:jc w:val="center"/>
              <w:rPr>
                <w:b/>
                <w:color w:val="auto"/>
              </w:rPr>
            </w:pPr>
            <w:r>
              <w:rPr>
                <w:rFonts w:hint="eastAsia"/>
                <w:b/>
                <w:color w:val="auto"/>
              </w:rPr>
              <w:t>占地面积</w:t>
            </w:r>
          </w:p>
        </w:tc>
        <w:tc>
          <w:tcPr>
            <w:tcW w:w="1251" w:type="dxa"/>
            <w:vAlign w:val="center"/>
          </w:tcPr>
          <w:p w14:paraId="428F297A">
            <w:pPr>
              <w:jc w:val="center"/>
              <w:rPr>
                <w:b/>
                <w:color w:val="auto"/>
              </w:rPr>
            </w:pPr>
            <w:r>
              <w:rPr>
                <w:rFonts w:hint="eastAsia"/>
                <w:b/>
                <w:color w:val="auto"/>
              </w:rPr>
              <w:t>耐火等级</w:t>
            </w:r>
          </w:p>
        </w:tc>
        <w:tc>
          <w:tcPr>
            <w:tcW w:w="1770" w:type="dxa"/>
            <w:vAlign w:val="center"/>
          </w:tcPr>
          <w:p w14:paraId="2EC47E2E">
            <w:pPr>
              <w:jc w:val="center"/>
              <w:rPr>
                <w:b/>
                <w:color w:val="auto"/>
              </w:rPr>
            </w:pPr>
            <w:r>
              <w:rPr>
                <w:rFonts w:hint="eastAsia"/>
                <w:b/>
                <w:color w:val="auto"/>
              </w:rPr>
              <w:t>结构类型</w:t>
            </w:r>
          </w:p>
        </w:tc>
        <w:tc>
          <w:tcPr>
            <w:tcW w:w="1907" w:type="dxa"/>
            <w:vAlign w:val="center"/>
          </w:tcPr>
          <w:p w14:paraId="170DECE4">
            <w:pPr>
              <w:jc w:val="center"/>
              <w:rPr>
                <w:b/>
                <w:color w:val="auto"/>
              </w:rPr>
            </w:pPr>
            <w:r>
              <w:rPr>
                <w:rFonts w:hint="eastAsia"/>
                <w:b/>
                <w:color w:val="auto"/>
              </w:rPr>
              <w:t>备注</w:t>
            </w:r>
          </w:p>
        </w:tc>
      </w:tr>
      <w:tr w14:paraId="26CAE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vAlign w:val="center"/>
          </w:tcPr>
          <w:p w14:paraId="6B6F14C9">
            <w:pPr>
              <w:jc w:val="center"/>
              <w:rPr>
                <w:bCs/>
                <w:color w:val="auto"/>
              </w:rPr>
            </w:pPr>
            <w:r>
              <w:rPr>
                <w:bCs/>
                <w:color w:val="auto"/>
              </w:rPr>
              <w:t>1</w:t>
            </w:r>
          </w:p>
        </w:tc>
        <w:tc>
          <w:tcPr>
            <w:tcW w:w="1621" w:type="dxa"/>
            <w:vAlign w:val="center"/>
          </w:tcPr>
          <w:p w14:paraId="2F344382">
            <w:pPr>
              <w:jc w:val="center"/>
              <w:rPr>
                <w:bCs/>
                <w:color w:val="auto"/>
              </w:rPr>
            </w:pPr>
            <w:bookmarkStart w:id="278" w:name="_GoBack"/>
            <w:bookmarkEnd w:id="278"/>
          </w:p>
        </w:tc>
        <w:tc>
          <w:tcPr>
            <w:tcW w:w="717" w:type="dxa"/>
            <w:vAlign w:val="center"/>
          </w:tcPr>
          <w:p w14:paraId="5CAE8C9E">
            <w:pPr>
              <w:jc w:val="center"/>
              <w:rPr>
                <w:color w:val="auto"/>
              </w:rPr>
            </w:pPr>
          </w:p>
        </w:tc>
        <w:tc>
          <w:tcPr>
            <w:tcW w:w="1102" w:type="dxa"/>
            <w:vAlign w:val="center"/>
          </w:tcPr>
          <w:p w14:paraId="1C62B322">
            <w:pPr>
              <w:jc w:val="center"/>
              <w:rPr>
                <w:bCs/>
                <w:color w:val="auto"/>
              </w:rPr>
            </w:pPr>
          </w:p>
        </w:tc>
        <w:tc>
          <w:tcPr>
            <w:tcW w:w="1251" w:type="dxa"/>
            <w:vAlign w:val="center"/>
          </w:tcPr>
          <w:p w14:paraId="059C6B94">
            <w:pPr>
              <w:jc w:val="center"/>
              <w:rPr>
                <w:bCs/>
                <w:color w:val="auto"/>
              </w:rPr>
            </w:pPr>
          </w:p>
        </w:tc>
        <w:tc>
          <w:tcPr>
            <w:tcW w:w="1770" w:type="dxa"/>
            <w:vAlign w:val="center"/>
          </w:tcPr>
          <w:p w14:paraId="2D4B0A76">
            <w:pPr>
              <w:jc w:val="center"/>
              <w:rPr>
                <w:rFonts w:hint="eastAsia" w:eastAsia="宋体"/>
                <w:bCs/>
                <w:color w:val="auto"/>
                <w:lang w:eastAsia="zh-CN"/>
              </w:rPr>
            </w:pPr>
          </w:p>
        </w:tc>
        <w:tc>
          <w:tcPr>
            <w:tcW w:w="1907" w:type="dxa"/>
            <w:vAlign w:val="center"/>
          </w:tcPr>
          <w:p w14:paraId="380E1B33">
            <w:pPr>
              <w:jc w:val="center"/>
              <w:rPr>
                <w:bCs/>
                <w:color w:val="auto"/>
              </w:rPr>
            </w:pPr>
          </w:p>
        </w:tc>
      </w:tr>
      <w:tr w14:paraId="3E6D0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shd w:val="clear" w:color="auto" w:fill="auto"/>
            <w:vAlign w:val="center"/>
          </w:tcPr>
          <w:p w14:paraId="1F1F385C">
            <w:pPr>
              <w:jc w:val="center"/>
              <w:rPr>
                <w:bCs/>
                <w:color w:val="auto"/>
              </w:rPr>
            </w:pPr>
            <w:r>
              <w:rPr>
                <w:rFonts w:hint="eastAsia"/>
                <w:bCs/>
                <w:color w:val="auto"/>
              </w:rPr>
              <w:t>2</w:t>
            </w:r>
          </w:p>
        </w:tc>
        <w:tc>
          <w:tcPr>
            <w:tcW w:w="1621" w:type="dxa"/>
            <w:vAlign w:val="center"/>
          </w:tcPr>
          <w:p w14:paraId="506AC7DB">
            <w:pPr>
              <w:jc w:val="center"/>
              <w:rPr>
                <w:bCs/>
                <w:color w:val="auto"/>
              </w:rPr>
            </w:pPr>
          </w:p>
        </w:tc>
        <w:tc>
          <w:tcPr>
            <w:tcW w:w="717" w:type="dxa"/>
            <w:vAlign w:val="center"/>
          </w:tcPr>
          <w:p w14:paraId="1FD7E647">
            <w:pPr>
              <w:jc w:val="center"/>
              <w:rPr>
                <w:bCs/>
                <w:color w:val="auto"/>
              </w:rPr>
            </w:pPr>
          </w:p>
        </w:tc>
        <w:tc>
          <w:tcPr>
            <w:tcW w:w="1102" w:type="dxa"/>
            <w:vAlign w:val="center"/>
          </w:tcPr>
          <w:p w14:paraId="6D7524ED">
            <w:pPr>
              <w:jc w:val="center"/>
              <w:rPr>
                <w:bCs/>
                <w:color w:val="auto"/>
              </w:rPr>
            </w:pPr>
          </w:p>
        </w:tc>
        <w:tc>
          <w:tcPr>
            <w:tcW w:w="1251" w:type="dxa"/>
            <w:vAlign w:val="center"/>
          </w:tcPr>
          <w:p w14:paraId="7F8CB4BD">
            <w:pPr>
              <w:jc w:val="center"/>
              <w:rPr>
                <w:bCs/>
                <w:color w:val="auto"/>
              </w:rPr>
            </w:pPr>
          </w:p>
        </w:tc>
        <w:tc>
          <w:tcPr>
            <w:tcW w:w="1770" w:type="dxa"/>
            <w:vAlign w:val="center"/>
          </w:tcPr>
          <w:p w14:paraId="18777D8D">
            <w:pPr>
              <w:jc w:val="center"/>
              <w:rPr>
                <w:bCs/>
                <w:color w:val="auto"/>
              </w:rPr>
            </w:pPr>
          </w:p>
        </w:tc>
        <w:tc>
          <w:tcPr>
            <w:tcW w:w="1907" w:type="dxa"/>
            <w:vAlign w:val="center"/>
          </w:tcPr>
          <w:p w14:paraId="2DD227D4">
            <w:pPr>
              <w:jc w:val="center"/>
              <w:rPr>
                <w:bCs/>
                <w:color w:val="auto"/>
              </w:rPr>
            </w:pPr>
          </w:p>
        </w:tc>
      </w:tr>
      <w:tr w14:paraId="25341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shd w:val="clear" w:color="auto" w:fill="auto"/>
            <w:vAlign w:val="center"/>
          </w:tcPr>
          <w:p w14:paraId="6BEA1FCE">
            <w:pPr>
              <w:jc w:val="center"/>
              <w:rPr>
                <w:bCs/>
                <w:color w:val="auto"/>
              </w:rPr>
            </w:pPr>
            <w:r>
              <w:rPr>
                <w:rFonts w:hint="eastAsia"/>
                <w:bCs/>
                <w:color w:val="auto"/>
              </w:rPr>
              <w:t>3</w:t>
            </w:r>
          </w:p>
        </w:tc>
        <w:tc>
          <w:tcPr>
            <w:tcW w:w="1621" w:type="dxa"/>
            <w:vAlign w:val="center"/>
          </w:tcPr>
          <w:p w14:paraId="009EA450">
            <w:pPr>
              <w:jc w:val="center"/>
              <w:rPr>
                <w:bCs/>
                <w:color w:val="auto"/>
              </w:rPr>
            </w:pPr>
          </w:p>
        </w:tc>
        <w:tc>
          <w:tcPr>
            <w:tcW w:w="717" w:type="dxa"/>
            <w:vAlign w:val="center"/>
          </w:tcPr>
          <w:p w14:paraId="19C95E2B">
            <w:pPr>
              <w:jc w:val="center"/>
              <w:rPr>
                <w:bCs/>
                <w:color w:val="auto"/>
              </w:rPr>
            </w:pPr>
          </w:p>
        </w:tc>
        <w:tc>
          <w:tcPr>
            <w:tcW w:w="1102" w:type="dxa"/>
            <w:vAlign w:val="center"/>
          </w:tcPr>
          <w:p w14:paraId="261D4DD4">
            <w:pPr>
              <w:jc w:val="center"/>
              <w:rPr>
                <w:rFonts w:hint="eastAsia" w:eastAsia="宋体"/>
                <w:bCs/>
                <w:color w:val="auto"/>
                <w:lang w:eastAsia="zh-CN"/>
              </w:rPr>
            </w:pPr>
          </w:p>
        </w:tc>
        <w:tc>
          <w:tcPr>
            <w:tcW w:w="1251" w:type="dxa"/>
            <w:vAlign w:val="center"/>
          </w:tcPr>
          <w:p w14:paraId="634FB456">
            <w:pPr>
              <w:jc w:val="center"/>
              <w:rPr>
                <w:bCs/>
                <w:color w:val="auto"/>
              </w:rPr>
            </w:pPr>
          </w:p>
        </w:tc>
        <w:tc>
          <w:tcPr>
            <w:tcW w:w="1770" w:type="dxa"/>
            <w:vAlign w:val="center"/>
          </w:tcPr>
          <w:p w14:paraId="4E89FCD2">
            <w:pPr>
              <w:jc w:val="center"/>
              <w:rPr>
                <w:bCs/>
                <w:color w:val="auto"/>
              </w:rPr>
            </w:pPr>
          </w:p>
        </w:tc>
        <w:tc>
          <w:tcPr>
            <w:tcW w:w="1907" w:type="dxa"/>
            <w:vAlign w:val="center"/>
          </w:tcPr>
          <w:p w14:paraId="4ADF93F0">
            <w:pPr>
              <w:jc w:val="center"/>
              <w:rPr>
                <w:bCs/>
                <w:color w:val="auto"/>
              </w:rPr>
            </w:pPr>
          </w:p>
        </w:tc>
      </w:tr>
      <w:tr w14:paraId="730BD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shd w:val="clear" w:color="auto" w:fill="auto"/>
            <w:vAlign w:val="center"/>
          </w:tcPr>
          <w:p w14:paraId="7CDC71B3">
            <w:pPr>
              <w:jc w:val="center"/>
              <w:rPr>
                <w:bCs/>
                <w:color w:val="auto"/>
              </w:rPr>
            </w:pPr>
            <w:r>
              <w:rPr>
                <w:rFonts w:hint="eastAsia"/>
                <w:bCs/>
                <w:color w:val="auto"/>
              </w:rPr>
              <w:t>4</w:t>
            </w:r>
          </w:p>
        </w:tc>
        <w:tc>
          <w:tcPr>
            <w:tcW w:w="1621" w:type="dxa"/>
            <w:vAlign w:val="center"/>
          </w:tcPr>
          <w:p w14:paraId="33D54701">
            <w:pPr>
              <w:jc w:val="center"/>
              <w:rPr>
                <w:bCs/>
                <w:color w:val="auto"/>
              </w:rPr>
            </w:pPr>
          </w:p>
        </w:tc>
        <w:tc>
          <w:tcPr>
            <w:tcW w:w="717" w:type="dxa"/>
            <w:vAlign w:val="center"/>
          </w:tcPr>
          <w:p w14:paraId="5EAD8CB8">
            <w:pPr>
              <w:jc w:val="center"/>
              <w:rPr>
                <w:bCs/>
                <w:color w:val="auto"/>
              </w:rPr>
            </w:pPr>
          </w:p>
        </w:tc>
        <w:tc>
          <w:tcPr>
            <w:tcW w:w="1102" w:type="dxa"/>
            <w:vAlign w:val="center"/>
          </w:tcPr>
          <w:p w14:paraId="6519AF4B">
            <w:pPr>
              <w:jc w:val="center"/>
              <w:rPr>
                <w:bCs/>
                <w:color w:val="auto"/>
              </w:rPr>
            </w:pPr>
          </w:p>
        </w:tc>
        <w:tc>
          <w:tcPr>
            <w:tcW w:w="1251" w:type="dxa"/>
            <w:vAlign w:val="center"/>
          </w:tcPr>
          <w:p w14:paraId="6E7590C8">
            <w:pPr>
              <w:jc w:val="center"/>
              <w:rPr>
                <w:bCs/>
                <w:color w:val="auto"/>
              </w:rPr>
            </w:pPr>
          </w:p>
        </w:tc>
        <w:tc>
          <w:tcPr>
            <w:tcW w:w="1770" w:type="dxa"/>
            <w:vAlign w:val="center"/>
          </w:tcPr>
          <w:p w14:paraId="64A96C9F">
            <w:pPr>
              <w:jc w:val="center"/>
              <w:rPr>
                <w:bCs/>
                <w:color w:val="auto"/>
              </w:rPr>
            </w:pPr>
          </w:p>
        </w:tc>
        <w:tc>
          <w:tcPr>
            <w:tcW w:w="1907" w:type="dxa"/>
            <w:vAlign w:val="center"/>
          </w:tcPr>
          <w:p w14:paraId="5A0D8739">
            <w:pPr>
              <w:jc w:val="center"/>
              <w:rPr>
                <w:bCs/>
                <w:color w:val="auto"/>
              </w:rPr>
            </w:pPr>
          </w:p>
        </w:tc>
      </w:tr>
    </w:tbl>
    <w:p w14:paraId="7185E348">
      <w:pPr>
        <w:keepNext/>
        <w:keepLines/>
        <w:spacing w:line="580" w:lineRule="exact"/>
        <w:outlineLvl w:val="2"/>
        <w:rPr>
          <w:rFonts w:ascii="Times New Roman" w:hAnsi="Times New Roman" w:cs="Times New Roman"/>
          <w:b/>
          <w:bCs/>
          <w:color w:val="auto"/>
          <w:sz w:val="28"/>
          <w:szCs w:val="28"/>
        </w:rPr>
      </w:pPr>
      <w:bookmarkStart w:id="34" w:name="_Toc24392"/>
      <w:r>
        <w:rPr>
          <w:rFonts w:ascii="Times New Roman" w:hAnsi="Times New Roman" w:cs="Times New Roman"/>
          <w:b/>
          <w:bCs/>
          <w:color w:val="auto"/>
          <w:sz w:val="28"/>
          <w:szCs w:val="28"/>
        </w:rPr>
        <w:t>2.3.2</w:t>
      </w:r>
      <w:r>
        <w:rPr>
          <w:rFonts w:hint="eastAsia" w:ascii="Times New Roman" w:hAnsi="Times New Roman" w:cs="宋体"/>
          <w:b/>
          <w:bCs/>
          <w:color w:val="auto"/>
          <w:sz w:val="28"/>
          <w:szCs w:val="28"/>
        </w:rPr>
        <w:t>工艺流程</w:t>
      </w:r>
      <w:bookmarkEnd w:id="34"/>
    </w:p>
    <w:p w14:paraId="13D0080D">
      <w:pPr>
        <w:keepNext/>
        <w:keepLines/>
        <w:spacing w:line="600" w:lineRule="exact"/>
        <w:ind w:firstLine="562" w:firstLineChars="200"/>
        <w:jc w:val="left"/>
        <w:rPr>
          <w:rFonts w:ascii="Times New Roman" w:hAnsi="Times New Roman" w:eastAsia="黑体" w:cs="Times New Roman"/>
          <w:b/>
          <w:bCs/>
          <w:color w:val="auto"/>
          <w:sz w:val="28"/>
          <w:szCs w:val="28"/>
        </w:rPr>
      </w:pPr>
      <w:bookmarkStart w:id="35" w:name="_Toc22611"/>
      <w:bookmarkStart w:id="36" w:name="_Toc30405"/>
      <w:bookmarkStart w:id="37" w:name="_Toc1188"/>
      <w:r>
        <w:rPr>
          <w:rFonts w:hint="eastAsia" w:ascii="Times New Roman" w:hAnsi="Times New Roman" w:eastAsia="黑体" w:cs="Times New Roman"/>
          <w:b/>
          <w:bCs/>
          <w:color w:val="auto"/>
          <w:sz w:val="28"/>
          <w:szCs w:val="28"/>
        </w:rPr>
        <w:t>1）卸油工艺流程</w:t>
      </w:r>
      <w:bookmarkEnd w:id="35"/>
      <w:r>
        <w:rPr>
          <w:rFonts w:ascii="Times New Roman" w:hAnsi="Times New Roman" w:eastAsia="黑体" w:cs="Times New Roman"/>
          <w:b/>
          <w:bCs/>
          <w:color w:val="auto"/>
          <w:sz w:val="28"/>
          <w:szCs w:val="28"/>
        </w:rPr>
        <w:t xml:space="preserve"> </w:t>
      </w:r>
    </w:p>
    <w:p w14:paraId="30231D5F">
      <w:pPr>
        <w:widowControl/>
        <w:spacing w:line="600" w:lineRule="exact"/>
        <w:ind w:firstLine="561"/>
        <w:jc w:val="left"/>
        <w:rPr>
          <w:rFonts w:ascii="宋体" w:hAnsi="宋体" w:cs="Times New Roman"/>
          <w:color w:val="auto"/>
          <w:kern w:val="0"/>
          <w:sz w:val="28"/>
          <w:szCs w:val="28"/>
        </w:rPr>
      </w:pPr>
      <w:r>
        <w:rPr>
          <w:rFonts w:hint="eastAsia" w:ascii="宋体" w:hAnsi="宋体" w:cs="Times New Roman"/>
          <w:color w:val="auto"/>
          <w:kern w:val="0"/>
          <w:sz w:val="28"/>
          <w:szCs w:val="28"/>
        </w:rPr>
        <w:t>油罐车从石油库运至加油站罐区后，在卸油口附近停稳熄火，先用加油站的静电接地导线与油罐车卸油设施连接在一起，静置5分钟清除静电。然后用快速接头将油罐车的卸油管与埋地单层卧式储罐的快速密闭卸油口连接在一起，再开始卸油，通过量油孔计量需要卸油量。油品卸完后，检查没有溢油、漏油后，人工封闭好油罐进油口和罐车卸油口，拆除连通软管及静电接地装置。静置安全后启动车辆，在人员指挥下缓慢离开罐区。</w:t>
      </w:r>
    </w:p>
    <w:p w14:paraId="3F544BC7">
      <w:pPr>
        <w:widowControl/>
        <w:spacing w:line="600" w:lineRule="exact"/>
        <w:ind w:firstLine="561"/>
        <w:jc w:val="left"/>
        <w:rPr>
          <w:rFonts w:ascii="宋体" w:hAnsi="宋体" w:cs="Times New Roman"/>
          <w:color w:val="auto"/>
          <w:kern w:val="0"/>
          <w:sz w:val="28"/>
          <w:szCs w:val="28"/>
        </w:rPr>
      </w:pPr>
      <w:r>
        <w:rPr>
          <w:rFonts w:hint="eastAsia" w:ascii="宋体" w:hAnsi="宋体" w:cs="宋体"/>
          <w:color w:val="auto"/>
          <w:kern w:val="0"/>
          <w:sz w:val="28"/>
          <w:szCs w:val="28"/>
        </w:rPr>
        <w:t>①</w:t>
      </w:r>
      <w:r>
        <w:rPr>
          <w:rFonts w:hint="eastAsia" w:ascii="宋体" w:hAnsi="宋体" w:cs="Times New Roman"/>
          <w:color w:val="auto"/>
          <w:kern w:val="0"/>
          <w:sz w:val="28"/>
          <w:szCs w:val="28"/>
        </w:rPr>
        <w:t>汽油卸油工艺：该加油站设置汽油油气回收的卸油工艺。</w:t>
      </w:r>
    </w:p>
    <w:p w14:paraId="75899E7A">
      <w:pPr>
        <w:widowControl/>
        <w:spacing w:line="600" w:lineRule="exact"/>
        <w:ind w:firstLine="561"/>
        <w:jc w:val="left"/>
        <w:rPr>
          <w:rFonts w:ascii="宋体" w:hAnsi="宋体" w:cs="Times New Roman"/>
          <w:color w:val="auto"/>
          <w:kern w:val="0"/>
          <w:sz w:val="28"/>
          <w:szCs w:val="28"/>
        </w:rPr>
      </w:pPr>
      <w:r>
        <w:rPr>
          <w:rFonts w:hint="eastAsia" w:ascii="宋体" w:hAnsi="宋体" w:cs="Times New Roman"/>
          <w:color w:val="auto"/>
          <w:kern w:val="0"/>
          <w:sz w:val="28"/>
          <w:szCs w:val="28"/>
        </w:rPr>
        <w:t>在油罐车卸油过程中，将储油罐内逸散的油气，通过油气回收地下工艺管线及卸车软管重新收集至油罐车内，实现卸油与油气等体积置换。带油气回收的汽油卸油工艺，流程图如下：</w:t>
      </w:r>
    </w:p>
    <w:p w14:paraId="480B3C4B">
      <w:pPr>
        <w:widowControl/>
        <w:spacing w:line="600" w:lineRule="exact"/>
        <w:ind w:left="420" w:firstLine="560"/>
        <w:jc w:val="left"/>
        <w:rPr>
          <w:rFonts w:ascii="宋体" w:hAnsi="宋体" w:cs="Times New Roman"/>
          <w:color w:val="auto"/>
          <w:kern w:val="0"/>
          <w:sz w:val="24"/>
          <w:szCs w:val="24"/>
          <w:lang w:val="zh-CN"/>
        </w:rPr>
      </w:pPr>
      <w:r>
        <w:rPr>
          <w:rFonts w:ascii="宋体" w:hAnsi="宋体" w:cs="Times New Roman"/>
          <w:color w:val="auto"/>
          <w:kern w:val="0"/>
          <w:sz w:val="24"/>
          <w:szCs w:val="24"/>
        </w:rPr>
        <mc:AlternateContent>
          <mc:Choice Requires="wpg">
            <w:drawing>
              <wp:anchor distT="0" distB="0" distL="114300" distR="114300" simplePos="0" relativeHeight="251666432" behindDoc="0" locked="0" layoutInCell="1" allowOverlap="1">
                <wp:simplePos x="0" y="0"/>
                <wp:positionH relativeFrom="column">
                  <wp:posOffset>403860</wp:posOffset>
                </wp:positionH>
                <wp:positionV relativeFrom="paragraph">
                  <wp:posOffset>127000</wp:posOffset>
                </wp:positionV>
                <wp:extent cx="4905375" cy="1019810"/>
                <wp:effectExtent l="4445" t="5080" r="5080" b="22860"/>
                <wp:wrapNone/>
                <wp:docPr id="75" name="组合 18"/>
                <wp:cNvGraphicFramePr/>
                <a:graphic xmlns:a="http://schemas.openxmlformats.org/drawingml/2006/main">
                  <a:graphicData uri="http://schemas.microsoft.com/office/word/2010/wordprocessingGroup">
                    <wpg:wgp>
                      <wpg:cNvGrpSpPr/>
                      <wpg:grpSpPr>
                        <a:xfrm>
                          <a:off x="0" y="0"/>
                          <a:ext cx="4905375" cy="1019810"/>
                          <a:chOff x="0" y="0"/>
                          <a:chExt cx="7725" cy="1606"/>
                        </a:xfrm>
                      </wpg:grpSpPr>
                      <wps:wsp>
                        <wps:cNvPr id="60" name="文本框 19"/>
                        <wps:cNvSpPr txBox="1"/>
                        <wps:spPr>
                          <a:xfrm>
                            <a:off x="0" y="0"/>
                            <a:ext cx="14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A17B9C">
                              <w:pPr>
                                <w:rPr>
                                  <w:rFonts w:ascii="Times New Roman" w:hAnsi="Times New Roman" w:cs="Times New Roman"/>
                                </w:rPr>
                              </w:pPr>
                              <w:r>
                                <w:rPr>
                                  <w:rFonts w:hint="eastAsia" w:ascii="Times New Roman" w:hAnsi="Times New Roman" w:cs="Times New Roman"/>
                                </w:rPr>
                                <w:t>汽车油罐车车车</w:t>
                              </w:r>
                            </w:p>
                          </w:txbxContent>
                        </wps:txbx>
                        <wps:bodyPr upright="1"/>
                      </wps:wsp>
                      <wps:wsp>
                        <wps:cNvPr id="61" name="直线 20"/>
                        <wps:cNvCnPr/>
                        <wps:spPr>
                          <a:xfrm>
                            <a:off x="1432" y="232"/>
                            <a:ext cx="644" cy="1"/>
                          </a:xfrm>
                          <a:prstGeom prst="line">
                            <a:avLst/>
                          </a:prstGeom>
                          <a:ln w="19050" cap="flat" cmpd="sng">
                            <a:solidFill>
                              <a:srgbClr val="000000"/>
                            </a:solidFill>
                            <a:prstDash val="solid"/>
                            <a:headEnd type="none" w="med" len="med"/>
                            <a:tailEnd type="triangle" w="med" len="med"/>
                          </a:ln>
                        </wps:spPr>
                        <wps:bodyPr/>
                      </wps:wsp>
                      <wps:wsp>
                        <wps:cNvPr id="62" name="文本框 21"/>
                        <wps:cNvSpPr txBox="1"/>
                        <wps:spPr>
                          <a:xfrm>
                            <a:off x="2115" y="0"/>
                            <a:ext cx="1412"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519DC5">
                              <w:pPr>
                                <w:jc w:val="center"/>
                                <w:rPr>
                                  <w:rFonts w:ascii="Times New Roman" w:hAnsi="Times New Roman" w:cs="Times New Roman"/>
                                </w:rPr>
                              </w:pPr>
                              <w:r>
                                <w:rPr>
                                  <w:rFonts w:hint="eastAsia" w:ascii="Times New Roman" w:hAnsi="Times New Roman" w:cs="Times New Roman"/>
                                </w:rPr>
                                <w:t>导静电软管</w:t>
                              </w:r>
                            </w:p>
                          </w:txbxContent>
                        </wps:txbx>
                        <wps:bodyPr upright="1"/>
                      </wps:wsp>
                      <wps:wsp>
                        <wps:cNvPr id="63" name="直线 22"/>
                        <wps:cNvCnPr/>
                        <wps:spPr>
                          <a:xfrm>
                            <a:off x="3543" y="221"/>
                            <a:ext cx="644" cy="1"/>
                          </a:xfrm>
                          <a:prstGeom prst="line">
                            <a:avLst/>
                          </a:prstGeom>
                          <a:ln w="19050" cap="flat" cmpd="sng">
                            <a:solidFill>
                              <a:srgbClr val="000000"/>
                            </a:solidFill>
                            <a:prstDash val="solid"/>
                            <a:headEnd type="none" w="med" len="med"/>
                            <a:tailEnd type="triangle" w="med" len="med"/>
                          </a:ln>
                        </wps:spPr>
                        <wps:bodyPr/>
                      </wps:wsp>
                      <wps:wsp>
                        <wps:cNvPr id="64" name="文本框 23"/>
                        <wps:cNvSpPr txBox="1"/>
                        <wps:spPr>
                          <a:xfrm>
                            <a:off x="4211" y="0"/>
                            <a:ext cx="1359"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53CBC4">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65" name="直线 24"/>
                        <wps:cNvCnPr/>
                        <wps:spPr>
                          <a:xfrm>
                            <a:off x="5634" y="233"/>
                            <a:ext cx="644" cy="1"/>
                          </a:xfrm>
                          <a:prstGeom prst="line">
                            <a:avLst/>
                          </a:prstGeom>
                          <a:ln w="19050" cap="flat" cmpd="sng">
                            <a:solidFill>
                              <a:srgbClr val="000000"/>
                            </a:solidFill>
                            <a:prstDash val="solid"/>
                            <a:headEnd type="none" w="med" len="med"/>
                            <a:tailEnd type="triangle" w="med" len="med"/>
                          </a:ln>
                        </wps:spPr>
                        <wps:bodyPr/>
                      </wps:wsp>
                      <wps:wsp>
                        <wps:cNvPr id="66" name="文本框 25"/>
                        <wps:cNvSpPr txBox="1"/>
                        <wps:spPr>
                          <a:xfrm>
                            <a:off x="6375" y="13"/>
                            <a:ext cx="1350"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95FC38">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wps:txbx>
                        <wps:bodyPr upright="1"/>
                      </wps:wsp>
                      <wps:wsp>
                        <wps:cNvPr id="67" name="直线 26"/>
                        <wps:cNvCnPr/>
                        <wps:spPr>
                          <a:xfrm rot="5400000">
                            <a:off x="6678" y="702"/>
                            <a:ext cx="644" cy="1"/>
                          </a:xfrm>
                          <a:prstGeom prst="line">
                            <a:avLst/>
                          </a:prstGeom>
                          <a:ln w="19050" cap="flat" cmpd="sng">
                            <a:solidFill>
                              <a:srgbClr val="000000"/>
                            </a:solidFill>
                            <a:prstDash val="dash"/>
                            <a:headEnd type="none" w="med" len="med"/>
                            <a:tailEnd type="triangle" w="med" len="med"/>
                          </a:ln>
                        </wps:spPr>
                        <wps:bodyPr/>
                      </wps:wsp>
                      <wps:wsp>
                        <wps:cNvPr id="68" name="文本框 27"/>
                        <wps:cNvSpPr txBox="1"/>
                        <wps:spPr>
                          <a:xfrm>
                            <a:off x="6376" y="1140"/>
                            <a:ext cx="1325"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F83E25">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69" name="文本框 28"/>
                        <wps:cNvSpPr txBox="1"/>
                        <wps:spPr>
                          <a:xfrm>
                            <a:off x="4186" y="1125"/>
                            <a:ext cx="1369"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FB3B9E">
                              <w:pPr>
                                <w:rPr>
                                  <w:rFonts w:ascii="Times New Roman" w:hAnsi="Times New Roman" w:cs="Times New Roman"/>
                                </w:rPr>
                              </w:pPr>
                              <w:r>
                                <w:rPr>
                                  <w:rFonts w:hint="eastAsia" w:ascii="Times New Roman" w:hAnsi="Times New Roman" w:cs="Times New Roman"/>
                                </w:rPr>
                                <w:t>导静电软管</w:t>
                              </w:r>
                            </w:p>
                          </w:txbxContent>
                        </wps:txbx>
                        <wps:bodyPr upright="1"/>
                      </wps:wsp>
                      <wps:wsp>
                        <wps:cNvPr id="70" name="直线 29"/>
                        <wps:cNvCnPr/>
                        <wps:spPr>
                          <a:xfrm rot="10800000">
                            <a:off x="5613" y="1346"/>
                            <a:ext cx="644" cy="1"/>
                          </a:xfrm>
                          <a:prstGeom prst="line">
                            <a:avLst/>
                          </a:prstGeom>
                          <a:ln w="19050" cap="flat" cmpd="sng">
                            <a:solidFill>
                              <a:srgbClr val="000000"/>
                            </a:solidFill>
                            <a:prstDash val="dash"/>
                            <a:headEnd type="none" w="med" len="med"/>
                            <a:tailEnd type="triangle" w="med" len="med"/>
                          </a:ln>
                        </wps:spPr>
                        <wps:bodyPr/>
                      </wps:wsp>
                      <wps:wsp>
                        <wps:cNvPr id="71" name="直线 30"/>
                        <wps:cNvCnPr/>
                        <wps:spPr>
                          <a:xfrm rot="10800000">
                            <a:off x="3303" y="1359"/>
                            <a:ext cx="717" cy="3"/>
                          </a:xfrm>
                          <a:prstGeom prst="line">
                            <a:avLst/>
                          </a:prstGeom>
                          <a:ln w="19050" cap="flat" cmpd="sng">
                            <a:solidFill>
                              <a:srgbClr val="000000"/>
                            </a:solidFill>
                            <a:prstDash val="dash"/>
                            <a:headEnd type="none" w="med" len="med"/>
                            <a:tailEnd type="triangle" w="med" len="med"/>
                          </a:ln>
                        </wps:spPr>
                        <wps:bodyPr/>
                      </wps:wsp>
                      <wps:wsp>
                        <wps:cNvPr id="72" name="文本框 31"/>
                        <wps:cNvSpPr txBox="1"/>
                        <wps:spPr>
                          <a:xfrm>
                            <a:off x="1935" y="1140"/>
                            <a:ext cx="128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F17B9A">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73" name="直线 32"/>
                        <wps:cNvCnPr/>
                        <wps:spPr>
                          <a:xfrm rot="-10800000" flipV="1">
                            <a:off x="915" y="1330"/>
                            <a:ext cx="902" cy="16"/>
                          </a:xfrm>
                          <a:prstGeom prst="line">
                            <a:avLst/>
                          </a:prstGeom>
                          <a:ln w="19050" cap="flat" cmpd="sng">
                            <a:solidFill>
                              <a:srgbClr val="000000"/>
                            </a:solidFill>
                            <a:prstDash val="dash"/>
                            <a:headEnd type="none" w="med" len="med"/>
                            <a:tailEnd type="none" w="med" len="med"/>
                          </a:ln>
                        </wps:spPr>
                        <wps:bodyPr/>
                      </wps:wsp>
                      <wps:wsp>
                        <wps:cNvPr id="74" name="直线 33"/>
                        <wps:cNvCnPr/>
                        <wps:spPr>
                          <a:xfrm rot="-5400000">
                            <a:off x="468" y="912"/>
                            <a:ext cx="644" cy="1"/>
                          </a:xfrm>
                          <a:prstGeom prst="line">
                            <a:avLst/>
                          </a:prstGeom>
                          <a:ln w="19050" cap="flat" cmpd="sng">
                            <a:solidFill>
                              <a:srgbClr val="000000"/>
                            </a:solidFill>
                            <a:prstDash val="dash"/>
                            <a:headEnd type="none" w="med" len="med"/>
                            <a:tailEnd type="triangle" w="med" len="med"/>
                          </a:ln>
                        </wps:spPr>
                        <wps:bodyPr/>
                      </wps:wsp>
                    </wpg:wgp>
                  </a:graphicData>
                </a:graphic>
              </wp:anchor>
            </w:drawing>
          </mc:Choice>
          <mc:Fallback>
            <w:pict>
              <v:group id="组合 18" o:spid="_x0000_s1026" o:spt="203" style="position:absolute;left:0pt;margin-left:31.8pt;margin-top:10pt;height:80.3pt;width:386.25pt;z-index:251666432;mso-width-relative:page;mso-height-relative:page;" coordsize="7725,1606" o:gfxdata="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">
                <o:lock v:ext="edit" aspectratio="f"/>
                <v:shape id="文本框 19" o:spid="_x0000_s1026" o:spt="202" type="#_x0000_t202" style="position:absolute;left:0;top:0;height:466;width:1420;" fillcolor="#FFFFFF" filled="t" stroked="t" coordsize="21600,21600" o:gfxdata="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Ksp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8A17B9C">
                        <w:pPr>
                          <w:rPr>
                            <w:rFonts w:ascii="Times New Roman" w:hAnsi="Times New Roman" w:cs="Times New Roman"/>
                          </w:rPr>
                        </w:pPr>
                        <w:r>
                          <w:rPr>
                            <w:rFonts w:hint="eastAsia" w:ascii="Times New Roman" w:hAnsi="Times New Roman" w:cs="Times New Roman"/>
                          </w:rPr>
                          <w:t>汽车油罐车车车</w:t>
                        </w:r>
                      </w:p>
                    </w:txbxContent>
                  </v:textbox>
                </v:shape>
                <v:line id="直线 20" o:spid="_x0000_s1026" o:spt="20" style="position:absolute;left:1432;top:232;height:1;width:644;" filled="f" stroked="t" coordsize="21600,21600" o:gfxdata="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n9oy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21" o:spid="_x0000_s1026" o:spt="202" type="#_x0000_t202" style="position:absolute;left:2115;top:0;height:466;width:1412;" fillcolor="#FFFFFF" filled="t" stroked="t" coordsize="21600,21600" o:gfxdata="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dI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D519DC5">
                        <w:pPr>
                          <w:jc w:val="center"/>
                          <w:rPr>
                            <w:rFonts w:ascii="Times New Roman" w:hAnsi="Times New Roman" w:cs="Times New Roman"/>
                          </w:rPr>
                        </w:pPr>
                        <w:r>
                          <w:rPr>
                            <w:rFonts w:hint="eastAsia" w:ascii="Times New Roman" w:hAnsi="Times New Roman" w:cs="Times New Roman"/>
                          </w:rPr>
                          <w:t>导静电软管</w:t>
                        </w:r>
                      </w:p>
                    </w:txbxContent>
                  </v:textbox>
                </v:shape>
                <v:line id="直线 22" o:spid="_x0000_s1026" o:spt="20" style="position:absolute;left:3543;top:221;height:1;width:644;" filled="f" stroked="t" coordsize="21600,21600" o:gfxdata="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5zWC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23" o:spid="_x0000_s1026" o:spt="202" type="#_x0000_t202" style="position:absolute;left:4211;top:0;height:466;width:1359;" fillcolor="#FFFFFF" filled="t" stroked="t" coordsize="21600,21600" o:gfxdata="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mq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053CBC4">
                        <w:pPr>
                          <w:jc w:val="center"/>
                          <w:rPr>
                            <w:rFonts w:ascii="Times New Roman" w:hAnsi="Times New Roman" w:cs="Times New Roman"/>
                          </w:rPr>
                        </w:pPr>
                        <w:r>
                          <w:rPr>
                            <w:rFonts w:hint="eastAsia" w:ascii="Times New Roman" w:hAnsi="Times New Roman" w:cs="Times New Roman"/>
                          </w:rPr>
                          <w:t>快速接头</w:t>
                        </w:r>
                      </w:p>
                    </w:txbxContent>
                  </v:textbox>
                </v:shape>
                <v:line id="直线 24" o:spid="_x0000_s1026" o:spt="20" style="position:absolute;left:5634;top:233;height:1;width:644;" filled="f" stroked="t" coordsize="21600,21600" o:gfxdata="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c8I+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25" o:spid="_x0000_s1026" o:spt="202" type="#_x0000_t202" style="position:absolute;left:6375;top:13;height:467;width:1350;" fillcolor="#FFFFFF" filled="t" stroked="t" coordsize="21600,21600" o:gfxdata="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5F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795FC38">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v:textbox>
                </v:shape>
                <v:line id="直线 26" o:spid="_x0000_s1026" o:spt="20" style="position:absolute;left:6678;top:702;height:1;width:644;rotation:5898240f;" filled="f" stroked="t" coordsize="21600,21600" o:gfxdata="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S4k28AAAA&#10;2wAAAA8AAAAAAAAAAQAgAAAAIgAAAGRycy9kb3ducmV2LnhtbFBLAQIUABQAAAAIAIdO4kAzLwWe&#10;OwAAADkAAAAQAAAAAAAAAAEAIAAAAAsBAABkcnMvc2hhcGV4bWwueG1sUEsFBgAAAAAGAAYAWwEA&#10;ALUDAAAAAA==&#10;">
                  <v:fill on="f" focussize="0,0"/>
                  <v:stroke weight="1.5pt" color="#000000" joinstyle="round" dashstyle="dash" endarrow="block"/>
                  <v:imagedata o:title=""/>
                  <o:lock v:ext="edit" aspectratio="f"/>
                </v:line>
                <v:shape id="文本框 27" o:spid="_x0000_s1026" o:spt="202" type="#_x0000_t202" style="position:absolute;left:6376;top:1140;height:466;width:1325;" fillcolor="#FFFFFF" filled="t" stroked="t" coordsize="21600,21600" o:gfxdata="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Sgo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FF83E25">
                        <w:pPr>
                          <w:jc w:val="center"/>
                          <w:rPr>
                            <w:rFonts w:ascii="Times New Roman" w:hAnsi="Times New Roman" w:cs="Times New Roman"/>
                          </w:rPr>
                        </w:pPr>
                        <w:r>
                          <w:rPr>
                            <w:rFonts w:hint="eastAsia" w:ascii="Times New Roman" w:hAnsi="Times New Roman" w:cs="Times New Roman"/>
                          </w:rPr>
                          <w:t>快速接头</w:t>
                        </w:r>
                      </w:p>
                    </w:txbxContent>
                  </v:textbox>
                </v:shape>
                <v:shape id="文本框 28" o:spid="_x0000_s1026" o:spt="202" type="#_x0000_t202" style="position:absolute;left:4186;top:1125;height:466;width:1369;" fillcolor="#FFFFFF" filled="t" stroked="t" coordsize="21600,21600" o:gfxdata="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gFO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DFB3B9E">
                        <w:pPr>
                          <w:rPr>
                            <w:rFonts w:ascii="Times New Roman" w:hAnsi="Times New Roman" w:cs="Times New Roman"/>
                          </w:rPr>
                        </w:pPr>
                        <w:r>
                          <w:rPr>
                            <w:rFonts w:hint="eastAsia" w:ascii="Times New Roman" w:hAnsi="Times New Roman" w:cs="Times New Roman"/>
                          </w:rPr>
                          <w:t>导静电软管</w:t>
                        </w:r>
                      </w:p>
                    </w:txbxContent>
                  </v:textbox>
                </v:shape>
                <v:line id="直线 29" o:spid="_x0000_s1026" o:spt="20" style="position:absolute;left:5613;top:1346;height:1;width:644;rotation:11796480f;" filled="f" stroked="t" coordsize="21600,21600" o:gfxdata="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68HZtwAAANsAAAAP&#10;AAAAAAAAAAEAIAAAACIAAABkcnMvZG93bnJldi54bWxQSwECFAAUAAAACACHTuJAMy8FnjsAAAA5&#10;AAAAEAAAAAAAAAABACAAAAAGAQAAZHJzL3NoYXBleG1sLnhtbFBLBQYAAAAABgAGAFsBAACwAwAA&#10;AAA=&#10;">
                  <v:fill on="f" focussize="0,0"/>
                  <v:stroke weight="1.5pt" color="#000000" joinstyle="round" dashstyle="dash" endarrow="block"/>
                  <v:imagedata o:title=""/>
                  <o:lock v:ext="edit" aspectratio="f"/>
                </v:line>
                <v:line id="直线 30" o:spid="_x0000_s1026" o:spt="20" style="position:absolute;left:3303;top:1359;height:3;width:717;rotation:11796480f;" filled="f" stroked="t" coordsize="21600,21600" o:gfxdata="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dkQ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shape id="文本框 31" o:spid="_x0000_s1026" o:spt="202" type="#_x0000_t202" style="position:absolute;left:1935;top:1140;height:466;width:1280;" fillcolor="#FFFFFF" filled="t" stroked="t" coordsize="21600,21600" o:gfxdata="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FAZW/&#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9F17B9A">
                        <w:pPr>
                          <w:jc w:val="center"/>
                          <w:rPr>
                            <w:rFonts w:ascii="Times New Roman" w:hAnsi="Times New Roman" w:cs="Times New Roman"/>
                          </w:rPr>
                        </w:pPr>
                        <w:r>
                          <w:rPr>
                            <w:rFonts w:hint="eastAsia" w:ascii="Times New Roman" w:hAnsi="Times New Roman" w:cs="Times New Roman"/>
                          </w:rPr>
                          <w:t>快速接头</w:t>
                        </w:r>
                      </w:p>
                    </w:txbxContent>
                  </v:textbox>
                </v:shape>
                <v:line id="直线 32" o:spid="_x0000_s1026" o:spt="20" style="position:absolute;left:915;top:1330;flip:y;height:16;width:902;rotation:11796480f;" filled="f" stroked="t" coordsize="21600,21600" o:gfxdata="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J4h68AAAA&#10;2wAAAA8AAAAAAAAAAQAgAAAAIgAAAGRycy9kb3ducmV2LnhtbFBLAQIUABQAAAAIAIdO4kAzLwWe&#10;OwAAADkAAAAQAAAAAAAAAAEAIAAAAAsBAABkcnMvc2hhcGV4bWwueG1sUEsFBgAAAAAGAAYAWwEA&#10;ALUDAAAAAA==&#10;">
                  <v:fill on="f" focussize="0,0"/>
                  <v:stroke weight="1.5pt" color="#000000" joinstyle="round" dashstyle="dash"/>
                  <v:imagedata o:title=""/>
                  <o:lock v:ext="edit" aspectratio="f"/>
                </v:line>
                <v:line id="直线 33" o:spid="_x0000_s1026" o:spt="20" style="position:absolute;left:468;top:912;height:1;width:644;rotation:-5898240f;" filled="f" stroked="t" coordsize="21600,21600" o:gfxdata="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iN3r4A&#10;AADbAAAADwAAAAAAAAABACAAAAAiAAAAZHJzL2Rvd25yZXYueG1sUEsBAhQAFAAAAAgAh07iQDMv&#10;BZ47AAAAOQAAABAAAAAAAAAAAQAgAAAADQEAAGRycy9zaGFwZXhtbC54bWxQSwUGAAAAAAYABgBb&#10;AQAAtwMAAAAA&#10;">
                  <v:fill on="f" focussize="0,0"/>
                  <v:stroke weight="1.5pt" color="#000000" joinstyle="round" dashstyle="dash" endarrow="block"/>
                  <v:imagedata o:title=""/>
                  <o:lock v:ext="edit" aspectratio="f"/>
                </v:line>
              </v:group>
            </w:pict>
          </mc:Fallback>
        </mc:AlternateContent>
      </w:r>
    </w:p>
    <w:p w14:paraId="7C09A5CA">
      <w:pPr>
        <w:spacing w:line="600" w:lineRule="exact"/>
        <w:rPr>
          <w:rFonts w:ascii="Times New Roman" w:hAnsi="Times New Roman" w:eastAsia="Times New Roman" w:cs="Times New Roman"/>
          <w:color w:val="auto"/>
          <w:sz w:val="28"/>
          <w:szCs w:val="28"/>
        </w:rPr>
      </w:pPr>
    </w:p>
    <w:p w14:paraId="145D1F4D">
      <w:pPr>
        <w:spacing w:line="600" w:lineRule="exact"/>
        <w:ind w:firstLine="422" w:firstLineChars="200"/>
        <w:rPr>
          <w:rFonts w:ascii="Times New Roman" w:hAnsi="Times New Roman" w:cs="Times New Roman"/>
          <w:b/>
          <w:bCs/>
          <w:color w:val="auto"/>
        </w:rPr>
      </w:pPr>
    </w:p>
    <w:p w14:paraId="785DFF37">
      <w:pPr>
        <w:spacing w:line="600" w:lineRule="exact"/>
        <w:ind w:firstLine="422" w:firstLineChars="200"/>
        <w:rPr>
          <w:rFonts w:ascii="Times New Roman" w:hAnsi="Times New Roman" w:cs="Times New Roman"/>
          <w:color w:val="auto"/>
          <w:sz w:val="24"/>
          <w:szCs w:val="24"/>
        </w:rPr>
      </w:pPr>
      <w:r>
        <w:rPr>
          <w:rFonts w:hint="eastAsia" w:ascii="Times New Roman" w:hAnsi="Times New Roman" w:cs="Times New Roman"/>
          <w:b/>
          <w:bCs/>
          <w:color w:val="auto"/>
        </w:rPr>
        <w:t>注：虚线箭头表示油气回收工艺路线。</w:t>
      </w:r>
    </w:p>
    <w:p w14:paraId="0D349490">
      <w:pPr>
        <w:spacing w:line="600" w:lineRule="exact"/>
        <w:ind w:firstLine="560" w:firstLineChars="200"/>
        <w:rPr>
          <w:rFonts w:ascii="Times New Roman" w:hAnsi="Times New Roman" w:cs="Times New Roman"/>
          <w:color w:val="auto"/>
          <w:sz w:val="24"/>
          <w:szCs w:val="24"/>
        </w:rPr>
      </w:pPr>
      <w:r>
        <w:rPr>
          <w:rFonts w:hint="eastAsia" w:ascii="宋体" w:hAnsi="宋体" w:cs="宋体"/>
          <w:color w:val="auto"/>
          <w:sz w:val="28"/>
          <w:szCs w:val="28"/>
        </w:rPr>
        <w:t>②</w:t>
      </w:r>
      <w:r>
        <w:rPr>
          <w:rFonts w:hint="eastAsia" w:ascii="Times New Roman" w:hAnsi="Times New Roman" w:cs="Times New Roman"/>
          <w:color w:val="auto"/>
          <w:sz w:val="28"/>
          <w:szCs w:val="28"/>
        </w:rPr>
        <w:t>柴油卸油工艺，流程图如下</w:t>
      </w:r>
      <w:r>
        <w:rPr>
          <w:rFonts w:hint="eastAsia" w:ascii="Times New Roman" w:hAnsi="Times New Roman" w:cs="Times New Roman"/>
          <w:color w:val="auto"/>
          <w:sz w:val="24"/>
          <w:szCs w:val="24"/>
        </w:rPr>
        <w:t>：</w:t>
      </w:r>
    </w:p>
    <w:p w14:paraId="5797F939">
      <w:pPr>
        <w:spacing w:line="600" w:lineRule="exact"/>
        <w:rPr>
          <w:rFonts w:ascii="Times New Roman" w:hAnsi="Times New Roman" w:eastAsia="Times New Roman" w:cs="Times New Roman"/>
          <w:color w:val="auto"/>
          <w:sz w:val="28"/>
          <w:szCs w:val="28"/>
        </w:rPr>
      </w:pPr>
      <w:r>
        <w:rPr>
          <w:rFonts w:ascii="Times New Roman" w:hAnsi="Times New Roman" w:cs="Times New Roman"/>
          <w:color w:val="auto"/>
          <w:szCs w:val="24"/>
        </w:rPr>
        <mc:AlternateContent>
          <mc:Choice Requires="wpg">
            <w:drawing>
              <wp:anchor distT="0" distB="0" distL="114300" distR="114300" simplePos="0" relativeHeight="251665408" behindDoc="0" locked="0" layoutInCell="1" allowOverlap="1">
                <wp:simplePos x="0" y="0"/>
                <wp:positionH relativeFrom="column">
                  <wp:posOffset>403860</wp:posOffset>
                </wp:positionH>
                <wp:positionV relativeFrom="paragraph">
                  <wp:posOffset>90805</wp:posOffset>
                </wp:positionV>
                <wp:extent cx="5095875" cy="303530"/>
                <wp:effectExtent l="4445" t="4445" r="5080" b="15875"/>
                <wp:wrapNone/>
                <wp:docPr id="59" name="组合 34"/>
                <wp:cNvGraphicFramePr/>
                <a:graphic xmlns:a="http://schemas.openxmlformats.org/drawingml/2006/main">
                  <a:graphicData uri="http://schemas.microsoft.com/office/word/2010/wordprocessingGroup">
                    <wpg:wgp>
                      <wpg:cNvGrpSpPr/>
                      <wpg:grpSpPr>
                        <a:xfrm>
                          <a:off x="0" y="0"/>
                          <a:ext cx="5095875" cy="303530"/>
                          <a:chOff x="0" y="0"/>
                          <a:chExt cx="6729" cy="480"/>
                        </a:xfrm>
                      </wpg:grpSpPr>
                      <wps:wsp>
                        <wps:cNvPr id="52" name="文本框 35"/>
                        <wps:cNvSpPr txBox="1"/>
                        <wps:spPr>
                          <a:xfrm>
                            <a:off x="0" y="0"/>
                            <a:ext cx="119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EA0BE3">
                              <w:pPr>
                                <w:jc w:val="center"/>
                                <w:rPr>
                                  <w:rFonts w:ascii="Times New Roman" w:hAnsi="Times New Roman" w:cs="Times New Roman"/>
                                </w:rPr>
                              </w:pPr>
                              <w:r>
                                <w:rPr>
                                  <w:rFonts w:hint="eastAsia" w:ascii="Times New Roman" w:hAnsi="Times New Roman" w:cs="Times New Roman"/>
                                </w:rPr>
                                <w:t>汽车油罐车车车</w:t>
                              </w:r>
                            </w:p>
                          </w:txbxContent>
                        </wps:txbx>
                        <wps:bodyPr upright="1"/>
                      </wps:wsp>
                      <wps:wsp>
                        <wps:cNvPr id="53" name="直线 36"/>
                        <wps:cNvCnPr/>
                        <wps:spPr>
                          <a:xfrm>
                            <a:off x="1176" y="249"/>
                            <a:ext cx="540" cy="0"/>
                          </a:xfrm>
                          <a:prstGeom prst="line">
                            <a:avLst/>
                          </a:prstGeom>
                          <a:ln w="9525" cap="flat" cmpd="sng">
                            <a:solidFill>
                              <a:srgbClr val="000000"/>
                            </a:solidFill>
                            <a:prstDash val="solid"/>
                            <a:headEnd type="none" w="med" len="med"/>
                            <a:tailEnd type="triangle" w="med" len="med"/>
                          </a:ln>
                        </wps:spPr>
                        <wps:bodyPr/>
                      </wps:wsp>
                      <wps:wsp>
                        <wps:cNvPr id="54" name="文本框 37"/>
                        <wps:cNvSpPr txBox="1"/>
                        <wps:spPr>
                          <a:xfrm>
                            <a:off x="1731" y="0"/>
                            <a:ext cx="1227"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D8D115">
                              <w:pPr>
                                <w:jc w:val="center"/>
                                <w:rPr>
                                  <w:rFonts w:ascii="Times New Roman" w:hAnsi="Times New Roman" w:cs="Times New Roman"/>
                                </w:rPr>
                              </w:pPr>
                              <w:r>
                                <w:rPr>
                                  <w:rFonts w:hint="eastAsia" w:ascii="Times New Roman" w:hAnsi="Times New Roman" w:cs="Times New Roman"/>
                                </w:rPr>
                                <w:t>导静电软管</w:t>
                              </w:r>
                            </w:p>
                          </w:txbxContent>
                        </wps:txbx>
                        <wps:bodyPr upright="1"/>
                      </wps:wsp>
                      <wps:wsp>
                        <wps:cNvPr id="55" name="直线 38"/>
                        <wps:cNvCnPr/>
                        <wps:spPr>
                          <a:xfrm>
                            <a:off x="2946" y="237"/>
                            <a:ext cx="540" cy="0"/>
                          </a:xfrm>
                          <a:prstGeom prst="line">
                            <a:avLst/>
                          </a:prstGeom>
                          <a:ln w="9525" cap="flat" cmpd="sng">
                            <a:solidFill>
                              <a:srgbClr val="000000"/>
                            </a:solidFill>
                            <a:prstDash val="solid"/>
                            <a:headEnd type="none" w="med" len="med"/>
                            <a:tailEnd type="triangle" w="med" len="med"/>
                          </a:ln>
                        </wps:spPr>
                        <wps:bodyPr/>
                      </wps:wsp>
                      <wps:wsp>
                        <wps:cNvPr id="56" name="文本框 39"/>
                        <wps:cNvSpPr txBox="1"/>
                        <wps:spPr>
                          <a:xfrm>
                            <a:off x="3531" y="0"/>
                            <a:ext cx="11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3D8977">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57" name="直线 40"/>
                        <wps:cNvCnPr/>
                        <wps:spPr>
                          <a:xfrm>
                            <a:off x="4662" y="234"/>
                            <a:ext cx="540" cy="0"/>
                          </a:xfrm>
                          <a:prstGeom prst="line">
                            <a:avLst/>
                          </a:prstGeom>
                          <a:ln w="9525" cap="flat" cmpd="sng">
                            <a:solidFill>
                              <a:srgbClr val="000000"/>
                            </a:solidFill>
                            <a:prstDash val="solid"/>
                            <a:headEnd type="none" w="med" len="med"/>
                            <a:tailEnd type="triangle" w="med" len="med"/>
                          </a:ln>
                        </wps:spPr>
                        <wps:bodyPr/>
                      </wps:wsp>
                      <wps:wsp>
                        <wps:cNvPr id="58" name="文本框 41"/>
                        <wps:cNvSpPr txBox="1"/>
                        <wps:spPr>
                          <a:xfrm>
                            <a:off x="5220" y="12"/>
                            <a:ext cx="150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93428B">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wps:txbx>
                        <wps:bodyPr upright="1"/>
                      </wps:wsp>
                    </wpg:wgp>
                  </a:graphicData>
                </a:graphic>
              </wp:anchor>
            </w:drawing>
          </mc:Choice>
          <mc:Fallback>
            <w:pict>
              <v:group id="组合 34" o:spid="_x0000_s1026" o:spt="203" style="position:absolute;left:0pt;margin-left:31.8pt;margin-top:7.15pt;height:23.9pt;width:401.25pt;z-index:251665408;mso-width-relative:page;mso-height-relative:page;" coordsize="6729,480" o:gfxdata="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">
                <o:lock v:ext="edit" aspectratio="f"/>
                <v:shape id="文本框 35" o:spid="_x0000_s1026" o:spt="202" type="#_x0000_t202" style="position:absolute;left:0;top:0;height:468;width:1191;" fillcolor="#FFFFFF" filled="t" stroked="t" coordsize="21600,21600" o:gfxdata="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F31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CEA0BE3">
                        <w:pPr>
                          <w:jc w:val="center"/>
                          <w:rPr>
                            <w:rFonts w:ascii="Times New Roman" w:hAnsi="Times New Roman" w:cs="Times New Roman"/>
                          </w:rPr>
                        </w:pPr>
                        <w:r>
                          <w:rPr>
                            <w:rFonts w:hint="eastAsia" w:ascii="Times New Roman" w:hAnsi="Times New Roman" w:cs="Times New Roman"/>
                          </w:rPr>
                          <w:t>汽车油罐车车车</w:t>
                        </w:r>
                      </w:p>
                    </w:txbxContent>
                  </v:textbox>
                </v:shape>
                <v:line id="直线 36" o:spid="_x0000_s1026" o:spt="20" style="position:absolute;left:1176;top:249;height:0;width:540;" filled="f" stroked="t"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37" o:spid="_x0000_s1026" o:spt="202" type="#_x0000_t202" style="position:absolute;left:1731;top:0;height:468;width:1227;" fillcolor="#FFFFFF" filled="t" stroked="t" coordsize="21600,21600" o:gfxdata="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g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0D8D115">
                        <w:pPr>
                          <w:jc w:val="center"/>
                          <w:rPr>
                            <w:rFonts w:ascii="Times New Roman" w:hAnsi="Times New Roman" w:cs="Times New Roman"/>
                          </w:rPr>
                        </w:pPr>
                        <w:r>
                          <w:rPr>
                            <w:rFonts w:hint="eastAsia" w:ascii="Times New Roman" w:hAnsi="Times New Roman" w:cs="Times New Roman"/>
                          </w:rPr>
                          <w:t>导静电软管</w:t>
                        </w:r>
                      </w:p>
                    </w:txbxContent>
                  </v:textbox>
                </v:shape>
                <v:line id="直线 38" o:spid="_x0000_s1026" o:spt="20" style="position:absolute;left:2946;top:237;height:0;width:540;"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39" o:spid="_x0000_s1026" o:spt="202" type="#_x0000_t202" style="position:absolute;left:3531;top:0;height:468;width:1140;" fillcolor="#FFFFFF" filled="t" stroked="t" coordsize="21600,21600" o:gfxdata="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tb9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53D8977">
                        <w:pPr>
                          <w:jc w:val="center"/>
                          <w:rPr>
                            <w:rFonts w:ascii="Times New Roman" w:hAnsi="Times New Roman" w:cs="Times New Roman"/>
                          </w:rPr>
                        </w:pPr>
                        <w:r>
                          <w:rPr>
                            <w:rFonts w:hint="eastAsia" w:ascii="Times New Roman" w:hAnsi="Times New Roman" w:cs="Times New Roman"/>
                          </w:rPr>
                          <w:t>快速接头</w:t>
                        </w:r>
                      </w:p>
                    </w:txbxContent>
                  </v:textbox>
                </v:shape>
                <v:line id="直线 40" o:spid="_x0000_s1026" o:spt="20" style="position:absolute;left:4662;top:234;height:0;width:540;" filled="f" stroked="t" coordsize="21600,21600"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41" o:spid="_x0000_s1026" o:spt="202" type="#_x0000_t202" style="position:absolute;left:5220;top:12;height:468;width:1509;" fillcolor="#FFFFFF" filled="t" stroked="t" coordsize="21600,21600" o:gfxdata="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Gof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993428B">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v:textbox>
                </v:shape>
              </v:group>
            </w:pict>
          </mc:Fallback>
        </mc:AlternateContent>
      </w:r>
    </w:p>
    <w:p w14:paraId="39A9C865">
      <w:pPr>
        <w:keepNext/>
        <w:keepLines/>
        <w:spacing w:line="600" w:lineRule="exact"/>
        <w:ind w:firstLine="562" w:firstLineChars="200"/>
        <w:jc w:val="left"/>
        <w:rPr>
          <w:rFonts w:ascii="Times New Roman" w:hAnsi="Times New Roman" w:eastAsia="黑体" w:cs="Times New Roman"/>
          <w:b/>
          <w:bCs/>
          <w:color w:val="auto"/>
          <w:sz w:val="28"/>
          <w:szCs w:val="28"/>
        </w:rPr>
      </w:pPr>
      <w:bookmarkStart w:id="38" w:name="_Toc27343"/>
      <w:bookmarkStart w:id="39" w:name="_Toc20461"/>
      <w:r>
        <w:rPr>
          <w:rFonts w:hint="eastAsia" w:ascii="Times New Roman" w:hAnsi="Times New Roman" w:eastAsia="黑体" w:cs="Times New Roman"/>
          <w:b/>
          <w:bCs/>
          <w:color w:val="auto"/>
          <w:sz w:val="28"/>
          <w:szCs w:val="28"/>
        </w:rPr>
        <w:t>2）加油工艺流程</w:t>
      </w:r>
      <w:bookmarkEnd w:id="38"/>
      <w:bookmarkEnd w:id="39"/>
    </w:p>
    <w:p w14:paraId="22BE5C29">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Times New Roman"/>
          <w:color w:val="auto"/>
          <w:spacing w:val="-4"/>
          <w:sz w:val="28"/>
          <w:szCs w:val="28"/>
        </w:rPr>
        <w:t>加油：通过油罐内的油泵将油品从储油罐抽出，经过加油机的油气分离器、计量器（加入油品的量可以从加油机的计数器上观察到），然后用加油枪加到车油箱中。带油气回收的加油工艺流程图如下：</w:t>
      </w:r>
    </w:p>
    <w:p w14:paraId="458F5459">
      <w:pPr>
        <w:spacing w:line="600" w:lineRule="exact"/>
        <w:ind w:firstLine="560" w:firstLineChars="200"/>
        <w:rPr>
          <w:rFonts w:ascii="Times New Roman" w:hAnsi="Times New Roman" w:cs="Times New Roman"/>
          <w:color w:val="auto"/>
          <w:sz w:val="28"/>
          <w:szCs w:val="28"/>
        </w:rPr>
      </w:pPr>
      <w:r>
        <w:rPr>
          <w:rFonts w:hint="eastAsia" w:ascii="宋体" w:hAnsi="宋体" w:cs="宋体"/>
          <w:color w:val="auto"/>
          <w:sz w:val="28"/>
          <w:szCs w:val="28"/>
        </w:rPr>
        <w:t>①</w:t>
      </w:r>
      <w:r>
        <w:rPr>
          <w:rFonts w:hint="eastAsia" w:ascii="Times New Roman" w:hAnsi="Times New Roman" w:cs="Times New Roman"/>
          <w:color w:val="auto"/>
          <w:sz w:val="28"/>
          <w:szCs w:val="28"/>
        </w:rPr>
        <w:t>汽油加油机加油工艺：本站设有带汽油油气回收的加油工艺。</w:t>
      </w:r>
    </w:p>
    <w:p w14:paraId="59E74232">
      <w:pPr>
        <w:spacing w:line="600" w:lineRule="exact"/>
        <w:ind w:firstLine="560" w:firstLineChars="200"/>
        <w:rPr>
          <w:rFonts w:ascii="Times New Roman" w:hAnsi="Times New Roman" w:cs="Times New Roman"/>
          <w:bCs/>
          <w:color w:val="auto"/>
          <w:sz w:val="28"/>
          <w:szCs w:val="28"/>
        </w:rPr>
      </w:pPr>
      <w:r>
        <w:rPr>
          <w:rFonts w:hint="eastAsia" w:ascii="Times New Roman" w:hAnsi="Times New Roman" w:cs="Times New Roman"/>
          <w:bCs/>
          <w:color w:val="auto"/>
          <w:sz w:val="28"/>
          <w:szCs w:val="28"/>
        </w:rPr>
        <w:t>由汽油加油机收集的油气回到汽油储油罐内。</w:t>
      </w:r>
    </w:p>
    <w:p w14:paraId="5B944C28">
      <w:pPr>
        <w:keepNext/>
        <w:keepLines/>
        <w:adjustRightInd w:val="0"/>
        <w:snapToGrid w:val="0"/>
        <w:spacing w:before="156" w:beforeLines="50" w:after="120"/>
        <w:jc w:val="center"/>
        <w:textAlignment w:val="baseline"/>
        <w:rPr>
          <w:rFonts w:ascii="Times New Roman" w:hAnsi="Times New Roman" w:eastAsia="楷体" w:cs="Times New Roman"/>
          <w:b/>
          <w:bCs/>
          <w:color w:val="auto"/>
          <w:sz w:val="32"/>
          <w:szCs w:val="28"/>
        </w:rPr>
      </w:pPr>
      <w:r>
        <w:rPr>
          <w:rFonts w:ascii="Arial" w:hAnsi="Arial" w:eastAsia="楷体" w:cs="宋体"/>
          <w:b/>
          <w:color w:val="auto"/>
          <w:sz w:val="32"/>
          <w:szCs w:val="28"/>
        </w:rPr>
        <mc:AlternateContent>
          <mc:Choice Requires="wpg">
            <w:drawing>
              <wp:anchor distT="0" distB="0" distL="114300" distR="114300" simplePos="0" relativeHeight="251664384" behindDoc="0" locked="0" layoutInCell="1" allowOverlap="1">
                <wp:simplePos x="0" y="0"/>
                <wp:positionH relativeFrom="column">
                  <wp:posOffset>390525</wp:posOffset>
                </wp:positionH>
                <wp:positionV relativeFrom="paragraph">
                  <wp:posOffset>635</wp:posOffset>
                </wp:positionV>
                <wp:extent cx="4693285" cy="1577975"/>
                <wp:effectExtent l="4445" t="4445" r="7620" b="17780"/>
                <wp:wrapNone/>
                <wp:docPr id="51" name="组合 42"/>
                <wp:cNvGraphicFramePr/>
                <a:graphic xmlns:a="http://schemas.openxmlformats.org/drawingml/2006/main">
                  <a:graphicData uri="http://schemas.microsoft.com/office/word/2010/wordprocessingGroup">
                    <wpg:wgp>
                      <wpg:cNvGrpSpPr/>
                      <wpg:grpSpPr>
                        <a:xfrm>
                          <a:off x="0" y="0"/>
                          <a:ext cx="4693285" cy="1577975"/>
                          <a:chOff x="0" y="0"/>
                          <a:chExt cx="7391" cy="2746"/>
                        </a:xfrm>
                      </wpg:grpSpPr>
                      <wps:wsp>
                        <wps:cNvPr id="29" name="文本框 43"/>
                        <wps:cNvSpPr txBox="1"/>
                        <wps:spPr>
                          <a:xfrm>
                            <a:off x="5535" y="1155"/>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E43EF3">
                              <w:pPr>
                                <w:jc w:val="center"/>
                                <w:rPr>
                                  <w:rFonts w:ascii="Times New Roman" w:hAnsi="Times New Roman" w:cs="Times New Roman"/>
                                </w:rPr>
                              </w:pPr>
                              <w:r>
                                <w:rPr>
                                  <w:rFonts w:hint="eastAsia" w:ascii="Times New Roman" w:hAnsi="Times New Roman" w:cs="Times New Roman"/>
                                  <w:b/>
                                </w:rPr>
                                <w:t>加油枪</w:t>
                              </w:r>
                            </w:p>
                          </w:txbxContent>
                        </wps:txbx>
                        <wps:bodyPr upright="1"/>
                      </wps:wsp>
                      <wps:wsp>
                        <wps:cNvPr id="30" name="文本框 44"/>
                        <wps:cNvSpPr txBox="1"/>
                        <wps:spPr>
                          <a:xfrm>
                            <a:off x="3509" y="1140"/>
                            <a:ext cx="12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345A31">
                              <w:pPr>
                                <w:jc w:val="center"/>
                                <w:rPr>
                                  <w:rFonts w:ascii="Times New Roman" w:hAnsi="Times New Roman" w:cs="Times New Roman"/>
                                </w:rPr>
                              </w:pPr>
                              <w:r>
                                <w:rPr>
                                  <w:rFonts w:hint="eastAsia" w:ascii="Times New Roman" w:hAnsi="Times New Roman" w:cs="Times New Roman"/>
                                  <w:b/>
                                </w:rPr>
                                <w:t>受油容器</w:t>
                              </w:r>
                            </w:p>
                          </w:txbxContent>
                        </wps:txbx>
                        <wps:bodyPr upright="1"/>
                      </wps:wsp>
                      <wps:wsp>
                        <wps:cNvPr id="31" name="直线 45"/>
                        <wps:cNvCnPr/>
                        <wps:spPr>
                          <a:xfrm rot="10800000">
                            <a:off x="6692" y="2454"/>
                            <a:ext cx="644" cy="1"/>
                          </a:xfrm>
                          <a:prstGeom prst="line">
                            <a:avLst/>
                          </a:prstGeom>
                          <a:ln w="19050" cap="flat" cmpd="sng">
                            <a:solidFill>
                              <a:srgbClr val="000000"/>
                            </a:solidFill>
                            <a:prstDash val="dash"/>
                            <a:headEnd type="none" w="med" len="med"/>
                            <a:tailEnd type="triangle" w="med" len="med"/>
                          </a:ln>
                        </wps:spPr>
                        <wps:bodyPr/>
                      </wps:wsp>
                      <wps:wsp>
                        <wps:cNvPr id="32" name="文本框 46"/>
                        <wps:cNvSpPr txBox="1"/>
                        <wps:spPr>
                          <a:xfrm>
                            <a:off x="5535" y="2250"/>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B91276">
                              <w:pPr>
                                <w:jc w:val="center"/>
                                <w:rPr>
                                  <w:rFonts w:ascii="Times New Roman" w:hAnsi="Times New Roman" w:cs="Times New Roman"/>
                                </w:rPr>
                              </w:pPr>
                              <w:r>
                                <w:rPr>
                                  <w:rFonts w:hint="eastAsia" w:ascii="Times New Roman" w:hAnsi="Times New Roman" w:cs="Times New Roman"/>
                                  <w:b/>
                                </w:rPr>
                                <w:t>真空泵</w:t>
                              </w:r>
                            </w:p>
                          </w:txbxContent>
                        </wps:txbx>
                        <wps:bodyPr upright="1"/>
                      </wps:wsp>
                      <wps:wsp>
                        <wps:cNvPr id="33" name="文本框 47"/>
                        <wps:cNvSpPr txBox="1"/>
                        <wps:spPr>
                          <a:xfrm>
                            <a:off x="3225" y="2280"/>
                            <a:ext cx="150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9461B5">
                              <w:pPr>
                                <w:jc w:val="center"/>
                                <w:rPr>
                                  <w:rFonts w:ascii="Times New Roman" w:hAnsi="Times New Roman" w:cs="Times New Roman"/>
                                </w:rPr>
                              </w:pPr>
                              <w:r>
                                <w:rPr>
                                  <w:rFonts w:hint="eastAsia" w:ascii="Times New Roman" w:hAnsi="Times New Roman" w:cs="Times New Roman"/>
                                  <w:b/>
                                </w:rPr>
                                <w:t>油气回收管道</w:t>
                              </w:r>
                            </w:p>
                          </w:txbxContent>
                        </wps:txbx>
                        <wps:bodyPr upright="1"/>
                      </wps:wsp>
                      <wps:wsp>
                        <wps:cNvPr id="34" name="直线 48"/>
                        <wps:cNvCnPr/>
                        <wps:spPr>
                          <a:xfrm rot="10800000">
                            <a:off x="568" y="2488"/>
                            <a:ext cx="2581" cy="12"/>
                          </a:xfrm>
                          <a:prstGeom prst="line">
                            <a:avLst/>
                          </a:prstGeom>
                          <a:ln w="19050" cap="flat" cmpd="sng">
                            <a:solidFill>
                              <a:srgbClr val="000000"/>
                            </a:solidFill>
                            <a:prstDash val="dash"/>
                            <a:headEnd type="none" w="med" len="med"/>
                            <a:tailEnd type="none" w="med" len="med"/>
                          </a:ln>
                        </wps:spPr>
                        <wps:bodyPr/>
                      </wps:wsp>
                      <wps:wsp>
                        <wps:cNvPr id="35" name="直线 49"/>
                        <wps:cNvCnPr/>
                        <wps:spPr>
                          <a:xfrm rot="10800000">
                            <a:off x="4772" y="2484"/>
                            <a:ext cx="644" cy="1"/>
                          </a:xfrm>
                          <a:prstGeom prst="line">
                            <a:avLst/>
                          </a:prstGeom>
                          <a:ln w="19050" cap="flat" cmpd="sng">
                            <a:solidFill>
                              <a:srgbClr val="000000"/>
                            </a:solidFill>
                            <a:prstDash val="dash"/>
                            <a:headEnd type="none" w="med" len="med"/>
                            <a:tailEnd type="triangle" w="med" len="med"/>
                          </a:ln>
                        </wps:spPr>
                        <wps:bodyPr/>
                      </wps:wsp>
                      <wps:wsp>
                        <wps:cNvPr id="36" name="直线 50"/>
                        <wps:cNvCnPr/>
                        <wps:spPr>
                          <a:xfrm rot="-5400000" flipV="1">
                            <a:off x="-450" y="1378"/>
                            <a:ext cx="1861" cy="1"/>
                          </a:xfrm>
                          <a:prstGeom prst="line">
                            <a:avLst/>
                          </a:prstGeom>
                          <a:ln w="19050" cap="flat" cmpd="sng">
                            <a:solidFill>
                              <a:srgbClr val="000000"/>
                            </a:solidFill>
                            <a:prstDash val="dash"/>
                            <a:headEnd type="none" w="med" len="med"/>
                            <a:tailEnd type="triangle" w="med" len="med"/>
                          </a:ln>
                        </wps:spPr>
                        <wps:bodyPr/>
                      </wps:wsp>
                      <wps:wsp>
                        <wps:cNvPr id="37" name="直线 51"/>
                        <wps:cNvCnPr/>
                        <wps:spPr>
                          <a:xfrm rot="5400000">
                            <a:off x="6261" y="1221"/>
                            <a:ext cx="2054" cy="1"/>
                          </a:xfrm>
                          <a:prstGeom prst="line">
                            <a:avLst/>
                          </a:prstGeom>
                          <a:ln w="19050" cap="flat" cmpd="sng">
                            <a:solidFill>
                              <a:srgbClr val="000000"/>
                            </a:solidFill>
                            <a:prstDash val="dash"/>
                            <a:headEnd type="none" w="med" len="med"/>
                            <a:tailEnd type="none" w="med" len="med"/>
                          </a:ln>
                        </wps:spPr>
                        <wps:bodyPr/>
                      </wps:wsp>
                      <wpg:grpSp>
                        <wpg:cNvPr id="50" name="组合 52"/>
                        <wpg:cNvGrpSpPr/>
                        <wpg:grpSpPr>
                          <a:xfrm>
                            <a:off x="0" y="0"/>
                            <a:ext cx="7379" cy="1450"/>
                            <a:chOff x="0" y="0"/>
                            <a:chExt cx="7379" cy="1450"/>
                          </a:xfrm>
                        </wpg:grpSpPr>
                        <wps:wsp>
                          <wps:cNvPr id="38" name="直线 53"/>
                          <wps:cNvCnPr/>
                          <wps:spPr>
                            <a:xfrm rot="10800000">
                              <a:off x="4802" y="1269"/>
                              <a:ext cx="644" cy="1"/>
                            </a:xfrm>
                            <a:prstGeom prst="line">
                              <a:avLst/>
                            </a:prstGeom>
                            <a:ln w="19050" cap="flat" cmpd="sng">
                              <a:solidFill>
                                <a:srgbClr val="000000"/>
                              </a:solidFill>
                              <a:prstDash val="solid"/>
                              <a:headEnd type="none" w="med" len="med"/>
                              <a:tailEnd type="triangle" w="med" len="med"/>
                            </a:ln>
                          </wps:spPr>
                          <wps:bodyPr/>
                        </wps:wsp>
                        <wps:wsp>
                          <wps:cNvPr id="39" name="直线 54"/>
                          <wps:cNvCnPr/>
                          <wps:spPr>
                            <a:xfrm>
                              <a:off x="4862" y="1450"/>
                              <a:ext cx="644" cy="1"/>
                            </a:xfrm>
                            <a:prstGeom prst="line">
                              <a:avLst/>
                            </a:prstGeom>
                            <a:ln w="19050" cap="flat" cmpd="sng">
                              <a:solidFill>
                                <a:srgbClr val="000000"/>
                              </a:solidFill>
                              <a:prstDash val="dash"/>
                              <a:headEnd type="none" w="med" len="med"/>
                              <a:tailEnd type="triangle" w="med" len="med"/>
                            </a:ln>
                          </wps:spPr>
                          <wps:bodyPr/>
                        </wps:wsp>
                        <wps:wsp>
                          <wps:cNvPr id="40" name="文本框 55"/>
                          <wps:cNvSpPr txBox="1"/>
                          <wps:spPr>
                            <a:xfrm>
                              <a:off x="0" y="0"/>
                              <a:ext cx="121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056070">
                                <w:pPr>
                                  <w:rPr>
                                    <w:rFonts w:ascii="Times New Roman" w:hAnsi="Times New Roman" w:cs="Times New Roman"/>
                                  </w:rPr>
                                </w:pPr>
                                <w:r>
                                  <w:rPr>
                                    <w:rFonts w:hint="eastAsia" w:ascii="Times New Roman" w:hAnsi="Times New Roman" w:cs="Times New Roman"/>
                                    <w:b/>
                                  </w:rPr>
                                  <w:t>埋地油罐</w:t>
                                </w:r>
                              </w:p>
                            </w:txbxContent>
                          </wps:txbx>
                          <wps:bodyPr upright="1"/>
                        </wps:wsp>
                        <wps:wsp>
                          <wps:cNvPr id="41" name="直线 56"/>
                          <wps:cNvCnPr/>
                          <wps:spPr>
                            <a:xfrm>
                              <a:off x="1221" y="232"/>
                              <a:ext cx="644" cy="1"/>
                            </a:xfrm>
                            <a:prstGeom prst="line">
                              <a:avLst/>
                            </a:prstGeom>
                            <a:ln w="19050" cap="flat" cmpd="sng">
                              <a:solidFill>
                                <a:srgbClr val="000000"/>
                              </a:solidFill>
                              <a:prstDash val="solid"/>
                              <a:headEnd type="none" w="med" len="med"/>
                              <a:tailEnd type="triangle" w="med" len="med"/>
                            </a:ln>
                          </wps:spPr>
                          <wps:bodyPr/>
                        </wps:wsp>
                        <wps:wsp>
                          <wps:cNvPr id="42" name="文本框 57"/>
                          <wps:cNvSpPr txBox="1"/>
                          <wps:spPr>
                            <a:xfrm>
                              <a:off x="1905" y="15"/>
                              <a:ext cx="100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EA1A64">
                                <w:pPr>
                                  <w:jc w:val="center"/>
                                  <w:rPr>
                                    <w:rFonts w:ascii="Times New Roman" w:hAnsi="Times New Roman" w:cs="Times New Roman"/>
                                  </w:rPr>
                                </w:pPr>
                                <w:r>
                                  <w:rPr>
                                    <w:rFonts w:hint="eastAsia" w:ascii="Times New Roman" w:hAnsi="Times New Roman" w:cs="Times New Roman"/>
                                    <w:b/>
                                  </w:rPr>
                                  <w:t>潜油泵</w:t>
                                </w:r>
                              </w:p>
                            </w:txbxContent>
                          </wps:txbx>
                          <wps:bodyPr upright="1"/>
                        </wps:wsp>
                        <wps:wsp>
                          <wps:cNvPr id="43" name="直线 58"/>
                          <wps:cNvCnPr/>
                          <wps:spPr>
                            <a:xfrm>
                              <a:off x="2942" y="236"/>
                              <a:ext cx="644" cy="1"/>
                            </a:xfrm>
                            <a:prstGeom prst="line">
                              <a:avLst/>
                            </a:prstGeom>
                            <a:ln w="19050" cap="flat" cmpd="sng">
                              <a:solidFill>
                                <a:srgbClr val="000000"/>
                              </a:solidFill>
                              <a:prstDash val="solid"/>
                              <a:headEnd type="none" w="med" len="med"/>
                              <a:tailEnd type="triangle" w="med" len="med"/>
                            </a:ln>
                          </wps:spPr>
                          <wps:bodyPr/>
                        </wps:wsp>
                        <wps:wsp>
                          <wps:cNvPr id="44" name="文本框 59"/>
                          <wps:cNvSpPr txBox="1"/>
                          <wps:spPr>
                            <a:xfrm>
                              <a:off x="3596" y="15"/>
                              <a:ext cx="1188"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FBDFD">
                                <w:pPr>
                                  <w:jc w:val="center"/>
                                  <w:rPr>
                                    <w:rFonts w:ascii="Times New Roman" w:hAnsi="Times New Roman" w:cs="Times New Roman"/>
                                  </w:rPr>
                                </w:pPr>
                                <w:r>
                                  <w:rPr>
                                    <w:rFonts w:hint="eastAsia" w:ascii="Times New Roman" w:hAnsi="Times New Roman" w:cs="Times New Roman"/>
                                    <w:b/>
                                  </w:rPr>
                                  <w:t>加油管道</w:t>
                                </w:r>
                              </w:p>
                            </w:txbxContent>
                          </wps:txbx>
                          <wps:bodyPr upright="1"/>
                        </wps:wsp>
                        <wps:wsp>
                          <wps:cNvPr id="45" name="直线 60"/>
                          <wps:cNvCnPr/>
                          <wps:spPr>
                            <a:xfrm>
                              <a:off x="4838" y="233"/>
                              <a:ext cx="644" cy="1"/>
                            </a:xfrm>
                            <a:prstGeom prst="line">
                              <a:avLst/>
                            </a:prstGeom>
                            <a:ln w="19050" cap="flat" cmpd="sng">
                              <a:solidFill>
                                <a:srgbClr val="000000"/>
                              </a:solidFill>
                              <a:prstDash val="solid"/>
                              <a:headEnd type="none" w="med" len="med"/>
                              <a:tailEnd type="triangle" w="med" len="med"/>
                            </a:ln>
                          </wps:spPr>
                          <wps:bodyPr/>
                        </wps:wsp>
                        <wps:wsp>
                          <wps:cNvPr id="46" name="文本框 61"/>
                          <wps:cNvSpPr txBox="1"/>
                          <wps:spPr>
                            <a:xfrm>
                              <a:off x="5505" y="15"/>
                              <a:ext cx="1154"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9A9AD0">
                                <w:pPr>
                                  <w:ind w:left="-34" w:leftChars="-66" w:right="-134" w:rightChars="-64" w:hanging="105" w:hangingChars="50"/>
                                  <w:jc w:val="center"/>
                                  <w:rPr>
                                    <w:rFonts w:ascii="Times New Roman" w:hAnsi="Times New Roman" w:cs="Times New Roman"/>
                                  </w:rPr>
                                </w:pPr>
                                <w:r>
                                  <w:rPr>
                                    <w:rFonts w:hint="eastAsia" w:ascii="Times New Roman" w:hAnsi="Times New Roman" w:cs="Times New Roman"/>
                                    <w:b/>
                                  </w:rPr>
                                  <w:t>加油机</w:t>
                                </w:r>
                              </w:p>
                            </w:txbxContent>
                          </wps:txbx>
                          <wps:bodyPr upright="1"/>
                        </wps:wsp>
                        <wps:wsp>
                          <wps:cNvPr id="47" name="直线 62"/>
                          <wps:cNvCnPr/>
                          <wps:spPr>
                            <a:xfrm rot="5400000">
                              <a:off x="5550" y="715"/>
                              <a:ext cx="644" cy="1"/>
                            </a:xfrm>
                            <a:prstGeom prst="line">
                              <a:avLst/>
                            </a:prstGeom>
                            <a:ln w="19050" cap="flat" cmpd="sng">
                              <a:solidFill>
                                <a:srgbClr val="000000"/>
                              </a:solidFill>
                              <a:prstDash val="solid"/>
                              <a:headEnd type="none" w="med" len="med"/>
                              <a:tailEnd type="triangle" w="med" len="med"/>
                            </a:ln>
                          </wps:spPr>
                          <wps:bodyPr/>
                        </wps:wsp>
                        <wps:wsp>
                          <wps:cNvPr id="48" name="直线 63"/>
                          <wps:cNvCnPr/>
                          <wps:spPr>
                            <a:xfrm flipV="1">
                              <a:off x="6741" y="238"/>
                              <a:ext cx="638" cy="1"/>
                            </a:xfrm>
                            <a:prstGeom prst="line">
                              <a:avLst/>
                            </a:prstGeom>
                            <a:ln w="19050" cap="flat" cmpd="sng">
                              <a:solidFill>
                                <a:srgbClr val="000000"/>
                              </a:solidFill>
                              <a:prstDash val="dash"/>
                              <a:headEnd type="none" w="med" len="med"/>
                              <a:tailEnd type="none" w="med" len="med"/>
                            </a:ln>
                          </wps:spPr>
                          <wps:bodyPr/>
                        </wps:wsp>
                        <wps:wsp>
                          <wps:cNvPr id="49" name="直线 64"/>
                          <wps:cNvCnPr/>
                          <wps:spPr>
                            <a:xfrm rot="-5400000">
                              <a:off x="5760" y="700"/>
                              <a:ext cx="644" cy="1"/>
                            </a:xfrm>
                            <a:prstGeom prst="line">
                              <a:avLst/>
                            </a:prstGeom>
                            <a:ln w="19050" cap="flat" cmpd="sng">
                              <a:solidFill>
                                <a:srgbClr val="000000"/>
                              </a:solidFill>
                              <a:prstDash val="dash"/>
                              <a:headEnd type="none" w="med" len="med"/>
                              <a:tailEnd type="triangle" w="med" len="med"/>
                            </a:ln>
                          </wps:spPr>
                          <wps:bodyPr/>
                        </wps:wsp>
                      </wpg:grpSp>
                    </wpg:wgp>
                  </a:graphicData>
                </a:graphic>
              </wp:anchor>
            </w:drawing>
          </mc:Choice>
          <mc:Fallback>
            <w:pict>
              <v:group id="组合 42" o:spid="_x0000_s1026" o:spt="203" style="position:absolute;left:0pt;margin-left:30.75pt;margin-top:0.05pt;height:124.25pt;width:369.55pt;z-index:251664384;mso-width-relative:page;mso-height-relative:page;" coordsize="7391,2746" o:gfxdata="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BD+xcw1gAAAAcBAAAPAAAAAAAAAAEAIAAAACIAAABkcnMv&#10;ZG93bnJldi54bWxQSwECFAAUAAAACACHTuJAJ/0BmpUFAAAfMQAADgAAAAAAAAABACAAAAAlAQAA&#10;ZHJzL2Uyb0RvYy54bWxQSwUGAAAAAAYABgBZAQAALAkAAAAA&#10;">
                <o:lock v:ext="edit" aspectratio="f"/>
                <v:shape id="文本框 43" o:spid="_x0000_s1026" o:spt="202" type="#_x0000_t202" style="position:absolute;left:5535;top:1155;height:466;width:1124;"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BE43EF3">
                        <w:pPr>
                          <w:jc w:val="center"/>
                          <w:rPr>
                            <w:rFonts w:ascii="Times New Roman" w:hAnsi="Times New Roman" w:cs="Times New Roman"/>
                          </w:rPr>
                        </w:pPr>
                        <w:r>
                          <w:rPr>
                            <w:rFonts w:hint="eastAsia" w:ascii="Times New Roman" w:hAnsi="Times New Roman" w:cs="Times New Roman"/>
                            <w:b/>
                          </w:rPr>
                          <w:t>加油枪</w:t>
                        </w:r>
                      </w:p>
                    </w:txbxContent>
                  </v:textbox>
                </v:shape>
                <v:shape id="文本框 44" o:spid="_x0000_s1026" o:spt="202" type="#_x0000_t202" style="position:absolute;left:3509;top:1140;height:466;width:1220;"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5345A31">
                        <w:pPr>
                          <w:jc w:val="center"/>
                          <w:rPr>
                            <w:rFonts w:ascii="Times New Roman" w:hAnsi="Times New Roman" w:cs="Times New Roman"/>
                          </w:rPr>
                        </w:pPr>
                        <w:r>
                          <w:rPr>
                            <w:rFonts w:hint="eastAsia" w:ascii="Times New Roman" w:hAnsi="Times New Roman" w:cs="Times New Roman"/>
                            <w:b/>
                          </w:rPr>
                          <w:t>受油容器</w:t>
                        </w:r>
                      </w:p>
                    </w:txbxContent>
                  </v:textbox>
                </v:shape>
                <v:line id="直线 45" o:spid="_x0000_s1026" o:spt="20" style="position:absolute;left:6692;top:2454;height:1;width:644;rotation:11796480f;" filled="f" stroked="t" coordsize="21600,21600" o:gfxdata="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3dg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shape id="文本框 46" o:spid="_x0000_s1026" o:spt="202" type="#_x0000_t202" style="position:absolute;left:5535;top:2250;height:466;width:1124;"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1B91276">
                        <w:pPr>
                          <w:jc w:val="center"/>
                          <w:rPr>
                            <w:rFonts w:ascii="Times New Roman" w:hAnsi="Times New Roman" w:cs="Times New Roman"/>
                          </w:rPr>
                        </w:pPr>
                        <w:r>
                          <w:rPr>
                            <w:rFonts w:hint="eastAsia" w:ascii="Times New Roman" w:hAnsi="Times New Roman" w:cs="Times New Roman"/>
                            <w:b/>
                          </w:rPr>
                          <w:t>真空泵</w:t>
                        </w:r>
                      </w:p>
                    </w:txbxContent>
                  </v:textbox>
                </v:shape>
                <v:shape id="文本框 47" o:spid="_x0000_s1026" o:spt="202" type="#_x0000_t202" style="position:absolute;left:3225;top:2280;height:466;width:1501;" fillcolor="#FFFFFF" filled="t" stroked="t" coordsize="21600,21600" o:gfxdata="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dz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89461B5">
                        <w:pPr>
                          <w:jc w:val="center"/>
                          <w:rPr>
                            <w:rFonts w:ascii="Times New Roman" w:hAnsi="Times New Roman" w:cs="Times New Roman"/>
                          </w:rPr>
                        </w:pPr>
                        <w:r>
                          <w:rPr>
                            <w:rFonts w:hint="eastAsia" w:ascii="Times New Roman" w:hAnsi="Times New Roman" w:cs="Times New Roman"/>
                            <w:b/>
                          </w:rPr>
                          <w:t>油气回收管道</w:t>
                        </w:r>
                      </w:p>
                    </w:txbxContent>
                  </v:textbox>
                </v:shape>
                <v:line id="直线 48" o:spid="_x0000_s1026" o:spt="20" style="position:absolute;left:568;top:2488;height:12;width:2581;rotation:11796480f;" filled="f" stroked="t" coordsize="21600,21600" o:gfxdata="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l6r4A&#10;AADbAAAADwAAAAAAAAABACAAAAAiAAAAZHJzL2Rvd25yZXYueG1sUEsBAhQAFAAAAAgAh07iQDMv&#10;BZ47AAAAOQAAABAAAAAAAAAAAQAgAAAADQEAAGRycy9zaGFwZXhtbC54bWxQSwUGAAAAAAYABgBb&#10;AQAAtwMAAAAA&#10;">
                  <v:fill on="f" focussize="0,0"/>
                  <v:stroke weight="1.5pt" color="#000000" joinstyle="round" dashstyle="dash"/>
                  <v:imagedata o:title=""/>
                  <o:lock v:ext="edit" aspectratio="f"/>
                </v:line>
                <v:line id="直线 49" o:spid="_x0000_s1026" o:spt="20" style="position:absolute;left:4772;top:2484;height:1;width:644;rotation:11796480f;" filled="f" stroked="t" coordsize="21600,21600" o:gfxdata="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9tuBugAAANsA&#10;AAAPAAAAAAAAAAEAIAAAACIAAABkcnMvZG93bnJldi54bWxQSwECFAAUAAAACACHTuJAMy8FnjsA&#10;AAA5AAAAEAAAAAAAAAABACAAAAAJAQAAZHJzL3NoYXBleG1sLnhtbFBLBQYAAAAABgAGAFsBAACz&#10;AwAAAAA=&#10;">
                  <v:fill on="f" focussize="0,0"/>
                  <v:stroke weight="1.5pt" color="#000000" joinstyle="round" dashstyle="dash" endarrow="block"/>
                  <v:imagedata o:title=""/>
                  <o:lock v:ext="edit" aspectratio="f"/>
                </v:line>
                <v:line id="直线 50" o:spid="_x0000_s1026" o:spt="20" style="position:absolute;left:-450;top:1378;flip:y;height:1;width:1861;rotation:5898240f;" filled="f" stroked="t" coordsize="21600,21600" o:gfxdata="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aFPK8AAAA&#10;2wAAAA8AAAAAAAAAAQAgAAAAIgAAAGRycy9kb3ducmV2LnhtbFBLAQIUABQAAAAIAIdO4kAzLwWe&#10;OwAAADkAAAAQAAAAAAAAAAEAIAAAAAsBAABkcnMvc2hhcGV4bWwueG1sUEsFBgAAAAAGAAYAWwEA&#10;ALUDAAAAAA==&#10;">
                  <v:fill on="f" focussize="0,0"/>
                  <v:stroke weight="1.5pt" color="#000000" joinstyle="round" dashstyle="dash" endarrow="block"/>
                  <v:imagedata o:title=""/>
                  <o:lock v:ext="edit" aspectratio="f"/>
                </v:line>
                <v:line id="直线 51" o:spid="_x0000_s1026" o:spt="20" style="position:absolute;left:6261;top:1221;height:1;width:2054;rotation:5898240f;" filled="f" stroked="t" coordsize="21600,21600" o:gfxdata="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DHV+vQAA&#10;ANsAAAAPAAAAAAAAAAEAIAAAACIAAABkcnMvZG93bnJldi54bWxQSwECFAAUAAAACACHTuJAMy8F&#10;njsAAAA5AAAAEAAAAAAAAAABACAAAAAMAQAAZHJzL3NoYXBleG1sLnhtbFBLBQYAAAAABgAGAFsB&#10;AAC2AwAAAAA=&#10;">
                  <v:fill on="f" focussize="0,0"/>
                  <v:stroke weight="1.5pt" color="#000000" joinstyle="round" dashstyle="dash"/>
                  <v:imagedata o:title=""/>
                  <o:lock v:ext="edit" aspectratio="f"/>
                </v:line>
                <v:group id="组合 52" o:spid="_x0000_s1026" o:spt="203" style="position:absolute;left:0;top:0;height:1450;width:7379;" coordsize="7379,145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line id="直线 53" o:spid="_x0000_s1026" o:spt="20" style="position:absolute;left:4802;top:1269;height:1;width:644;rotation:11796480f;" filled="f" stroked="t" coordsize="21600,21600" o:gfxdata="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DJN+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直线 54" o:spid="_x0000_s1026" o:spt="20" style="position:absolute;left:4862;top:1450;height:1;width:644;" filled="f" stroked="t" coordsize="21600,21600" o:gfxdata="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4ivu&#10;wAAAANsAAAAPAAAAAAAAAAEAIAAAACIAAABkcnMvZG93bnJldi54bWxQSwECFAAUAAAACACHTuJA&#10;My8FnjsAAAA5AAAAEAAAAAAAAAABACAAAAAPAQAAZHJzL3NoYXBleG1sLnhtbFBLBQYAAAAABgAG&#10;AFsBAAC5AwAAAAA=&#10;">
                    <v:fill on="f" focussize="0,0"/>
                    <v:stroke weight="1.5pt" color="#000000" joinstyle="round" dashstyle="dash" endarrow="block"/>
                    <v:imagedata o:title=""/>
                    <o:lock v:ext="edit" aspectratio="f"/>
                  </v:line>
                  <v:shape id="文本框 55" o:spid="_x0000_s1026" o:spt="202" type="#_x0000_t202" style="position:absolute;left:0;top:0;height:466;width:1211;" fillcolor="#FFFFFF" filled="t" stroked="t" coordsize="21600,21600"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1056070">
                          <w:pPr>
                            <w:rPr>
                              <w:rFonts w:ascii="Times New Roman" w:hAnsi="Times New Roman" w:cs="Times New Roman"/>
                            </w:rPr>
                          </w:pPr>
                          <w:r>
                            <w:rPr>
                              <w:rFonts w:hint="eastAsia" w:ascii="Times New Roman" w:hAnsi="Times New Roman" w:cs="Times New Roman"/>
                              <w:b/>
                            </w:rPr>
                            <w:t>埋地油罐</w:t>
                          </w:r>
                        </w:p>
                      </w:txbxContent>
                    </v:textbox>
                  </v:shape>
                  <v:line id="直线 56" o:spid="_x0000_s1026" o:spt="20" style="position:absolute;left:1221;top:232;height:1;width:644;" filled="f" stroked="t" coordsize="21600,21600" o:gfxdata="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Squy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57" o:spid="_x0000_s1026" o:spt="202" type="#_x0000_t202" style="position:absolute;left:1905;top:15;height:466;width:1004;"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8EA1A64">
                          <w:pPr>
                            <w:jc w:val="center"/>
                            <w:rPr>
                              <w:rFonts w:ascii="Times New Roman" w:hAnsi="Times New Roman" w:cs="Times New Roman"/>
                            </w:rPr>
                          </w:pPr>
                          <w:r>
                            <w:rPr>
                              <w:rFonts w:hint="eastAsia" w:ascii="Times New Roman" w:hAnsi="Times New Roman" w:cs="Times New Roman"/>
                              <w:b/>
                            </w:rPr>
                            <w:t>潜油泵</w:t>
                          </w:r>
                        </w:p>
                      </w:txbxContent>
                    </v:textbox>
                  </v:shape>
                  <v:line id="直线 58" o:spid="_x0000_s1026" o:spt="20" style="position:absolute;left:2942;top:236;height:1;width:644;" filled="f" stroked="t" coordsize="21600,21600" o:gfxdata="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yRAL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59" o:spid="_x0000_s1026" o:spt="202" type="#_x0000_t202" style="position:absolute;left:3596;top:15;height:466;width:1188;" fillcolor="#FFFFFF" filled="t" stroked="t" coordsize="21600,21600" o:gfxdata="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z2x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D5FBDFD">
                          <w:pPr>
                            <w:jc w:val="center"/>
                            <w:rPr>
                              <w:rFonts w:ascii="Times New Roman" w:hAnsi="Times New Roman" w:cs="Times New Roman"/>
                            </w:rPr>
                          </w:pPr>
                          <w:r>
                            <w:rPr>
                              <w:rFonts w:hint="eastAsia" w:ascii="Times New Roman" w:hAnsi="Times New Roman" w:cs="Times New Roman"/>
                              <w:b/>
                            </w:rPr>
                            <w:t>加油管道</w:t>
                          </w:r>
                        </w:p>
                      </w:txbxContent>
                    </v:textbox>
                  </v:shape>
                  <v:line id="直线 60" o:spid="_x0000_s1026" o:spt="20" style="position:absolute;left:4838;top:233;height:1;width:644;" filled="f" stroked="t" coordsize="21600,21600" o:gfxdata="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ms7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61" o:spid="_x0000_s1026" o:spt="202" type="#_x0000_t202" style="position:absolute;left:5505;top:15;height:467;width:1154;"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D9A9AD0">
                          <w:pPr>
                            <w:ind w:left="-34" w:leftChars="-66" w:right="-134" w:rightChars="-64" w:hanging="105" w:hangingChars="50"/>
                            <w:jc w:val="center"/>
                            <w:rPr>
                              <w:rFonts w:ascii="Times New Roman" w:hAnsi="Times New Roman" w:cs="Times New Roman"/>
                            </w:rPr>
                          </w:pPr>
                          <w:r>
                            <w:rPr>
                              <w:rFonts w:hint="eastAsia" w:ascii="Times New Roman" w:hAnsi="Times New Roman" w:cs="Times New Roman"/>
                              <w:b/>
                            </w:rPr>
                            <w:t>加油机</w:t>
                          </w:r>
                        </w:p>
                      </w:txbxContent>
                    </v:textbox>
                  </v:shape>
                  <v:line id="直线 62" o:spid="_x0000_s1026" o:spt="20" style="position:absolute;left:5550;top:715;height:1;width:644;rotation:5898240f;" filled="f" stroked="t" coordsize="21600,21600" o:gfxdata="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iSc6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line id="直线 63" o:spid="_x0000_s1026" o:spt="20" style="position:absolute;left:6741;top:238;flip:y;height:1;width:638;" filled="f" stroked="t" coordsize="21600,21600" o:gfxdata="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lYWuugAAANsA&#10;AAAPAAAAAAAAAAEAIAAAACIAAABkcnMvZG93bnJldi54bWxQSwECFAAUAAAACACHTuJAMy8FnjsA&#10;AAA5AAAAEAAAAAAAAAABACAAAAAJAQAAZHJzL3NoYXBleG1sLnhtbFBLBQYAAAAABgAGAFsBAACz&#10;AwAAAAA=&#10;">
                    <v:fill on="f" focussize="0,0"/>
                    <v:stroke weight="1.5pt" color="#000000" joinstyle="round" dashstyle="dash"/>
                    <v:imagedata o:title=""/>
                    <o:lock v:ext="edit" aspectratio="f"/>
                  </v:line>
                  <v:line id="直线 64" o:spid="_x0000_s1026" o:spt="20" style="position:absolute;left:5760;top:700;height:1;width:644;rotation:-5898240f;" filled="f" stroked="t" coordsize="21600,21600" o:gfxdata="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Xo/b4A&#10;AADbAAAADwAAAAAAAAABACAAAAAiAAAAZHJzL2Rvd25yZXYueG1sUEsBAhQAFAAAAAgAh07iQDMv&#10;BZ47AAAAOQAAABAAAAAAAAAAAQAgAAAADQEAAGRycy9zaGFwZXhtbC54bWxQSwUGAAAAAAYABgBb&#10;AQAAtwMAAAAA&#10;">
                    <v:fill on="f" focussize="0,0"/>
                    <v:stroke weight="1.5pt" color="#000000" joinstyle="round" dashstyle="dash" endarrow="block"/>
                    <v:imagedata o:title=""/>
                    <o:lock v:ext="edit" aspectratio="f"/>
                  </v:line>
                </v:group>
              </v:group>
            </w:pict>
          </mc:Fallback>
        </mc:AlternateContent>
      </w:r>
    </w:p>
    <w:p w14:paraId="6A9608A8">
      <w:pPr>
        <w:spacing w:line="600" w:lineRule="exact"/>
        <w:ind w:firstLine="560" w:firstLineChars="200"/>
        <w:rPr>
          <w:rFonts w:ascii="Times New Roman" w:hAnsi="Times New Roman" w:cs="Times New Roman"/>
          <w:bCs/>
          <w:color w:val="auto"/>
          <w:sz w:val="28"/>
          <w:szCs w:val="28"/>
        </w:rPr>
      </w:pPr>
    </w:p>
    <w:p w14:paraId="634115D2">
      <w:pPr>
        <w:spacing w:line="600" w:lineRule="exact"/>
        <w:ind w:firstLine="560" w:firstLineChars="200"/>
        <w:rPr>
          <w:rFonts w:ascii="Times New Roman" w:hAnsi="Times New Roman" w:cs="Times New Roman"/>
          <w:bCs/>
          <w:color w:val="auto"/>
          <w:sz w:val="28"/>
          <w:szCs w:val="28"/>
        </w:rPr>
      </w:pPr>
    </w:p>
    <w:p w14:paraId="6747451A">
      <w:pPr>
        <w:spacing w:line="600" w:lineRule="exact"/>
        <w:ind w:firstLine="560" w:firstLineChars="200"/>
        <w:rPr>
          <w:rFonts w:ascii="Times New Roman" w:hAnsi="Times New Roman" w:cs="Times New Roman"/>
          <w:bCs/>
          <w:color w:val="auto"/>
          <w:sz w:val="28"/>
          <w:szCs w:val="28"/>
        </w:rPr>
      </w:pPr>
    </w:p>
    <w:p w14:paraId="5371E1B7">
      <w:pPr>
        <w:spacing w:line="360" w:lineRule="auto"/>
        <w:ind w:firstLine="843" w:firstLineChars="400"/>
        <w:rPr>
          <w:rFonts w:ascii="Times New Roman" w:hAnsi="Times New Roman" w:cs="Times New Roman"/>
          <w:b/>
          <w:bCs/>
          <w:color w:val="auto"/>
          <w:sz w:val="24"/>
          <w:szCs w:val="24"/>
        </w:rPr>
      </w:pPr>
      <w:r>
        <w:rPr>
          <w:rFonts w:hint="eastAsia" w:ascii="Times New Roman" w:hAnsi="Times New Roman" w:cs="Times New Roman"/>
          <w:b/>
          <w:bCs/>
          <w:color w:val="auto"/>
        </w:rPr>
        <w:t>注：虚线箭头表示油气回收工艺路线。</w:t>
      </w:r>
    </w:p>
    <w:p w14:paraId="70E652B6">
      <w:pPr>
        <w:spacing w:line="600" w:lineRule="exact"/>
        <w:ind w:firstLine="560" w:firstLineChars="200"/>
        <w:rPr>
          <w:rFonts w:ascii="Times New Roman" w:hAnsi="Times New Roman" w:cs="Times New Roman"/>
          <w:color w:val="auto"/>
          <w:sz w:val="28"/>
          <w:szCs w:val="28"/>
        </w:rPr>
      </w:pPr>
      <w:r>
        <w:rPr>
          <w:rFonts w:hint="eastAsia" w:ascii="宋体" w:hAnsi="宋体" w:cs="宋体"/>
          <w:color w:val="auto"/>
          <w:sz w:val="28"/>
          <w:szCs w:val="28"/>
        </w:rPr>
        <w:t>②</w:t>
      </w:r>
      <w:r>
        <w:rPr>
          <w:rFonts w:hint="eastAsia" w:ascii="Times New Roman" w:hAnsi="Times New Roman" w:cs="Times New Roman"/>
          <w:color w:val="auto"/>
          <w:sz w:val="28"/>
          <w:szCs w:val="28"/>
        </w:rPr>
        <w:t>柴油加油机加油工艺，流程图如下：</w:t>
      </w:r>
    </w:p>
    <w:p w14:paraId="48010384">
      <w:pPr>
        <w:spacing w:line="360" w:lineRule="auto"/>
        <w:ind w:firstLine="420" w:firstLineChars="200"/>
        <w:rPr>
          <w:rFonts w:ascii="Times New Roman" w:hAnsi="Times New Roman" w:cs="Times New Roman"/>
          <w:color w:val="auto"/>
          <w:sz w:val="24"/>
          <w:szCs w:val="24"/>
        </w:rPr>
      </w:pPr>
      <w:r>
        <w:rPr>
          <w:rFonts w:ascii="Times New Roman" w:hAnsi="Times New Roman" w:cs="Times New Roman"/>
          <w:color w:val="auto"/>
          <w:szCs w:val="24"/>
        </w:rPr>
        <mc:AlternateContent>
          <mc:Choice Requires="wpg">
            <w:drawing>
              <wp:anchor distT="0" distB="0" distL="114300" distR="114300" simplePos="0" relativeHeight="251663360" behindDoc="0" locked="0" layoutInCell="1" allowOverlap="1">
                <wp:simplePos x="0" y="0"/>
                <wp:positionH relativeFrom="column">
                  <wp:posOffset>532765</wp:posOffset>
                </wp:positionH>
                <wp:positionV relativeFrom="paragraph">
                  <wp:posOffset>120015</wp:posOffset>
                </wp:positionV>
                <wp:extent cx="4228465" cy="909955"/>
                <wp:effectExtent l="4445" t="4445" r="15240" b="19050"/>
                <wp:wrapNone/>
                <wp:docPr id="28" name="组合 65"/>
                <wp:cNvGraphicFramePr/>
                <a:graphic xmlns:a="http://schemas.openxmlformats.org/drawingml/2006/main">
                  <a:graphicData uri="http://schemas.microsoft.com/office/word/2010/wordprocessingGroup">
                    <wpg:wgp>
                      <wpg:cNvGrpSpPr/>
                      <wpg:grpSpPr>
                        <a:xfrm>
                          <a:off x="0" y="0"/>
                          <a:ext cx="4228465" cy="909955"/>
                          <a:chOff x="0" y="0"/>
                          <a:chExt cx="6659" cy="1621"/>
                        </a:xfrm>
                      </wpg:grpSpPr>
                      <wps:wsp>
                        <wps:cNvPr id="17" name="直线 66"/>
                        <wps:cNvCnPr/>
                        <wps:spPr>
                          <a:xfrm rot="10800000">
                            <a:off x="4817" y="1359"/>
                            <a:ext cx="644" cy="1"/>
                          </a:xfrm>
                          <a:prstGeom prst="line">
                            <a:avLst/>
                          </a:prstGeom>
                          <a:ln w="19050" cap="flat" cmpd="sng">
                            <a:solidFill>
                              <a:srgbClr val="000000"/>
                            </a:solidFill>
                            <a:prstDash val="solid"/>
                            <a:headEnd type="none" w="med" len="med"/>
                            <a:tailEnd type="triangle" w="med" len="med"/>
                          </a:ln>
                        </wps:spPr>
                        <wps:bodyPr/>
                      </wps:wsp>
                      <wps:wsp>
                        <wps:cNvPr id="18" name="文本框 67"/>
                        <wps:cNvSpPr txBox="1"/>
                        <wps:spPr>
                          <a:xfrm>
                            <a:off x="0" y="0"/>
                            <a:ext cx="121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6FEBBD">
                              <w:pPr>
                                <w:rPr>
                                  <w:rFonts w:ascii="Times New Roman" w:hAnsi="Times New Roman" w:cs="Times New Roman"/>
                                </w:rPr>
                              </w:pPr>
                              <w:r>
                                <w:rPr>
                                  <w:rFonts w:hint="eastAsia" w:ascii="Times New Roman" w:hAnsi="Times New Roman" w:cs="Times New Roman"/>
                                </w:rPr>
                                <w:t>埋地油罐</w:t>
                              </w:r>
                            </w:p>
                          </w:txbxContent>
                        </wps:txbx>
                        <wps:bodyPr upright="1"/>
                      </wps:wsp>
                      <wps:wsp>
                        <wps:cNvPr id="19" name="直线 68"/>
                        <wps:cNvCnPr/>
                        <wps:spPr>
                          <a:xfrm>
                            <a:off x="1221" y="232"/>
                            <a:ext cx="644" cy="1"/>
                          </a:xfrm>
                          <a:prstGeom prst="line">
                            <a:avLst/>
                          </a:prstGeom>
                          <a:ln w="19050" cap="flat" cmpd="sng">
                            <a:solidFill>
                              <a:srgbClr val="000000"/>
                            </a:solidFill>
                            <a:prstDash val="solid"/>
                            <a:headEnd type="none" w="med" len="med"/>
                            <a:tailEnd type="triangle" w="med" len="med"/>
                          </a:ln>
                        </wps:spPr>
                        <wps:bodyPr/>
                      </wps:wsp>
                      <wps:wsp>
                        <wps:cNvPr id="20" name="文本框 69"/>
                        <wps:cNvSpPr txBox="1"/>
                        <wps:spPr>
                          <a:xfrm>
                            <a:off x="1905" y="15"/>
                            <a:ext cx="100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FB37BD">
                              <w:pPr>
                                <w:jc w:val="center"/>
                                <w:rPr>
                                  <w:rFonts w:ascii="Times New Roman" w:hAnsi="Times New Roman" w:cs="Times New Roman"/>
                                </w:rPr>
                              </w:pPr>
                              <w:r>
                                <w:rPr>
                                  <w:rFonts w:hint="eastAsia" w:ascii="Times New Roman" w:hAnsi="Times New Roman" w:cs="Times New Roman"/>
                                </w:rPr>
                                <w:t>潜油泵</w:t>
                              </w:r>
                            </w:p>
                          </w:txbxContent>
                        </wps:txbx>
                        <wps:bodyPr upright="1"/>
                      </wps:wsp>
                      <wps:wsp>
                        <wps:cNvPr id="21" name="直线 70"/>
                        <wps:cNvCnPr/>
                        <wps:spPr>
                          <a:xfrm>
                            <a:off x="2942" y="236"/>
                            <a:ext cx="644" cy="1"/>
                          </a:xfrm>
                          <a:prstGeom prst="line">
                            <a:avLst/>
                          </a:prstGeom>
                          <a:ln w="19050" cap="flat" cmpd="sng">
                            <a:solidFill>
                              <a:srgbClr val="000000"/>
                            </a:solidFill>
                            <a:prstDash val="solid"/>
                            <a:headEnd type="none" w="med" len="med"/>
                            <a:tailEnd type="triangle" w="med" len="med"/>
                          </a:ln>
                        </wps:spPr>
                        <wps:bodyPr/>
                      </wps:wsp>
                      <wps:wsp>
                        <wps:cNvPr id="22" name="文本框 71"/>
                        <wps:cNvSpPr txBox="1"/>
                        <wps:spPr>
                          <a:xfrm>
                            <a:off x="3596" y="15"/>
                            <a:ext cx="1188"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D91CDD">
                              <w:pPr>
                                <w:jc w:val="center"/>
                                <w:rPr>
                                  <w:rFonts w:ascii="Times New Roman" w:hAnsi="Times New Roman" w:cs="Times New Roman"/>
                                </w:rPr>
                              </w:pPr>
                              <w:r>
                                <w:rPr>
                                  <w:rFonts w:hint="eastAsia" w:ascii="Times New Roman" w:hAnsi="Times New Roman" w:cs="Times New Roman"/>
                                </w:rPr>
                                <w:t>加油管道</w:t>
                              </w:r>
                            </w:p>
                          </w:txbxContent>
                        </wps:txbx>
                        <wps:bodyPr upright="1"/>
                      </wps:wsp>
                      <wps:wsp>
                        <wps:cNvPr id="23" name="直线 72"/>
                        <wps:cNvCnPr/>
                        <wps:spPr>
                          <a:xfrm>
                            <a:off x="4838" y="233"/>
                            <a:ext cx="644" cy="1"/>
                          </a:xfrm>
                          <a:prstGeom prst="line">
                            <a:avLst/>
                          </a:prstGeom>
                          <a:ln w="19050" cap="flat" cmpd="sng">
                            <a:solidFill>
                              <a:srgbClr val="000000"/>
                            </a:solidFill>
                            <a:prstDash val="solid"/>
                            <a:headEnd type="none" w="med" len="med"/>
                            <a:tailEnd type="triangle" w="med" len="med"/>
                          </a:ln>
                        </wps:spPr>
                        <wps:bodyPr/>
                      </wps:wsp>
                      <wps:wsp>
                        <wps:cNvPr id="24" name="文本框 73"/>
                        <wps:cNvSpPr txBox="1"/>
                        <wps:spPr>
                          <a:xfrm>
                            <a:off x="5505" y="15"/>
                            <a:ext cx="1154"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FBDC9E">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加油机</w:t>
                              </w:r>
                            </w:p>
                          </w:txbxContent>
                        </wps:txbx>
                        <wps:bodyPr upright="1"/>
                      </wps:wsp>
                      <wps:wsp>
                        <wps:cNvPr id="25" name="直线 74"/>
                        <wps:cNvCnPr/>
                        <wps:spPr>
                          <a:xfrm rot="5400000">
                            <a:off x="5670" y="715"/>
                            <a:ext cx="644" cy="1"/>
                          </a:xfrm>
                          <a:prstGeom prst="line">
                            <a:avLst/>
                          </a:prstGeom>
                          <a:ln w="19050" cap="flat" cmpd="sng">
                            <a:solidFill>
                              <a:srgbClr val="000000"/>
                            </a:solidFill>
                            <a:prstDash val="solid"/>
                            <a:headEnd type="none" w="med" len="med"/>
                            <a:tailEnd type="triangle" w="med" len="med"/>
                          </a:ln>
                        </wps:spPr>
                        <wps:bodyPr/>
                      </wps:wsp>
                      <wps:wsp>
                        <wps:cNvPr id="26" name="文本框 75"/>
                        <wps:cNvSpPr txBox="1"/>
                        <wps:spPr>
                          <a:xfrm>
                            <a:off x="5535" y="1155"/>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AD8A5B">
                              <w:pPr>
                                <w:jc w:val="center"/>
                                <w:rPr>
                                  <w:rFonts w:ascii="Times New Roman" w:hAnsi="Times New Roman" w:cs="Times New Roman"/>
                                </w:rPr>
                              </w:pPr>
                              <w:r>
                                <w:rPr>
                                  <w:rFonts w:hint="eastAsia" w:ascii="Times New Roman" w:hAnsi="Times New Roman" w:cs="Times New Roman"/>
                                </w:rPr>
                                <w:t>加油枪</w:t>
                              </w:r>
                            </w:p>
                          </w:txbxContent>
                        </wps:txbx>
                        <wps:bodyPr upright="1"/>
                      </wps:wsp>
                      <wps:wsp>
                        <wps:cNvPr id="27" name="文本框 76"/>
                        <wps:cNvSpPr txBox="1"/>
                        <wps:spPr>
                          <a:xfrm>
                            <a:off x="3509" y="1140"/>
                            <a:ext cx="12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34DA21">
                              <w:pPr>
                                <w:jc w:val="center"/>
                                <w:rPr>
                                  <w:rFonts w:ascii="Times New Roman" w:hAnsi="Times New Roman" w:cs="Times New Roman"/>
                                </w:rPr>
                              </w:pPr>
                              <w:r>
                                <w:rPr>
                                  <w:rFonts w:hint="eastAsia" w:ascii="Times New Roman" w:hAnsi="Times New Roman" w:cs="Times New Roman"/>
                                </w:rPr>
                                <w:t>受油容器</w:t>
                              </w:r>
                            </w:p>
                          </w:txbxContent>
                        </wps:txbx>
                        <wps:bodyPr upright="1"/>
                      </wps:wsp>
                    </wpg:wgp>
                  </a:graphicData>
                </a:graphic>
              </wp:anchor>
            </w:drawing>
          </mc:Choice>
          <mc:Fallback>
            <w:pict>
              <v:group id="组合 65" o:spid="_x0000_s1026" o:spt="203" style="position:absolute;left:0pt;margin-left:41.95pt;margin-top:9.45pt;height:71.65pt;width:332.95pt;z-index:251663360;mso-width-relative:page;mso-height-relative:page;" coordsize="6659,1621" o:gfxdata="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M2JbdPX&#10;AAAACQEAAA8AAAAAAAAAAQAgAAAAIgAAAGRycy9kb3ducmV2LnhtbFBLAQIUABQAAAAIAIdO4kDT&#10;CIk5IgQAABUbAAAOAAAAAAAAAAEAIAAAACYBAABkcnMvZTJvRG9jLnhtbFBLBQYAAAAABgAGAFkB&#10;AAC6BwAAAAA=&#10;">
                <o:lock v:ext="edit" aspectratio="f"/>
                <v:line id="直线 66" o:spid="_x0000_s1026" o:spt="20" style="position:absolute;left:4817;top:1359;height:1;width:644;rotation:11796480f;" filled="f" stroked="t" coordsize="21600,21600" o:gfxdata="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ZbbL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67" o:spid="_x0000_s1026" o:spt="202" type="#_x0000_t202" style="position:absolute;left:0;top:0;height:466;width:1211;"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36FEBBD">
                        <w:pPr>
                          <w:rPr>
                            <w:rFonts w:ascii="Times New Roman" w:hAnsi="Times New Roman" w:cs="Times New Roman"/>
                          </w:rPr>
                        </w:pPr>
                        <w:r>
                          <w:rPr>
                            <w:rFonts w:hint="eastAsia" w:ascii="Times New Roman" w:hAnsi="Times New Roman" w:cs="Times New Roman"/>
                          </w:rPr>
                          <w:t>埋地油罐</w:t>
                        </w:r>
                      </w:p>
                    </w:txbxContent>
                  </v:textbox>
                </v:shape>
                <v:line id="直线 68" o:spid="_x0000_s1026" o:spt="20" style="position:absolute;left:1221;top:232;height:1;width:644;" filled="f" stroked="t" coordsize="21600,21600" o:gfxdata="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eJ9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69" o:spid="_x0000_s1026" o:spt="202" type="#_x0000_t202" style="position:absolute;left:1905;top:15;height:466;width:1004;"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BFB37BD">
                        <w:pPr>
                          <w:jc w:val="center"/>
                          <w:rPr>
                            <w:rFonts w:ascii="Times New Roman" w:hAnsi="Times New Roman" w:cs="Times New Roman"/>
                          </w:rPr>
                        </w:pPr>
                        <w:r>
                          <w:rPr>
                            <w:rFonts w:hint="eastAsia" w:ascii="Times New Roman" w:hAnsi="Times New Roman" w:cs="Times New Roman"/>
                          </w:rPr>
                          <w:t>潜油泵</w:t>
                        </w:r>
                      </w:p>
                    </w:txbxContent>
                  </v:textbox>
                </v:shape>
                <v:line id="直线 70" o:spid="_x0000_s1026" o:spt="20" style="position:absolute;left:2942;top:236;height:1;width:644;" filled="f" stroked="t" coordsize="21600,21600" o:gfxdata="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TU9M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shape id="文本框 71" o:spid="_x0000_s1026" o:spt="202" type="#_x0000_t202" style="position:absolute;left:3596;top:15;height:466;width:1188;"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5D91CDD">
                        <w:pPr>
                          <w:jc w:val="center"/>
                          <w:rPr>
                            <w:rFonts w:ascii="Times New Roman" w:hAnsi="Times New Roman" w:cs="Times New Roman"/>
                          </w:rPr>
                        </w:pPr>
                        <w:r>
                          <w:rPr>
                            <w:rFonts w:hint="eastAsia" w:ascii="Times New Roman" w:hAnsi="Times New Roman" w:cs="Times New Roman"/>
                          </w:rPr>
                          <w:t>加油管道</w:t>
                        </w:r>
                      </w:p>
                    </w:txbxContent>
                  </v:textbox>
                </v:shape>
                <v:line id="直线 72" o:spid="_x0000_s1026" o:spt="20" style="position:absolute;left:4838;top:233;height:1;width:644;" filled="f" stroked="t" coordsize="21600,21600" o:gfxdata="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TdKC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73" o:spid="_x0000_s1026" o:spt="202" type="#_x0000_t202" style="position:absolute;left:5505;top:15;height:467;width:1154;"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7FBDC9E">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加油机</w:t>
                        </w:r>
                      </w:p>
                    </w:txbxContent>
                  </v:textbox>
                </v:shape>
                <v:line id="直线 74" o:spid="_x0000_s1026" o:spt="20" style="position:absolute;left:5670;top:715;height:1;width:644;rotation:5898240f;" filled="f" stroked="t" coordsize="21600,21600" o:gfxdata="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I+Xa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75" o:spid="_x0000_s1026" o:spt="202" type="#_x0000_t202" style="position:absolute;left:5535;top:1155;height:466;width:1124;"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BAD8A5B">
                        <w:pPr>
                          <w:jc w:val="center"/>
                          <w:rPr>
                            <w:rFonts w:ascii="Times New Roman" w:hAnsi="Times New Roman" w:cs="Times New Roman"/>
                          </w:rPr>
                        </w:pPr>
                        <w:r>
                          <w:rPr>
                            <w:rFonts w:hint="eastAsia" w:ascii="Times New Roman" w:hAnsi="Times New Roman" w:cs="Times New Roman"/>
                          </w:rPr>
                          <w:t>加油枪</w:t>
                        </w:r>
                      </w:p>
                    </w:txbxContent>
                  </v:textbox>
                </v:shape>
                <v:shape id="文本框 76" o:spid="_x0000_s1026" o:spt="202" type="#_x0000_t202" style="position:absolute;left:3509;top:1140;height:466;width:1220;"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F34DA21">
                        <w:pPr>
                          <w:jc w:val="center"/>
                          <w:rPr>
                            <w:rFonts w:ascii="Times New Roman" w:hAnsi="Times New Roman" w:cs="Times New Roman"/>
                          </w:rPr>
                        </w:pPr>
                        <w:r>
                          <w:rPr>
                            <w:rFonts w:hint="eastAsia" w:ascii="Times New Roman" w:hAnsi="Times New Roman" w:cs="Times New Roman"/>
                          </w:rPr>
                          <w:t>受油容器</w:t>
                        </w:r>
                      </w:p>
                    </w:txbxContent>
                  </v:textbox>
                </v:shape>
              </v:group>
            </w:pict>
          </mc:Fallback>
        </mc:AlternateContent>
      </w:r>
    </w:p>
    <w:p w14:paraId="76EAAC58">
      <w:pPr>
        <w:spacing w:line="240" w:lineRule="atLeast"/>
        <w:ind w:firstLine="480" w:firstLineChars="200"/>
        <w:rPr>
          <w:rFonts w:ascii="Times New Roman" w:hAnsi="Times New Roman" w:cs="Times New Roman"/>
          <w:color w:val="auto"/>
          <w:sz w:val="24"/>
          <w:szCs w:val="24"/>
        </w:rPr>
      </w:pPr>
    </w:p>
    <w:p w14:paraId="1DDBE2E1">
      <w:pPr>
        <w:spacing w:line="240" w:lineRule="atLeast"/>
        <w:ind w:firstLine="480" w:firstLineChars="200"/>
        <w:rPr>
          <w:rFonts w:ascii="Times New Roman" w:hAnsi="Times New Roman" w:cs="Times New Roman"/>
          <w:color w:val="auto"/>
          <w:sz w:val="24"/>
          <w:szCs w:val="24"/>
        </w:rPr>
      </w:pPr>
    </w:p>
    <w:p w14:paraId="2AD95958">
      <w:pPr>
        <w:spacing w:line="240" w:lineRule="atLeast"/>
        <w:ind w:firstLine="480" w:firstLineChars="200"/>
        <w:rPr>
          <w:rFonts w:ascii="Times New Roman" w:hAnsi="Times New Roman" w:cs="Times New Roman"/>
          <w:color w:val="auto"/>
          <w:sz w:val="24"/>
          <w:szCs w:val="24"/>
        </w:rPr>
      </w:pPr>
    </w:p>
    <w:bookmarkEnd w:id="36"/>
    <w:p w14:paraId="0F482915">
      <w:pPr>
        <w:keepNext/>
        <w:keepLines/>
        <w:spacing w:line="580" w:lineRule="exact"/>
        <w:outlineLvl w:val="1"/>
        <w:rPr>
          <w:rFonts w:ascii="Times New Roman" w:hAnsi="Times New Roman" w:cs="Times New Roman"/>
          <w:b/>
          <w:bCs/>
          <w:color w:val="auto"/>
          <w:sz w:val="28"/>
          <w:szCs w:val="28"/>
        </w:rPr>
      </w:pPr>
      <w:bookmarkStart w:id="40" w:name="_Toc5879"/>
    </w:p>
    <w:p w14:paraId="1F5B38E2">
      <w:pPr>
        <w:keepNext/>
        <w:keepLines/>
        <w:spacing w:line="580" w:lineRule="exact"/>
        <w:outlineLvl w:val="1"/>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2.4 </w:t>
      </w:r>
      <w:r>
        <w:rPr>
          <w:rFonts w:hint="eastAsia" w:ascii="Times New Roman" w:hAnsi="Times New Roman" w:cs="宋体"/>
          <w:b/>
          <w:bCs/>
          <w:color w:val="auto"/>
          <w:sz w:val="28"/>
          <w:szCs w:val="28"/>
        </w:rPr>
        <w:t>辅助设施</w:t>
      </w:r>
      <w:bookmarkEnd w:id="37"/>
      <w:bookmarkEnd w:id="40"/>
    </w:p>
    <w:p w14:paraId="48BF71C9">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、供配电</w:t>
      </w:r>
    </w:p>
    <w:p w14:paraId="5AD38C24">
      <w:pPr>
        <w:tabs>
          <w:tab w:val="left" w:pos="3465"/>
        </w:tabs>
        <w:spacing w:line="600" w:lineRule="exact"/>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8"/>
        </w:rPr>
        <w:t>加油站用电由市政供电电网统一供电，供电电源380V</w:t>
      </w:r>
      <w:r>
        <w:rPr>
          <w:rFonts w:hint="eastAsia" w:ascii="Times New Roman" w:hAnsi="Times New Roman" w:cs="Times New Roman"/>
          <w:color w:val="auto"/>
          <w:sz w:val="28"/>
          <w:szCs w:val="28"/>
          <w:lang w:val="en-US" w:eastAsia="zh-CN"/>
        </w:rPr>
        <w:t>/</w:t>
      </w:r>
      <w:r>
        <w:rPr>
          <w:rFonts w:hint="eastAsia" w:ascii="Times New Roman" w:hAnsi="Times New Roman" w:cs="Times New Roman"/>
          <w:color w:val="auto"/>
          <w:sz w:val="28"/>
          <w:szCs w:val="28"/>
        </w:rPr>
        <w:t>220V 采用铠装电缆引至配电间对站内各用电设备和场所进行供电，设独立的计量装置。通过埋地填沙电缆沟敷设到加油机，照明使用220V交流电压</w:t>
      </w:r>
      <w:r>
        <w:rPr>
          <w:rFonts w:ascii="Times New Roman" w:hAnsi="Times New Roman" w:cs="Times New Roman"/>
          <w:color w:val="auto"/>
          <w:sz w:val="28"/>
          <w:szCs w:val="28"/>
        </w:rPr>
        <w:t>，</w:t>
      </w:r>
      <w:r>
        <w:rPr>
          <w:rFonts w:hint="eastAsia" w:ascii="Times New Roman" w:hAnsi="Times New Roman" w:cs="Times New Roman"/>
          <w:color w:val="auto"/>
          <w:sz w:val="28"/>
          <w:szCs w:val="24"/>
        </w:rPr>
        <w:t>通过直埋电缆敷设至站区内各电气设备。罩棚、营业室、配电间等处均设应急照明。</w:t>
      </w:r>
    </w:p>
    <w:p w14:paraId="398F6405">
      <w:pPr>
        <w:tabs>
          <w:tab w:val="left" w:pos="3465"/>
        </w:tabs>
        <w:spacing w:line="600" w:lineRule="exact"/>
        <w:ind w:firstLine="560" w:firstLineChars="200"/>
        <w:rPr>
          <w:color w:val="auto"/>
          <w:sz w:val="28"/>
          <w:szCs w:val="28"/>
        </w:rPr>
      </w:pPr>
      <w:r>
        <w:rPr>
          <w:rFonts w:hint="eastAsia"/>
          <w:color w:val="auto"/>
          <w:sz w:val="28"/>
          <w:szCs w:val="28"/>
        </w:rPr>
        <w:t>站房属于</w:t>
      </w:r>
      <w:r>
        <w:rPr>
          <w:rFonts w:hint="eastAsia"/>
          <w:color w:val="auto"/>
          <w:sz w:val="28"/>
          <w:szCs w:val="28"/>
          <w:lang w:val="en-US" w:eastAsia="zh-CN"/>
        </w:rPr>
        <w:t>二</w:t>
      </w:r>
      <w:r>
        <w:rPr>
          <w:rFonts w:hint="eastAsia"/>
          <w:color w:val="auto"/>
          <w:sz w:val="28"/>
          <w:szCs w:val="28"/>
        </w:rPr>
        <w:t>类防雷建筑物，沿屋面四周采用</w:t>
      </w:r>
      <w:r>
        <w:rPr>
          <w:rFonts w:ascii="Times New Roman" w:hAnsi="Times New Roman" w:cs="Times New Roman"/>
          <w:color w:val="auto"/>
          <w:sz w:val="28"/>
          <w:szCs w:val="28"/>
        </w:rPr>
        <w:t>φ</w:t>
      </w:r>
      <w:r>
        <w:rPr>
          <w:rFonts w:hint="eastAsia"/>
          <w:color w:val="auto"/>
          <w:sz w:val="28"/>
          <w:szCs w:val="28"/>
        </w:rPr>
        <w:t>1</w:t>
      </w:r>
      <w:r>
        <w:rPr>
          <w:rFonts w:hint="eastAsia"/>
          <w:color w:val="auto"/>
          <w:sz w:val="28"/>
          <w:szCs w:val="28"/>
          <w:lang w:val="en-US" w:eastAsia="zh-CN"/>
        </w:rPr>
        <w:t>0</w:t>
      </w:r>
      <w:r>
        <w:rPr>
          <w:rFonts w:hint="eastAsia"/>
          <w:color w:val="auto"/>
          <w:sz w:val="28"/>
          <w:szCs w:val="28"/>
        </w:rPr>
        <w:t>的镀锌圆钢做接闪带，利用柱内钢筋（不小于</w:t>
      </w:r>
      <w:r>
        <w:rPr>
          <w:rFonts w:ascii="Times New Roman" w:hAnsi="Times New Roman" w:cs="Times New Roman"/>
          <w:color w:val="auto"/>
          <w:sz w:val="28"/>
          <w:szCs w:val="28"/>
        </w:rPr>
        <w:t>Ф</w:t>
      </w:r>
      <w:r>
        <w:rPr>
          <w:rFonts w:hint="eastAsia"/>
          <w:color w:val="auto"/>
          <w:sz w:val="28"/>
          <w:szCs w:val="28"/>
        </w:rPr>
        <w:t>10）作引下线，屋面接闪带网格</w:t>
      </w:r>
      <w:r>
        <w:rPr>
          <w:rFonts w:hint="eastAsia"/>
          <w:color w:val="auto"/>
          <w:sz w:val="28"/>
          <w:szCs w:val="28"/>
          <w:lang w:val="en-US" w:eastAsia="zh-CN"/>
        </w:rPr>
        <w:t>4.7</w:t>
      </w:r>
      <w:r>
        <w:rPr>
          <w:rFonts w:hint="eastAsia"/>
          <w:color w:val="auto"/>
          <w:sz w:val="28"/>
          <w:szCs w:val="28"/>
        </w:rPr>
        <w:t>×1</w:t>
      </w:r>
      <w:r>
        <w:rPr>
          <w:rFonts w:hint="eastAsia"/>
          <w:color w:val="auto"/>
          <w:sz w:val="28"/>
          <w:szCs w:val="28"/>
          <w:lang w:val="en-US" w:eastAsia="zh-CN"/>
        </w:rPr>
        <w:t>2</w:t>
      </w:r>
      <w:r>
        <w:rPr>
          <w:rFonts w:hint="eastAsia"/>
          <w:color w:val="auto"/>
          <w:sz w:val="28"/>
          <w:szCs w:val="28"/>
        </w:rPr>
        <w:t>（m）。通气管与接地网焊接成可靠的电气线路。</w:t>
      </w:r>
    </w:p>
    <w:p w14:paraId="395098D3">
      <w:pPr>
        <w:tabs>
          <w:tab w:val="left" w:pos="3465"/>
        </w:tabs>
        <w:spacing w:line="600" w:lineRule="exact"/>
        <w:ind w:firstLine="560" w:firstLineChars="200"/>
        <w:rPr>
          <w:color w:val="auto"/>
          <w:sz w:val="28"/>
          <w:szCs w:val="28"/>
        </w:rPr>
      </w:pPr>
      <w:r>
        <w:rPr>
          <w:rFonts w:hint="eastAsia"/>
          <w:color w:val="auto"/>
          <w:sz w:val="28"/>
          <w:szCs w:val="28"/>
        </w:rPr>
        <w:t>加油区罩棚按二类防雷建筑物，利用其金属屋面作防雷接闪器，利用檩条、屋架及柱子可靠接地作为防雷装置，利用混凝土钢筋柱作为引下线，经过断接卡与加油站人工接地系统可靠连接。</w:t>
      </w:r>
    </w:p>
    <w:p w14:paraId="27BDC26D">
      <w:pPr>
        <w:tabs>
          <w:tab w:val="left" w:pos="3465"/>
        </w:tabs>
        <w:spacing w:line="600" w:lineRule="exact"/>
        <w:ind w:firstLine="560" w:firstLineChars="200"/>
        <w:rPr>
          <w:rFonts w:ascii="宋体" w:hAnsi="宋体" w:cs="宋体"/>
          <w:color w:val="auto"/>
          <w:kern w:val="0"/>
          <w:sz w:val="28"/>
          <w:szCs w:val="28"/>
          <w:lang w:bidi="ar"/>
        </w:rPr>
      </w:pPr>
      <w:r>
        <w:rPr>
          <w:rFonts w:hint="eastAsia"/>
          <w:color w:val="auto"/>
          <w:sz w:val="28"/>
          <w:szCs w:val="28"/>
        </w:rPr>
        <w:t>输油管的法兰之间用铜片跨接，密闭卸油口及地上或管沟敷设的油管末端和分支处设防静电和防感应的联合接地装置，加油机、罐、管道均设静电接地保护。油罐区卸油点旁设有静电接地报警仪及人体静电释放装置。</w:t>
      </w:r>
    </w:p>
    <w:p w14:paraId="5202DC72">
      <w:pPr>
        <w:widowControl/>
        <w:ind w:firstLine="420"/>
        <w:jc w:val="left"/>
        <w:rPr>
          <w:rStyle w:val="31"/>
          <w:color w:val="auto"/>
        </w:rPr>
      </w:pPr>
      <w:r>
        <w:rPr>
          <w:rFonts w:hint="eastAsia" w:ascii="Times New Roman" w:hAnsi="Times New Roman" w:cs="Times New Roman"/>
          <w:color w:val="auto"/>
          <w:sz w:val="28"/>
          <w:szCs w:val="28"/>
        </w:rPr>
        <w:t>该站防雷设施经</w:t>
      </w:r>
      <w:r>
        <w:rPr>
          <w:rFonts w:hint="eastAsia" w:ascii="Times New Roman" w:hAnsi="Times New Roman" w:cs="Times New Roman"/>
          <w:color w:val="auto"/>
          <w:sz w:val="28"/>
          <w:szCs w:val="28"/>
          <w:lang w:val="en-US" w:eastAsia="zh-CN"/>
        </w:rPr>
        <w:t>江西赣象防雷检测中心</w:t>
      </w:r>
      <w:r>
        <w:rPr>
          <w:rFonts w:hint="eastAsia" w:ascii="Times New Roman" w:hAnsi="Times New Roman" w:cs="Times New Roman"/>
          <w:color w:val="auto"/>
          <w:sz w:val="28"/>
          <w:szCs w:val="28"/>
        </w:rPr>
        <w:t>有限公司</w:t>
      </w:r>
      <w:r>
        <w:rPr>
          <w:rFonts w:hint="eastAsia" w:ascii="Times New Roman" w:hAnsi="Times New Roman" w:cs="Times New Roman"/>
          <w:color w:val="auto"/>
          <w:sz w:val="28"/>
          <w:szCs w:val="28"/>
          <w:lang w:val="en-US" w:eastAsia="zh-CN"/>
        </w:rPr>
        <w:t>赣州分公司</w:t>
      </w:r>
      <w:r>
        <w:rPr>
          <w:rFonts w:hint="eastAsia" w:ascii="Times New Roman" w:hAnsi="Times New Roman" w:cs="Times New Roman"/>
          <w:color w:val="auto"/>
          <w:sz w:val="28"/>
          <w:szCs w:val="28"/>
        </w:rPr>
        <w:t>进行检测，检测结论为合格，有效期至2026年</w:t>
      </w:r>
      <w:r>
        <w:rPr>
          <w:rFonts w:hint="eastAsia" w:ascii="Times New Roman" w:hAnsi="Times New Roman" w:cs="Times New Roman"/>
          <w:color w:val="auto"/>
          <w:sz w:val="28"/>
          <w:szCs w:val="28"/>
          <w:lang w:val="en-US" w:eastAsia="zh-CN"/>
        </w:rPr>
        <w:t>11</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22</w:t>
      </w:r>
      <w:r>
        <w:rPr>
          <w:rFonts w:hint="eastAsia" w:ascii="Times New Roman" w:hAnsi="Times New Roman" w:cs="Times New Roman"/>
          <w:color w:val="auto"/>
          <w:sz w:val="28"/>
          <w:szCs w:val="28"/>
        </w:rPr>
        <w:t>日。该站雷电防护装置检测报告详见附件</w:t>
      </w:r>
      <w:r>
        <w:rPr>
          <w:rFonts w:hint="eastAsia" w:ascii="Times New Roman" w:hAnsi="Times New Roman" w:cs="宋体"/>
          <w:color w:val="auto"/>
          <w:sz w:val="28"/>
          <w:szCs w:val="28"/>
        </w:rPr>
        <w:t>。</w:t>
      </w:r>
    </w:p>
    <w:p w14:paraId="1134BC9A">
      <w:pPr>
        <w:widowControl/>
        <w:ind w:firstLine="42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该站防静电接地经</w:t>
      </w:r>
      <w:r>
        <w:rPr>
          <w:rFonts w:hint="eastAsia" w:ascii="Times New Roman" w:hAnsi="Times New Roman" w:cs="Times New Roman"/>
          <w:color w:val="auto"/>
          <w:sz w:val="28"/>
          <w:szCs w:val="28"/>
          <w:lang w:val="en-US" w:eastAsia="zh-CN"/>
        </w:rPr>
        <w:t>湖北雷特防雷检测</w:t>
      </w:r>
      <w:r>
        <w:rPr>
          <w:rFonts w:hint="eastAsia" w:ascii="Times New Roman" w:hAnsi="Times New Roman" w:cs="Times New Roman"/>
          <w:color w:val="auto"/>
          <w:sz w:val="28"/>
          <w:szCs w:val="28"/>
        </w:rPr>
        <w:t>有限公司进行检测，检测结论为合格，有效期至2026年</w:t>
      </w:r>
      <w:r>
        <w:rPr>
          <w:rFonts w:hint="eastAsia" w:ascii="Times New Roman" w:hAnsi="Times New Roman" w:cs="Times New Roman"/>
          <w:color w:val="auto"/>
          <w:sz w:val="28"/>
          <w:szCs w:val="28"/>
          <w:lang w:val="en-US" w:eastAsia="zh-CN"/>
        </w:rPr>
        <w:t>11</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22</w:t>
      </w:r>
      <w:r>
        <w:rPr>
          <w:rFonts w:hint="eastAsia" w:ascii="Times New Roman" w:hAnsi="Times New Roman" w:cs="Times New Roman"/>
          <w:color w:val="auto"/>
          <w:sz w:val="28"/>
          <w:szCs w:val="28"/>
        </w:rPr>
        <w:t>日。该站防静电接地检测检验报告详见附件</w:t>
      </w:r>
      <w:r>
        <w:rPr>
          <w:rFonts w:hint="eastAsia" w:ascii="Times New Roman" w:hAnsi="Times New Roman" w:cs="宋体"/>
          <w:color w:val="auto"/>
          <w:sz w:val="28"/>
          <w:szCs w:val="28"/>
        </w:rPr>
        <w:t>。</w:t>
      </w:r>
    </w:p>
    <w:p w14:paraId="5079419D">
      <w:pPr>
        <w:tabs>
          <w:tab w:val="left" w:pos="3465"/>
        </w:tabs>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、给排水</w:t>
      </w:r>
    </w:p>
    <w:p w14:paraId="006E8CBF">
      <w:pPr>
        <w:tabs>
          <w:tab w:val="left" w:pos="3465"/>
        </w:tabs>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加油站的经营、生活用水由当地自来水管网供给。</w:t>
      </w:r>
    </w:p>
    <w:p w14:paraId="1B0C3CA2">
      <w:pPr>
        <w:tabs>
          <w:tab w:val="left" w:pos="3465"/>
        </w:tabs>
        <w:spacing w:line="58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加油站用水主要为站内生活用水及地面冲洗用水，站内生活用水经化粪池处理后由专人定期处理。站区内地面雨水及加油岛地面冲洗水汇集至环保沟经隔油处理后排入自然体系。</w:t>
      </w:r>
    </w:p>
    <w:p w14:paraId="635EDBD5">
      <w:pPr>
        <w:tabs>
          <w:tab w:val="left" w:pos="3465"/>
        </w:tabs>
        <w:spacing w:line="580" w:lineRule="exact"/>
        <w:ind w:firstLine="560" w:firstLineChars="200"/>
        <w:jc w:val="left"/>
        <w:rPr>
          <w:rFonts w:ascii="Times New Roman" w:hAnsi="Times New Roman" w:cs="Times New Roman"/>
          <w:color w:val="auto"/>
        </w:rPr>
      </w:pPr>
      <w:r>
        <w:rPr>
          <w:rFonts w:hint="eastAsia" w:ascii="Times New Roman" w:hAnsi="Times New Roman" w:cs="宋体"/>
          <w:color w:val="auto"/>
          <w:sz w:val="28"/>
          <w:szCs w:val="28"/>
        </w:rPr>
        <w:t>油罐清洗由专业队伍进行，清洗油罐的污水，集中收集送至有关处理机构进行处理。</w:t>
      </w:r>
    </w:p>
    <w:p w14:paraId="1ECCD2ED">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、通讯</w:t>
      </w:r>
    </w:p>
    <w:p w14:paraId="1A135933">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加油站站房通讯设施有固定电话，配线采用直接配线方式。</w:t>
      </w:r>
    </w:p>
    <w:p w14:paraId="33514C31">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、视频监控系统</w:t>
      </w:r>
    </w:p>
    <w:p w14:paraId="6AC044FC">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本加油站设置了视频监控系统，可监控油站各区域。</w:t>
      </w:r>
    </w:p>
    <w:p w14:paraId="24D2347E">
      <w:pPr>
        <w:spacing w:line="580" w:lineRule="exact"/>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加油站设置了视频监控系统，视频监控系统配UPS电源，容量为3kVA。系统中 硬盘录像机储存时间大于30天。油罐液位仪等信息系统均设置在站房内，</w:t>
      </w:r>
      <w:r>
        <w:rPr>
          <w:rFonts w:hint="eastAsia" w:ascii="Times New Roman" w:hAnsi="Times New Roman" w:cs="Times New Roman"/>
          <w:color w:val="auto"/>
          <w:sz w:val="28"/>
          <w:szCs w:val="24"/>
          <w:lang w:eastAsia="zh-CN"/>
        </w:rPr>
        <w:t>配备</w:t>
      </w:r>
      <w:r>
        <w:rPr>
          <w:rFonts w:hint="eastAsia" w:ascii="Times New Roman" w:hAnsi="Times New Roman" w:cs="Times New Roman"/>
          <w:color w:val="auto"/>
          <w:sz w:val="28"/>
          <w:szCs w:val="24"/>
        </w:rPr>
        <w:t>UPS电源，UPS电源可供系统正常工作不小于60min，UPS容量为2kVA。</w:t>
      </w:r>
    </w:p>
    <w:p w14:paraId="5D634C39">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摄像机处于爆炸危险区域之外。</w:t>
      </w:r>
    </w:p>
    <w:p w14:paraId="4BBFBA86">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站房室内共1台监视用摄像机，设于值班室。工作人员在值班室监视，监控器画面就可以实现对罐区、加油区、站房的全天候全方位的动态监视。</w:t>
      </w:r>
    </w:p>
    <w:p w14:paraId="1D58927F">
      <w:pPr>
        <w:pStyle w:val="33"/>
        <w:spacing w:line="580" w:lineRule="exact"/>
        <w:ind w:firstLine="560" w:firstLineChars="200"/>
        <w:rPr>
          <w:rFonts w:ascii="Times New Roman"/>
          <w:color w:val="auto"/>
          <w:kern w:val="2"/>
          <w:sz w:val="28"/>
          <w:szCs w:val="28"/>
        </w:rPr>
      </w:pPr>
      <w:r>
        <w:rPr>
          <w:rFonts w:ascii="Times New Roman" w:cs="Times New Roman"/>
          <w:color w:val="auto"/>
          <w:kern w:val="2"/>
          <w:sz w:val="28"/>
          <w:szCs w:val="28"/>
        </w:rPr>
        <w:t>5</w:t>
      </w:r>
      <w:r>
        <w:rPr>
          <w:rFonts w:hint="eastAsia" w:ascii="Times New Roman"/>
          <w:color w:val="auto"/>
          <w:kern w:val="2"/>
          <w:sz w:val="28"/>
          <w:szCs w:val="28"/>
        </w:rPr>
        <w:t>、</w:t>
      </w:r>
      <w:r>
        <w:rPr>
          <w:rFonts w:hint="eastAsia" w:ascii="Times New Roman"/>
          <w:color w:val="auto"/>
          <w:sz w:val="28"/>
          <w:szCs w:val="28"/>
        </w:rPr>
        <w:t>应急照明</w:t>
      </w:r>
    </w:p>
    <w:p w14:paraId="044BC8BE">
      <w:pPr>
        <w:autoSpaceDE w:val="0"/>
        <w:autoSpaceDN w:val="0"/>
        <w:adjustRightInd w:val="0"/>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该项目在加油区、站房值班室及配电间均设置应急疏散照明灯具；在站房出入口设置了应急疏散指示灯具。</w:t>
      </w:r>
    </w:p>
    <w:p w14:paraId="1DEE8D00">
      <w:pPr>
        <w:pStyle w:val="33"/>
        <w:spacing w:line="580" w:lineRule="exact"/>
        <w:ind w:firstLine="560" w:firstLineChars="200"/>
        <w:rPr>
          <w:rFonts w:ascii="Times New Roman" w:cs="Times New Roman"/>
          <w:color w:val="auto"/>
          <w:kern w:val="2"/>
          <w:sz w:val="28"/>
          <w:szCs w:val="28"/>
        </w:rPr>
      </w:pPr>
      <w:r>
        <w:rPr>
          <w:rFonts w:ascii="Times New Roman" w:cs="Times New Roman"/>
          <w:color w:val="auto"/>
          <w:kern w:val="2"/>
          <w:sz w:val="28"/>
          <w:szCs w:val="28"/>
        </w:rPr>
        <w:t>6</w:t>
      </w:r>
      <w:r>
        <w:rPr>
          <w:rFonts w:hint="eastAsia" w:ascii="Times New Roman"/>
          <w:color w:val="auto"/>
          <w:kern w:val="2"/>
          <w:sz w:val="28"/>
          <w:szCs w:val="28"/>
        </w:rPr>
        <w:t>、仪表自动控制</w:t>
      </w:r>
    </w:p>
    <w:p w14:paraId="1F54B1EC">
      <w:pPr>
        <w:pStyle w:val="33"/>
        <w:spacing w:line="580" w:lineRule="exact"/>
        <w:ind w:firstLine="560" w:firstLineChars="200"/>
        <w:rPr>
          <w:rFonts w:ascii="Times New Roman"/>
          <w:color w:val="auto"/>
          <w:kern w:val="2"/>
          <w:sz w:val="28"/>
          <w:szCs w:val="28"/>
        </w:rPr>
      </w:pPr>
      <w:r>
        <w:rPr>
          <w:rFonts w:hint="eastAsia" w:ascii="Times New Roman"/>
          <w:color w:val="auto"/>
          <w:kern w:val="2"/>
          <w:sz w:val="28"/>
          <w:szCs w:val="28"/>
        </w:rPr>
        <w:t>本项目工艺系统均为常温常压，在油罐上设置了带高位报警的自动液位仪、防爆阻火通气罩、压力真空阻火呼吸阀等安全监控防护措施。</w:t>
      </w:r>
    </w:p>
    <w:p w14:paraId="4A15E3D1">
      <w:pPr>
        <w:pStyle w:val="33"/>
        <w:spacing w:line="580" w:lineRule="exact"/>
        <w:ind w:firstLine="560" w:firstLineChars="200"/>
        <w:rPr>
          <w:rFonts w:ascii="Times New Roman"/>
          <w:color w:val="auto"/>
          <w:kern w:val="2"/>
          <w:sz w:val="28"/>
          <w:szCs w:val="28"/>
        </w:rPr>
      </w:pPr>
      <w:r>
        <w:rPr>
          <w:rFonts w:hint="eastAsia" w:ascii="Times New Roman"/>
          <w:color w:val="auto"/>
          <w:kern w:val="2"/>
          <w:sz w:val="28"/>
          <w:szCs w:val="28"/>
        </w:rPr>
        <w:t>油罐采取卸油时的防满溢措施。当油料达到油罐容量90%时，能触动高液位报警装置；油料达到油罐容量95%时，油罐内的卸油防溢阀能自动切断油料进罐。液位监测仪设置在站长室内。</w:t>
      </w:r>
    </w:p>
    <w:p w14:paraId="399D75FC">
      <w:pPr>
        <w:pStyle w:val="33"/>
        <w:spacing w:line="580" w:lineRule="exact"/>
        <w:ind w:firstLine="560" w:firstLineChars="200"/>
        <w:rPr>
          <w:rFonts w:hint="eastAsia" w:ascii="Times New Roman"/>
          <w:color w:val="auto"/>
          <w:kern w:val="2"/>
          <w:sz w:val="28"/>
          <w:szCs w:val="28"/>
        </w:rPr>
      </w:pPr>
      <w:r>
        <w:rPr>
          <w:rFonts w:hint="eastAsia" w:ascii="Times New Roman"/>
          <w:color w:val="auto"/>
          <w:kern w:val="2"/>
          <w:sz w:val="28"/>
          <w:szCs w:val="28"/>
        </w:rPr>
        <w:t>加油站设置了2个紧急停车按钮（加油区1个，收银台1个），事故状态下能手动切断加油机控制箱电源，停加油机及潜油泵。事故紧急切断系统带失效保护功能，只能手动复位。</w:t>
      </w:r>
    </w:p>
    <w:p w14:paraId="2AA466EF">
      <w:pPr>
        <w:pStyle w:val="33"/>
        <w:spacing w:line="580" w:lineRule="exact"/>
        <w:ind w:firstLine="560" w:firstLineChars="200"/>
        <w:rPr>
          <w:rFonts w:ascii="Times New Roman"/>
          <w:color w:val="auto"/>
          <w:kern w:val="2"/>
          <w:sz w:val="28"/>
          <w:szCs w:val="28"/>
        </w:rPr>
      </w:pPr>
      <w:r>
        <w:rPr>
          <w:rFonts w:ascii="Times New Roman"/>
          <w:color w:val="auto"/>
          <w:kern w:val="2"/>
          <w:sz w:val="28"/>
          <w:szCs w:val="28"/>
        </w:rPr>
        <w:t>加油机采用自封式加油枪，枪身设计的自封装置能够确保在容器加满时自动关闭油枪，防止</w:t>
      </w:r>
      <w:r>
        <w:rPr>
          <w:rFonts w:hint="eastAsia" w:ascii="Times New Roman"/>
          <w:color w:val="auto"/>
          <w:kern w:val="2"/>
          <w:sz w:val="28"/>
          <w:szCs w:val="28"/>
        </w:rPr>
        <w:t>油品</w:t>
      </w:r>
      <w:r>
        <w:rPr>
          <w:rFonts w:ascii="Times New Roman"/>
          <w:color w:val="auto"/>
          <w:kern w:val="2"/>
          <w:sz w:val="28"/>
          <w:szCs w:val="28"/>
        </w:rPr>
        <w:t>外溢。铝合金枪身具有良好的导电性可及时安全地消除静电。</w:t>
      </w:r>
    </w:p>
    <w:p w14:paraId="0A4F2C32">
      <w:pPr>
        <w:pStyle w:val="33"/>
        <w:spacing w:line="580" w:lineRule="exact"/>
        <w:ind w:firstLine="560" w:firstLineChars="200"/>
        <w:rPr>
          <w:rFonts w:ascii="Times New Roman"/>
          <w:color w:val="auto"/>
          <w:kern w:val="2"/>
          <w:sz w:val="28"/>
          <w:szCs w:val="28"/>
        </w:rPr>
      </w:pPr>
      <w:r>
        <w:rPr>
          <w:rFonts w:hint="eastAsia" w:ascii="Times New Roman"/>
          <w:color w:val="auto"/>
          <w:kern w:val="2"/>
          <w:sz w:val="28"/>
          <w:szCs w:val="28"/>
        </w:rPr>
        <w:t>加油机底部管道上设置安全剪切阀，加油软管上设安全拉断阀。</w:t>
      </w:r>
    </w:p>
    <w:p w14:paraId="48787849">
      <w:pPr>
        <w:keepNext/>
        <w:keepLines/>
        <w:spacing w:line="580" w:lineRule="exact"/>
        <w:outlineLvl w:val="1"/>
        <w:rPr>
          <w:rFonts w:ascii="Times New Roman" w:hAnsi="Times New Roman" w:cs="Times New Roman"/>
          <w:b/>
          <w:bCs/>
          <w:color w:val="auto"/>
          <w:sz w:val="28"/>
          <w:szCs w:val="28"/>
        </w:rPr>
      </w:pPr>
      <w:bookmarkStart w:id="41" w:name="_Toc1531"/>
      <w:bookmarkStart w:id="42" w:name="_Toc343692248"/>
      <w:bookmarkStart w:id="43" w:name="_Toc30410"/>
      <w:r>
        <w:rPr>
          <w:rFonts w:ascii="Times New Roman" w:hAnsi="Times New Roman" w:cs="Times New Roman"/>
          <w:b/>
          <w:bCs/>
          <w:color w:val="auto"/>
          <w:sz w:val="28"/>
          <w:szCs w:val="28"/>
        </w:rPr>
        <w:t xml:space="preserve">2.5 </w:t>
      </w:r>
      <w:r>
        <w:rPr>
          <w:rFonts w:hint="eastAsia" w:ascii="Times New Roman" w:hAnsi="Times New Roman" w:cs="宋体"/>
          <w:b/>
          <w:bCs/>
          <w:color w:val="auto"/>
          <w:sz w:val="28"/>
          <w:szCs w:val="28"/>
        </w:rPr>
        <w:t>消防、安全设施</w:t>
      </w:r>
      <w:bookmarkEnd w:id="41"/>
      <w:bookmarkEnd w:id="42"/>
      <w:bookmarkEnd w:id="43"/>
    </w:p>
    <w:p w14:paraId="47F5C482">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b/>
          <w:bCs/>
          <w:color w:val="auto"/>
          <w:sz w:val="28"/>
          <w:szCs w:val="28"/>
        </w:rPr>
        <w:t>、</w:t>
      </w:r>
      <w:r>
        <w:rPr>
          <w:rFonts w:hint="eastAsia" w:ascii="Times New Roman" w:hAnsi="Times New Roman" w:cs="宋体"/>
          <w:color w:val="auto"/>
          <w:sz w:val="28"/>
          <w:szCs w:val="28"/>
        </w:rPr>
        <w:t>消防设施：</w:t>
      </w:r>
    </w:p>
    <w:p w14:paraId="51506AF5">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该站于200</w:t>
      </w:r>
      <w:r>
        <w:rPr>
          <w:rFonts w:hint="eastAsia" w:ascii="Times New Roman" w:hAnsi="Times New Roman" w:cs="Times New Roman"/>
          <w:color w:val="auto"/>
          <w:sz w:val="28"/>
          <w:szCs w:val="28"/>
          <w:lang w:val="en-US" w:eastAsia="zh-CN"/>
        </w:rPr>
        <w:t>4</w:t>
      </w:r>
      <w:r>
        <w:rPr>
          <w:rFonts w:hint="eastAsia"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6</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24</w:t>
      </w:r>
      <w:r>
        <w:rPr>
          <w:rFonts w:hint="eastAsia" w:ascii="Times New Roman" w:hAnsi="Times New Roman" w:cs="Times New Roman"/>
          <w:color w:val="auto"/>
          <w:sz w:val="28"/>
          <w:szCs w:val="28"/>
        </w:rPr>
        <w:t>日取得</w:t>
      </w:r>
      <w:r>
        <w:rPr>
          <w:rFonts w:hint="eastAsia" w:ascii="Times New Roman" w:hAnsi="Times New Roman" w:cs="Times New Roman"/>
          <w:color w:val="auto"/>
          <w:sz w:val="28"/>
          <w:szCs w:val="28"/>
          <w:lang w:val="en-US" w:eastAsia="zh-CN"/>
        </w:rPr>
        <w:t>兴国县</w:t>
      </w:r>
      <w:r>
        <w:rPr>
          <w:rFonts w:hint="eastAsia" w:ascii="Times New Roman" w:hAnsi="Times New Roman" w:cs="Times New Roman"/>
          <w:color w:val="auto"/>
          <w:sz w:val="28"/>
          <w:szCs w:val="28"/>
        </w:rPr>
        <w:t>公安消防</w:t>
      </w:r>
      <w:r>
        <w:rPr>
          <w:rFonts w:hint="eastAsia" w:ascii="Times New Roman" w:hAnsi="Times New Roman" w:cs="Times New Roman"/>
          <w:color w:val="auto"/>
          <w:sz w:val="28"/>
          <w:szCs w:val="28"/>
          <w:lang w:val="en-US" w:eastAsia="zh-CN"/>
        </w:rPr>
        <w:t>大</w:t>
      </w:r>
      <w:r>
        <w:rPr>
          <w:rFonts w:hint="eastAsia" w:ascii="Times New Roman" w:hAnsi="Times New Roman" w:cs="Times New Roman"/>
          <w:color w:val="auto"/>
          <w:sz w:val="28"/>
          <w:szCs w:val="28"/>
        </w:rPr>
        <w:t>队出具的建筑工程消防验收意见书。</w:t>
      </w:r>
    </w:p>
    <w:p w14:paraId="4B955C25">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该站主要消防设施配置及分布见下表</w:t>
      </w:r>
      <w:r>
        <w:rPr>
          <w:rFonts w:hint="eastAsia" w:ascii="Times New Roman" w:hAnsi="Times New Roman" w:cs="宋体"/>
          <w:color w:val="auto"/>
          <w:sz w:val="28"/>
          <w:szCs w:val="28"/>
        </w:rPr>
        <w:t>。</w:t>
      </w:r>
    </w:p>
    <w:p w14:paraId="365054B5">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表2</w:t>
      </w:r>
      <w:r>
        <w:rPr>
          <w:rFonts w:hint="eastAsia" w:ascii="Times New Roman" w:hAnsi="Times New Roman" w:cs="宋体"/>
          <w:color w:val="auto"/>
          <w:sz w:val="24"/>
          <w:szCs w:val="24"/>
        </w:rPr>
        <w:t>.5-1</w:t>
      </w:r>
      <w:r>
        <w:rPr>
          <w:rFonts w:hint="eastAsia" w:ascii="Times New Roman" w:hAnsi="Times New Roman" w:cs="宋体"/>
          <w:color w:val="auto"/>
          <w:sz w:val="24"/>
          <w:szCs w:val="24"/>
          <w:lang w:val="zh-CN"/>
        </w:rPr>
        <w:t xml:space="preserve"> 消防设施一览表</w:t>
      </w:r>
    </w:p>
    <w:tbl>
      <w:tblPr>
        <w:tblStyle w:val="25"/>
        <w:tblW w:w="9117"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1996"/>
        <w:gridCol w:w="867"/>
        <w:gridCol w:w="1249"/>
        <w:gridCol w:w="3230"/>
      </w:tblGrid>
      <w:tr w14:paraId="63132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775" w:type="dxa"/>
            <w:vAlign w:val="center"/>
          </w:tcPr>
          <w:p w14:paraId="646029B0">
            <w:pPr>
              <w:spacing w:line="280" w:lineRule="exact"/>
              <w:jc w:val="center"/>
              <w:rPr>
                <w:rFonts w:ascii="Times New Roman" w:hAnsi="Times New Roman" w:cs="宋体"/>
                <w:color w:val="auto"/>
              </w:rPr>
            </w:pPr>
            <w:r>
              <w:rPr>
                <w:rFonts w:hint="eastAsia" w:ascii="Times New Roman" w:hAnsi="Times New Roman" w:cs="宋体"/>
                <w:color w:val="auto"/>
              </w:rPr>
              <w:t>名称</w:t>
            </w:r>
          </w:p>
        </w:tc>
        <w:tc>
          <w:tcPr>
            <w:tcW w:w="1996" w:type="dxa"/>
            <w:vAlign w:val="center"/>
          </w:tcPr>
          <w:p w14:paraId="30118538">
            <w:pPr>
              <w:spacing w:line="280" w:lineRule="exact"/>
              <w:jc w:val="center"/>
              <w:rPr>
                <w:rFonts w:ascii="Times New Roman" w:hAnsi="Times New Roman" w:cs="宋体"/>
                <w:color w:val="auto"/>
              </w:rPr>
            </w:pPr>
            <w:r>
              <w:rPr>
                <w:rFonts w:hint="eastAsia" w:ascii="Times New Roman" w:hAnsi="Times New Roman" w:cs="宋体"/>
                <w:color w:val="auto"/>
              </w:rPr>
              <w:t>型号、规格</w:t>
            </w:r>
          </w:p>
        </w:tc>
        <w:tc>
          <w:tcPr>
            <w:tcW w:w="867" w:type="dxa"/>
            <w:vAlign w:val="center"/>
          </w:tcPr>
          <w:p w14:paraId="06D42B0A">
            <w:pPr>
              <w:spacing w:line="280" w:lineRule="exact"/>
              <w:jc w:val="center"/>
              <w:rPr>
                <w:rFonts w:ascii="Times New Roman" w:hAnsi="Times New Roman" w:cs="宋体"/>
                <w:color w:val="auto"/>
              </w:rPr>
            </w:pPr>
            <w:r>
              <w:rPr>
                <w:rFonts w:hint="eastAsia" w:ascii="Times New Roman" w:hAnsi="Times New Roman" w:cs="宋体"/>
                <w:color w:val="auto"/>
              </w:rPr>
              <w:t>数量</w:t>
            </w:r>
          </w:p>
        </w:tc>
        <w:tc>
          <w:tcPr>
            <w:tcW w:w="1249" w:type="dxa"/>
            <w:vAlign w:val="center"/>
          </w:tcPr>
          <w:p w14:paraId="504C2F3C">
            <w:pPr>
              <w:spacing w:line="280" w:lineRule="exact"/>
              <w:jc w:val="center"/>
              <w:rPr>
                <w:rFonts w:ascii="Times New Roman" w:hAnsi="Times New Roman" w:cs="宋体"/>
                <w:color w:val="auto"/>
              </w:rPr>
            </w:pPr>
            <w:r>
              <w:rPr>
                <w:rFonts w:hint="eastAsia" w:ascii="Times New Roman" w:hAnsi="Times New Roman" w:cs="宋体"/>
                <w:color w:val="auto"/>
              </w:rPr>
              <w:t>状况</w:t>
            </w:r>
          </w:p>
        </w:tc>
        <w:tc>
          <w:tcPr>
            <w:tcW w:w="3230" w:type="dxa"/>
            <w:vAlign w:val="center"/>
          </w:tcPr>
          <w:p w14:paraId="5566B887">
            <w:pPr>
              <w:spacing w:line="280" w:lineRule="exact"/>
              <w:jc w:val="center"/>
              <w:rPr>
                <w:rFonts w:ascii="Times New Roman" w:hAnsi="Times New Roman" w:cs="宋体"/>
                <w:color w:val="auto"/>
              </w:rPr>
            </w:pPr>
            <w:r>
              <w:rPr>
                <w:rFonts w:hint="eastAsia" w:ascii="Times New Roman" w:hAnsi="Times New Roman" w:cs="宋体"/>
                <w:color w:val="auto"/>
              </w:rPr>
              <w:t>备注</w:t>
            </w:r>
          </w:p>
        </w:tc>
      </w:tr>
      <w:tr w14:paraId="44D07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75" w:type="dxa"/>
            <w:vAlign w:val="center"/>
          </w:tcPr>
          <w:p w14:paraId="76AC794E">
            <w:pPr>
              <w:spacing w:line="280" w:lineRule="exact"/>
              <w:jc w:val="center"/>
              <w:rPr>
                <w:rFonts w:ascii="Times New Roman" w:hAnsi="Times New Roman" w:cs="宋体"/>
                <w:color w:val="auto"/>
              </w:rPr>
            </w:pPr>
            <w:r>
              <w:rPr>
                <w:rFonts w:hint="eastAsia" w:ascii="Times New Roman" w:hAnsi="Times New Roman" w:cs="宋体"/>
                <w:color w:val="auto"/>
              </w:rPr>
              <w:t>干粉推车</w:t>
            </w:r>
          </w:p>
        </w:tc>
        <w:tc>
          <w:tcPr>
            <w:tcW w:w="1996" w:type="dxa"/>
            <w:vAlign w:val="center"/>
          </w:tcPr>
          <w:p w14:paraId="169BF006">
            <w:pPr>
              <w:spacing w:line="280" w:lineRule="exact"/>
              <w:jc w:val="center"/>
              <w:rPr>
                <w:rFonts w:ascii="Times New Roman" w:hAnsi="Times New Roman" w:cs="宋体"/>
                <w:color w:val="auto"/>
              </w:rPr>
            </w:pPr>
          </w:p>
        </w:tc>
        <w:tc>
          <w:tcPr>
            <w:tcW w:w="867" w:type="dxa"/>
            <w:vAlign w:val="center"/>
          </w:tcPr>
          <w:p w14:paraId="46933D41">
            <w:pPr>
              <w:spacing w:line="280" w:lineRule="exact"/>
              <w:jc w:val="center"/>
              <w:rPr>
                <w:rFonts w:ascii="Times New Roman" w:hAnsi="Times New Roman" w:cs="宋体"/>
                <w:color w:val="auto"/>
              </w:rPr>
            </w:pPr>
          </w:p>
        </w:tc>
        <w:tc>
          <w:tcPr>
            <w:tcW w:w="1249" w:type="dxa"/>
            <w:vAlign w:val="center"/>
          </w:tcPr>
          <w:p w14:paraId="564DF1EA">
            <w:pPr>
              <w:spacing w:line="280" w:lineRule="exact"/>
              <w:jc w:val="center"/>
              <w:rPr>
                <w:rFonts w:ascii="Times New Roman" w:hAnsi="Times New Roman" w:cs="宋体"/>
                <w:color w:val="auto"/>
              </w:rPr>
            </w:pPr>
          </w:p>
        </w:tc>
        <w:tc>
          <w:tcPr>
            <w:tcW w:w="3230" w:type="dxa"/>
            <w:vAlign w:val="center"/>
          </w:tcPr>
          <w:p w14:paraId="43E35088">
            <w:pPr>
              <w:spacing w:line="280" w:lineRule="exact"/>
              <w:jc w:val="center"/>
              <w:rPr>
                <w:rFonts w:hint="default" w:ascii="Times New Roman" w:hAnsi="Times New Roman" w:eastAsia="宋体" w:cs="宋体"/>
                <w:color w:val="auto"/>
                <w:lang w:val="en-US" w:eastAsia="zh-CN"/>
              </w:rPr>
            </w:pPr>
          </w:p>
        </w:tc>
      </w:tr>
      <w:tr w14:paraId="1B2B0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75" w:type="dxa"/>
            <w:vAlign w:val="center"/>
          </w:tcPr>
          <w:p w14:paraId="5AB72B2F">
            <w:pPr>
              <w:spacing w:line="280" w:lineRule="exact"/>
              <w:jc w:val="center"/>
              <w:rPr>
                <w:rFonts w:ascii="Times New Roman" w:hAnsi="Times New Roman" w:cs="宋体"/>
                <w:color w:val="auto"/>
              </w:rPr>
            </w:pPr>
            <w:r>
              <w:rPr>
                <w:rFonts w:hint="eastAsia" w:ascii="Times New Roman" w:hAnsi="Times New Roman" w:cs="宋体"/>
                <w:color w:val="auto"/>
              </w:rPr>
              <w:t>干粉灭火器</w:t>
            </w:r>
          </w:p>
        </w:tc>
        <w:tc>
          <w:tcPr>
            <w:tcW w:w="1996" w:type="dxa"/>
            <w:vAlign w:val="center"/>
          </w:tcPr>
          <w:p w14:paraId="7F7B884D">
            <w:pPr>
              <w:spacing w:line="280" w:lineRule="exact"/>
              <w:jc w:val="center"/>
              <w:rPr>
                <w:rFonts w:ascii="Times New Roman" w:hAnsi="Times New Roman" w:cs="宋体"/>
                <w:color w:val="auto"/>
              </w:rPr>
            </w:pPr>
          </w:p>
        </w:tc>
        <w:tc>
          <w:tcPr>
            <w:tcW w:w="867" w:type="dxa"/>
            <w:vAlign w:val="center"/>
          </w:tcPr>
          <w:p w14:paraId="5CC3B2FF">
            <w:pPr>
              <w:spacing w:line="280" w:lineRule="exact"/>
              <w:jc w:val="center"/>
              <w:rPr>
                <w:rFonts w:ascii="Times New Roman" w:hAnsi="Times New Roman" w:cs="宋体"/>
                <w:color w:val="auto"/>
              </w:rPr>
            </w:pPr>
          </w:p>
        </w:tc>
        <w:tc>
          <w:tcPr>
            <w:tcW w:w="1249" w:type="dxa"/>
            <w:vAlign w:val="center"/>
          </w:tcPr>
          <w:p w14:paraId="198B7DBB">
            <w:pPr>
              <w:spacing w:line="280" w:lineRule="exact"/>
              <w:jc w:val="center"/>
              <w:rPr>
                <w:rFonts w:ascii="Times New Roman" w:hAnsi="Times New Roman" w:cs="宋体"/>
                <w:color w:val="auto"/>
              </w:rPr>
            </w:pPr>
          </w:p>
        </w:tc>
        <w:tc>
          <w:tcPr>
            <w:tcW w:w="3230" w:type="dxa"/>
            <w:vAlign w:val="center"/>
          </w:tcPr>
          <w:p w14:paraId="5C397C28">
            <w:pPr>
              <w:spacing w:line="280" w:lineRule="exact"/>
              <w:jc w:val="center"/>
              <w:rPr>
                <w:rFonts w:hint="default" w:ascii="Times New Roman" w:hAnsi="Times New Roman" w:eastAsia="宋体" w:cs="宋体"/>
                <w:color w:val="auto"/>
                <w:lang w:val="en-US" w:eastAsia="zh-CN"/>
              </w:rPr>
            </w:pPr>
          </w:p>
        </w:tc>
      </w:tr>
      <w:tr w14:paraId="75F03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75" w:type="dxa"/>
            <w:vAlign w:val="center"/>
          </w:tcPr>
          <w:p w14:paraId="55E01C7A">
            <w:pPr>
              <w:spacing w:line="280" w:lineRule="exact"/>
              <w:jc w:val="center"/>
              <w:rPr>
                <w:rFonts w:hint="eastAsia" w:ascii="Times New Roman" w:hAnsi="Times New Roman" w:cs="宋体"/>
                <w:color w:val="auto"/>
              </w:rPr>
            </w:pPr>
            <w:r>
              <w:rPr>
                <w:rFonts w:hint="eastAsia" w:ascii="Times New Roman" w:hAnsi="Times New Roman" w:cs="宋体"/>
                <w:color w:val="auto"/>
              </w:rPr>
              <w:t>干粉灭火器</w:t>
            </w:r>
          </w:p>
        </w:tc>
        <w:tc>
          <w:tcPr>
            <w:tcW w:w="1996" w:type="dxa"/>
            <w:vAlign w:val="center"/>
          </w:tcPr>
          <w:p w14:paraId="34D06633">
            <w:pPr>
              <w:spacing w:line="280" w:lineRule="exact"/>
              <w:jc w:val="center"/>
              <w:rPr>
                <w:rFonts w:hint="eastAsia" w:ascii="Times New Roman" w:hAnsi="Times New Roman" w:cs="宋体"/>
                <w:color w:val="auto"/>
              </w:rPr>
            </w:pPr>
          </w:p>
        </w:tc>
        <w:tc>
          <w:tcPr>
            <w:tcW w:w="867" w:type="dxa"/>
            <w:vAlign w:val="center"/>
          </w:tcPr>
          <w:p w14:paraId="6E393A39">
            <w:pPr>
              <w:spacing w:line="280" w:lineRule="exact"/>
              <w:jc w:val="center"/>
              <w:rPr>
                <w:rFonts w:hint="eastAsia" w:ascii="Times New Roman" w:hAnsi="Times New Roman" w:cs="宋体"/>
                <w:color w:val="auto"/>
                <w:lang w:val="en-US" w:eastAsia="zh-CN"/>
              </w:rPr>
            </w:pPr>
          </w:p>
        </w:tc>
        <w:tc>
          <w:tcPr>
            <w:tcW w:w="1249" w:type="dxa"/>
            <w:vAlign w:val="center"/>
          </w:tcPr>
          <w:p w14:paraId="590211E4">
            <w:pPr>
              <w:spacing w:line="280" w:lineRule="exact"/>
              <w:jc w:val="center"/>
              <w:rPr>
                <w:rFonts w:hint="eastAsia" w:ascii="Times New Roman" w:hAnsi="Times New Roman" w:cs="宋体"/>
                <w:color w:val="auto"/>
              </w:rPr>
            </w:pPr>
          </w:p>
        </w:tc>
        <w:tc>
          <w:tcPr>
            <w:tcW w:w="3230" w:type="dxa"/>
            <w:vAlign w:val="center"/>
          </w:tcPr>
          <w:p w14:paraId="787808B3">
            <w:pPr>
              <w:spacing w:line="280" w:lineRule="exact"/>
              <w:jc w:val="center"/>
              <w:rPr>
                <w:rFonts w:hint="eastAsia" w:ascii="Times New Roman" w:hAnsi="Times New Roman" w:cs="宋体"/>
                <w:color w:val="auto"/>
              </w:rPr>
            </w:pPr>
          </w:p>
        </w:tc>
      </w:tr>
      <w:tr w14:paraId="337D6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75" w:type="dxa"/>
            <w:vAlign w:val="center"/>
          </w:tcPr>
          <w:p w14:paraId="23A458BC">
            <w:pPr>
              <w:spacing w:line="280" w:lineRule="exact"/>
              <w:jc w:val="center"/>
              <w:rPr>
                <w:rFonts w:ascii="Times New Roman" w:hAnsi="Times New Roman" w:cs="宋体"/>
                <w:color w:val="auto"/>
              </w:rPr>
            </w:pPr>
            <w:r>
              <w:rPr>
                <w:rFonts w:hint="eastAsia" w:ascii="Times New Roman" w:hAnsi="Times New Roman" w:cs="宋体"/>
                <w:color w:val="auto"/>
              </w:rPr>
              <w:t>二氧化碳灭火器</w:t>
            </w:r>
          </w:p>
        </w:tc>
        <w:tc>
          <w:tcPr>
            <w:tcW w:w="1996" w:type="dxa"/>
            <w:vAlign w:val="center"/>
          </w:tcPr>
          <w:p w14:paraId="138CBA09">
            <w:pPr>
              <w:spacing w:line="280" w:lineRule="exact"/>
              <w:jc w:val="center"/>
              <w:rPr>
                <w:rFonts w:hint="eastAsia" w:ascii="Times New Roman" w:hAnsi="Times New Roman" w:eastAsia="宋体" w:cs="宋体"/>
                <w:color w:val="auto"/>
                <w:lang w:eastAsia="zh-CN"/>
              </w:rPr>
            </w:pPr>
          </w:p>
        </w:tc>
        <w:tc>
          <w:tcPr>
            <w:tcW w:w="867" w:type="dxa"/>
            <w:vAlign w:val="center"/>
          </w:tcPr>
          <w:p w14:paraId="4C11FCBA">
            <w:pPr>
              <w:spacing w:line="280" w:lineRule="exact"/>
              <w:jc w:val="center"/>
              <w:rPr>
                <w:rFonts w:ascii="Times New Roman" w:hAnsi="Times New Roman" w:cs="宋体"/>
                <w:color w:val="auto"/>
              </w:rPr>
            </w:pPr>
          </w:p>
        </w:tc>
        <w:tc>
          <w:tcPr>
            <w:tcW w:w="1249" w:type="dxa"/>
            <w:vAlign w:val="center"/>
          </w:tcPr>
          <w:p w14:paraId="679629DF">
            <w:pPr>
              <w:spacing w:line="280" w:lineRule="exact"/>
              <w:jc w:val="center"/>
              <w:rPr>
                <w:rFonts w:ascii="Times New Roman" w:hAnsi="Times New Roman" w:cs="宋体"/>
                <w:color w:val="auto"/>
              </w:rPr>
            </w:pPr>
          </w:p>
        </w:tc>
        <w:tc>
          <w:tcPr>
            <w:tcW w:w="3230" w:type="dxa"/>
            <w:vAlign w:val="center"/>
          </w:tcPr>
          <w:p w14:paraId="40D3E5DE">
            <w:pPr>
              <w:spacing w:line="280" w:lineRule="exact"/>
              <w:jc w:val="center"/>
              <w:rPr>
                <w:rFonts w:ascii="Times New Roman" w:hAnsi="Times New Roman" w:cs="宋体"/>
                <w:color w:val="auto"/>
              </w:rPr>
            </w:pPr>
          </w:p>
        </w:tc>
      </w:tr>
      <w:tr w14:paraId="3DC19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75" w:type="dxa"/>
            <w:vAlign w:val="center"/>
          </w:tcPr>
          <w:p w14:paraId="13893E53">
            <w:pPr>
              <w:spacing w:line="280" w:lineRule="exact"/>
              <w:jc w:val="center"/>
              <w:rPr>
                <w:rFonts w:ascii="Times New Roman" w:hAnsi="Times New Roman" w:cs="宋体"/>
                <w:color w:val="auto"/>
              </w:rPr>
            </w:pPr>
            <w:r>
              <w:rPr>
                <w:rFonts w:hint="eastAsia" w:ascii="Times New Roman" w:hAnsi="Times New Roman" w:cs="宋体"/>
                <w:color w:val="auto"/>
              </w:rPr>
              <w:t>灭火毯</w:t>
            </w:r>
          </w:p>
        </w:tc>
        <w:tc>
          <w:tcPr>
            <w:tcW w:w="1996" w:type="dxa"/>
            <w:vAlign w:val="center"/>
          </w:tcPr>
          <w:p w14:paraId="20320680">
            <w:pPr>
              <w:spacing w:line="280" w:lineRule="exact"/>
              <w:jc w:val="center"/>
              <w:rPr>
                <w:rFonts w:ascii="Times New Roman" w:hAnsi="Times New Roman" w:cs="宋体"/>
                <w:color w:val="auto"/>
              </w:rPr>
            </w:pPr>
          </w:p>
        </w:tc>
        <w:tc>
          <w:tcPr>
            <w:tcW w:w="867" w:type="dxa"/>
            <w:vAlign w:val="center"/>
          </w:tcPr>
          <w:p w14:paraId="4A21801F">
            <w:pPr>
              <w:spacing w:line="280" w:lineRule="exact"/>
              <w:jc w:val="center"/>
              <w:rPr>
                <w:rFonts w:ascii="Times New Roman" w:hAnsi="Times New Roman" w:cs="宋体"/>
                <w:color w:val="auto"/>
              </w:rPr>
            </w:pPr>
          </w:p>
        </w:tc>
        <w:tc>
          <w:tcPr>
            <w:tcW w:w="1249" w:type="dxa"/>
            <w:vAlign w:val="center"/>
          </w:tcPr>
          <w:p w14:paraId="543D47A8">
            <w:pPr>
              <w:spacing w:line="280" w:lineRule="exact"/>
              <w:jc w:val="center"/>
              <w:rPr>
                <w:rFonts w:ascii="Times New Roman" w:hAnsi="Times New Roman" w:cs="宋体"/>
                <w:color w:val="auto"/>
              </w:rPr>
            </w:pPr>
          </w:p>
        </w:tc>
        <w:tc>
          <w:tcPr>
            <w:tcW w:w="3230" w:type="dxa"/>
            <w:vAlign w:val="center"/>
          </w:tcPr>
          <w:p w14:paraId="5E8B77E6">
            <w:pPr>
              <w:spacing w:line="280" w:lineRule="exact"/>
              <w:jc w:val="center"/>
              <w:rPr>
                <w:rFonts w:ascii="Times New Roman" w:hAnsi="Times New Roman" w:cs="宋体"/>
                <w:color w:val="auto"/>
              </w:rPr>
            </w:pPr>
          </w:p>
        </w:tc>
      </w:tr>
      <w:tr w14:paraId="76010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75" w:type="dxa"/>
            <w:vAlign w:val="center"/>
          </w:tcPr>
          <w:p w14:paraId="56108D86">
            <w:pPr>
              <w:spacing w:line="280" w:lineRule="exact"/>
              <w:jc w:val="center"/>
              <w:rPr>
                <w:rFonts w:ascii="Times New Roman" w:hAnsi="Times New Roman" w:cs="宋体"/>
                <w:color w:val="auto"/>
              </w:rPr>
            </w:pPr>
            <w:r>
              <w:rPr>
                <w:rFonts w:hint="eastAsia" w:ascii="Times New Roman" w:hAnsi="Times New Roman" w:cs="宋体"/>
                <w:color w:val="auto"/>
              </w:rPr>
              <w:t>消防沙池</w:t>
            </w:r>
          </w:p>
        </w:tc>
        <w:tc>
          <w:tcPr>
            <w:tcW w:w="1996" w:type="dxa"/>
            <w:vAlign w:val="center"/>
          </w:tcPr>
          <w:p w14:paraId="5979DD80">
            <w:pPr>
              <w:spacing w:line="280" w:lineRule="exact"/>
              <w:jc w:val="center"/>
              <w:rPr>
                <w:rFonts w:ascii="Times New Roman" w:hAnsi="Times New Roman" w:cs="宋体"/>
                <w:color w:val="auto"/>
              </w:rPr>
            </w:pPr>
          </w:p>
        </w:tc>
        <w:tc>
          <w:tcPr>
            <w:tcW w:w="867" w:type="dxa"/>
            <w:vAlign w:val="center"/>
          </w:tcPr>
          <w:p w14:paraId="2AA9C34F">
            <w:pPr>
              <w:spacing w:line="280" w:lineRule="exact"/>
              <w:jc w:val="center"/>
              <w:rPr>
                <w:rFonts w:ascii="Times New Roman" w:hAnsi="Times New Roman" w:cs="宋体"/>
                <w:color w:val="auto"/>
              </w:rPr>
            </w:pPr>
          </w:p>
        </w:tc>
        <w:tc>
          <w:tcPr>
            <w:tcW w:w="1249" w:type="dxa"/>
            <w:vAlign w:val="center"/>
          </w:tcPr>
          <w:p w14:paraId="77C0C346">
            <w:pPr>
              <w:spacing w:line="280" w:lineRule="exact"/>
              <w:jc w:val="center"/>
              <w:rPr>
                <w:rFonts w:ascii="Times New Roman" w:hAnsi="Times New Roman" w:cs="宋体"/>
                <w:color w:val="auto"/>
              </w:rPr>
            </w:pPr>
          </w:p>
        </w:tc>
        <w:tc>
          <w:tcPr>
            <w:tcW w:w="3230" w:type="dxa"/>
            <w:vAlign w:val="center"/>
          </w:tcPr>
          <w:p w14:paraId="5D481D18">
            <w:pPr>
              <w:spacing w:line="280" w:lineRule="exact"/>
              <w:jc w:val="center"/>
              <w:rPr>
                <w:rFonts w:ascii="Times New Roman" w:hAnsi="Times New Roman" w:cs="宋体"/>
                <w:color w:val="auto"/>
              </w:rPr>
            </w:pPr>
          </w:p>
        </w:tc>
      </w:tr>
      <w:tr w14:paraId="3BA0F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775" w:type="dxa"/>
            <w:vAlign w:val="center"/>
          </w:tcPr>
          <w:p w14:paraId="41DF72C1">
            <w:pPr>
              <w:spacing w:line="280" w:lineRule="exact"/>
              <w:jc w:val="center"/>
              <w:rPr>
                <w:rFonts w:ascii="Times New Roman" w:hAnsi="Times New Roman" w:cs="宋体"/>
                <w:color w:val="auto"/>
              </w:rPr>
            </w:pPr>
            <w:r>
              <w:rPr>
                <w:rFonts w:hint="eastAsia" w:ascii="Times New Roman" w:hAnsi="Times New Roman" w:cs="宋体"/>
                <w:color w:val="auto"/>
              </w:rPr>
              <w:t>消防铲、桶</w:t>
            </w:r>
          </w:p>
        </w:tc>
        <w:tc>
          <w:tcPr>
            <w:tcW w:w="1996" w:type="dxa"/>
            <w:vAlign w:val="center"/>
          </w:tcPr>
          <w:p w14:paraId="4AAA628A">
            <w:pPr>
              <w:spacing w:line="280" w:lineRule="exact"/>
              <w:jc w:val="center"/>
              <w:rPr>
                <w:rFonts w:ascii="Times New Roman" w:hAnsi="Times New Roman" w:cs="宋体"/>
                <w:color w:val="auto"/>
              </w:rPr>
            </w:pPr>
          </w:p>
        </w:tc>
        <w:tc>
          <w:tcPr>
            <w:tcW w:w="867" w:type="dxa"/>
            <w:vAlign w:val="center"/>
          </w:tcPr>
          <w:p w14:paraId="5BBB5F3B">
            <w:pPr>
              <w:spacing w:line="280" w:lineRule="exact"/>
              <w:jc w:val="center"/>
              <w:rPr>
                <w:rFonts w:ascii="Times New Roman" w:hAnsi="Times New Roman" w:cs="宋体"/>
                <w:color w:val="auto"/>
              </w:rPr>
            </w:pPr>
          </w:p>
        </w:tc>
        <w:tc>
          <w:tcPr>
            <w:tcW w:w="1249" w:type="dxa"/>
            <w:vAlign w:val="center"/>
          </w:tcPr>
          <w:p w14:paraId="04092DB4">
            <w:pPr>
              <w:spacing w:line="280" w:lineRule="exact"/>
              <w:jc w:val="center"/>
              <w:rPr>
                <w:rFonts w:ascii="Times New Roman" w:hAnsi="Times New Roman" w:cs="宋体"/>
                <w:color w:val="auto"/>
              </w:rPr>
            </w:pPr>
          </w:p>
        </w:tc>
        <w:tc>
          <w:tcPr>
            <w:tcW w:w="3230" w:type="dxa"/>
            <w:vAlign w:val="center"/>
          </w:tcPr>
          <w:p w14:paraId="1A89A860">
            <w:pPr>
              <w:spacing w:line="280" w:lineRule="exact"/>
              <w:jc w:val="center"/>
              <w:rPr>
                <w:rFonts w:ascii="Times New Roman" w:hAnsi="Times New Roman" w:cs="宋体"/>
                <w:color w:val="auto"/>
              </w:rPr>
            </w:pPr>
          </w:p>
        </w:tc>
      </w:tr>
    </w:tbl>
    <w:p w14:paraId="357E137E">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2、安全设施：</w:t>
      </w:r>
    </w:p>
    <w:p w14:paraId="1F064887">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柴油通气管、汽油通气管设置于罩棚立柱内，为DN50 的无缝钢管，通气管高出罩棚2m。通气管管口设有阻火器。汽油罐通气管及油气回收管另加装呼吸阀。</w:t>
      </w:r>
    </w:p>
    <w:p w14:paraId="154E02E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油储罐进油口、出油管、量油孔、通气管直接单独通往油罐，人孔盖上设有量油孔，量油孔设带锁的量油帽。</w:t>
      </w:r>
    </w:p>
    <w:p w14:paraId="3A4251EB">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密闭卸油口设置有用于连接车辆的防静电接地报警仪和人体静电导除器，防静电接地报警仪距卸油口间距大于1.5m。储罐及管道进行了静电接地，法兰连接处用铜片进行了跨接。卸油管采用内设金属丝的软管，可以和车辆的油罐和储油罐进行可靠的静电连接。</w:t>
      </w:r>
    </w:p>
    <w:p w14:paraId="40662CE9">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油罐设有液位监测仪，卸油时油料达到油罐容量90％时，能触动高液位报警装置，油料达到油罐容量95％时，能自动停止油料继续进罐。</w:t>
      </w:r>
    </w:p>
    <w:p w14:paraId="4D8132A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罩棚下处于非爆炸危险区域的灯具选用防护等级不低于IP44级的照明灯具。</w:t>
      </w:r>
    </w:p>
    <w:p w14:paraId="09E20B28">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输油管线采用直埋式。</w:t>
      </w:r>
    </w:p>
    <w:p w14:paraId="1E489ADB">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加油机采用防爆型自动计量加油机。</w:t>
      </w:r>
    </w:p>
    <w:p w14:paraId="74951DC5">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加油站罩棚、站房设有接闪装置和引下线，所有设施均在防雷有效保护范围内。防雷装置经有资质的检测单位检测，取得雷电防护装置检测报告，检测结论为合格，详见附件。</w:t>
      </w:r>
    </w:p>
    <w:p w14:paraId="4F0AF947">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站内电缆采用直埋敷设到用电设备。</w:t>
      </w:r>
    </w:p>
    <w:p w14:paraId="549BC22D">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站内设置紧急切断系统，该系统能在事故状态下实现紧急停车和关闭紧急切断阀的保护功能，并在加油区和站房收银台有人员值守的位置设置紧急切断按钮。</w:t>
      </w:r>
    </w:p>
    <w:p w14:paraId="3862236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加油站在加油区等位置设置了“严禁烟火</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rPr>
        <w:t>禁打手机”等安全警示标志，在油罐和卸油区设置了“严禁烟火”等安全警示标识。</w:t>
      </w:r>
    </w:p>
    <w:p w14:paraId="499AA7FD">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站内采用地沟式电缆敷设到用电设备。</w:t>
      </w:r>
    </w:p>
    <w:p w14:paraId="6180553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3、安全管理</w:t>
      </w:r>
    </w:p>
    <w:p w14:paraId="49CBB602">
      <w:pPr>
        <w:spacing w:line="360" w:lineRule="auto"/>
        <w:ind w:firstLine="560" w:firstLineChars="200"/>
        <w:rPr>
          <w:rFonts w:ascii="Times New Roman" w:hAnsi="Times New Roman" w:cs="宋体"/>
          <w:b/>
          <w:bCs/>
          <w:color w:val="auto"/>
          <w:sz w:val="24"/>
          <w:szCs w:val="24"/>
        </w:rPr>
      </w:pPr>
      <w:r>
        <w:rPr>
          <w:rFonts w:hint="eastAsia" w:ascii="Times New Roman" w:hAnsi="Times New Roman" w:cs="宋体"/>
          <w:color w:val="auto"/>
          <w:sz w:val="28"/>
          <w:szCs w:val="28"/>
        </w:rPr>
        <w:t>中国石化销售股份有限公司江西赣州</w:t>
      </w:r>
      <w:r>
        <w:rPr>
          <w:rFonts w:hint="eastAsia" w:ascii="Times New Roman" w:hAnsi="Times New Roman" w:cs="宋体"/>
          <w:color w:val="auto"/>
          <w:sz w:val="28"/>
          <w:szCs w:val="28"/>
          <w:lang w:eastAsia="zh-CN"/>
        </w:rPr>
        <w:t>兴国石油分公司江背加油站</w:t>
      </w:r>
      <w:r>
        <w:rPr>
          <w:rFonts w:hint="eastAsia" w:ascii="Times New Roman" w:hAnsi="Times New Roman" w:cs="宋体"/>
          <w:color w:val="auto"/>
          <w:sz w:val="28"/>
          <w:szCs w:val="28"/>
        </w:rPr>
        <w:t>已成立了安全生产领导小组。该加油站</w:t>
      </w:r>
      <w:r>
        <w:rPr>
          <w:rFonts w:hint="eastAsia" w:ascii="Times New Roman" w:hAnsi="Times New Roman" w:cs="宋体"/>
          <w:color w:val="auto"/>
          <w:sz w:val="28"/>
          <w:szCs w:val="28"/>
          <w:lang w:eastAsia="zh-CN"/>
        </w:rPr>
        <w:t>江礼香</w:t>
      </w:r>
      <w:r>
        <w:rPr>
          <w:rFonts w:hint="eastAsia" w:ascii="Times New Roman" w:hAnsi="Times New Roman" w:cs="宋体"/>
          <w:color w:val="auto"/>
          <w:sz w:val="28"/>
          <w:szCs w:val="28"/>
        </w:rPr>
        <w:t>和李才春分别取得危险化学品经营单位主要负责人、安全生产管理人员考核合格证，详见附件。</w:t>
      </w:r>
    </w:p>
    <w:p w14:paraId="3EA6B969">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表2</w:t>
      </w:r>
      <w:r>
        <w:rPr>
          <w:rFonts w:hint="eastAsia" w:ascii="Times New Roman" w:hAnsi="Times New Roman" w:cs="宋体"/>
          <w:color w:val="auto"/>
          <w:sz w:val="24"/>
          <w:szCs w:val="24"/>
        </w:rPr>
        <w:t>.5-2</w:t>
      </w:r>
      <w:r>
        <w:rPr>
          <w:rFonts w:hint="eastAsia" w:ascii="Times New Roman" w:hAnsi="Times New Roman" w:cs="宋体"/>
          <w:color w:val="auto"/>
          <w:sz w:val="24"/>
          <w:szCs w:val="24"/>
          <w:lang w:val="zh-CN"/>
        </w:rPr>
        <w:t xml:space="preserve">  主要负责人、安全管理人员名录</w:t>
      </w:r>
    </w:p>
    <w:tbl>
      <w:tblPr>
        <w:tblStyle w:val="25"/>
        <w:tblW w:w="94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6"/>
        <w:gridCol w:w="1012"/>
        <w:gridCol w:w="1293"/>
        <w:gridCol w:w="2138"/>
        <w:gridCol w:w="2205"/>
        <w:gridCol w:w="2163"/>
      </w:tblGrid>
      <w:tr w14:paraId="0ED4BE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646" w:type="dxa"/>
            <w:vAlign w:val="center"/>
          </w:tcPr>
          <w:p w14:paraId="4D3E1133">
            <w:pPr>
              <w:spacing w:line="240" w:lineRule="exact"/>
              <w:jc w:val="center"/>
              <w:rPr>
                <w:rFonts w:ascii="Times New Roman" w:hAnsi="Times New Roman" w:cs="Times New Roman"/>
                <w:b/>
                <w:bCs/>
                <w:color w:val="auto"/>
              </w:rPr>
            </w:pPr>
            <w:r>
              <w:rPr>
                <w:rFonts w:ascii="Times New Roman" w:hAnsi="Times New Roman" w:cs="Times New Roman"/>
                <w:b/>
                <w:bCs/>
                <w:color w:val="auto"/>
              </w:rPr>
              <w:t>序号</w:t>
            </w:r>
          </w:p>
        </w:tc>
        <w:tc>
          <w:tcPr>
            <w:tcW w:w="1012" w:type="dxa"/>
            <w:vAlign w:val="center"/>
          </w:tcPr>
          <w:p w14:paraId="6A1BDC9B">
            <w:pPr>
              <w:spacing w:line="240" w:lineRule="exact"/>
              <w:jc w:val="center"/>
              <w:rPr>
                <w:rFonts w:ascii="Times New Roman" w:hAnsi="Times New Roman" w:cs="Times New Roman"/>
                <w:b/>
                <w:bCs/>
                <w:color w:val="auto"/>
              </w:rPr>
            </w:pPr>
            <w:r>
              <w:rPr>
                <w:rFonts w:ascii="Times New Roman" w:hAnsi="Times New Roman" w:cs="Times New Roman"/>
                <w:b/>
                <w:bCs/>
                <w:color w:val="auto"/>
              </w:rPr>
              <w:t>姓名</w:t>
            </w:r>
          </w:p>
        </w:tc>
        <w:tc>
          <w:tcPr>
            <w:tcW w:w="1293" w:type="dxa"/>
            <w:vAlign w:val="center"/>
          </w:tcPr>
          <w:p w14:paraId="4219D88C">
            <w:pPr>
              <w:spacing w:line="240" w:lineRule="exact"/>
              <w:jc w:val="center"/>
              <w:rPr>
                <w:rFonts w:ascii="Times New Roman" w:hAnsi="Times New Roman" w:cs="Times New Roman"/>
                <w:b/>
                <w:bCs/>
                <w:color w:val="auto"/>
              </w:rPr>
            </w:pPr>
            <w:r>
              <w:rPr>
                <w:rFonts w:hint="eastAsia" w:ascii="Times New Roman" w:hAnsi="Times New Roman" w:cs="Times New Roman"/>
                <w:b/>
                <w:bCs/>
                <w:color w:val="auto"/>
              </w:rPr>
              <w:t>人员</w:t>
            </w:r>
            <w:r>
              <w:rPr>
                <w:rFonts w:ascii="Times New Roman" w:hAnsi="Times New Roman" w:cs="Times New Roman"/>
                <w:b/>
                <w:bCs/>
                <w:color w:val="auto"/>
              </w:rPr>
              <w:t>类</w:t>
            </w:r>
            <w:r>
              <w:rPr>
                <w:rFonts w:hint="eastAsia" w:ascii="Times New Roman" w:hAnsi="Times New Roman" w:cs="Times New Roman"/>
                <w:b/>
                <w:bCs/>
                <w:color w:val="auto"/>
              </w:rPr>
              <w:t>型</w:t>
            </w:r>
          </w:p>
        </w:tc>
        <w:tc>
          <w:tcPr>
            <w:tcW w:w="2138" w:type="dxa"/>
            <w:vAlign w:val="center"/>
          </w:tcPr>
          <w:p w14:paraId="53904A9A">
            <w:pPr>
              <w:spacing w:line="240" w:lineRule="exact"/>
              <w:jc w:val="center"/>
              <w:rPr>
                <w:rFonts w:ascii="Times New Roman" w:hAnsi="Times New Roman" w:cs="Times New Roman"/>
                <w:b/>
                <w:bCs/>
                <w:color w:val="auto"/>
              </w:rPr>
            </w:pPr>
            <w:r>
              <w:rPr>
                <w:rFonts w:hint="eastAsia" w:ascii="Times New Roman" w:hAnsi="Times New Roman" w:cs="Times New Roman"/>
                <w:b/>
                <w:bCs/>
                <w:color w:val="auto"/>
              </w:rPr>
              <w:t>行业类别</w:t>
            </w:r>
          </w:p>
        </w:tc>
        <w:tc>
          <w:tcPr>
            <w:tcW w:w="2205" w:type="dxa"/>
            <w:vAlign w:val="center"/>
          </w:tcPr>
          <w:p w14:paraId="59645299">
            <w:pPr>
              <w:spacing w:line="240" w:lineRule="exact"/>
              <w:jc w:val="center"/>
              <w:rPr>
                <w:rFonts w:ascii="Times New Roman" w:hAnsi="Times New Roman" w:cs="Times New Roman"/>
                <w:b/>
                <w:bCs/>
                <w:color w:val="auto"/>
              </w:rPr>
            </w:pPr>
            <w:r>
              <w:rPr>
                <w:rFonts w:ascii="Times New Roman" w:hAnsi="Times New Roman" w:cs="Times New Roman"/>
                <w:b/>
                <w:bCs/>
                <w:color w:val="auto"/>
              </w:rPr>
              <w:t>有效期</w:t>
            </w:r>
          </w:p>
        </w:tc>
        <w:tc>
          <w:tcPr>
            <w:tcW w:w="2163" w:type="dxa"/>
            <w:vAlign w:val="center"/>
          </w:tcPr>
          <w:p w14:paraId="51288C1E">
            <w:pPr>
              <w:spacing w:line="240" w:lineRule="exact"/>
              <w:jc w:val="center"/>
              <w:rPr>
                <w:rFonts w:ascii="Times New Roman" w:hAnsi="Times New Roman" w:cs="Times New Roman"/>
                <w:b/>
                <w:bCs/>
                <w:color w:val="auto"/>
              </w:rPr>
            </w:pPr>
            <w:r>
              <w:rPr>
                <w:rFonts w:hint="eastAsia" w:ascii="Times New Roman" w:hAnsi="Times New Roman" w:cs="Times New Roman"/>
                <w:b/>
                <w:bCs/>
                <w:color w:val="auto"/>
              </w:rPr>
              <w:t>发证单位</w:t>
            </w:r>
          </w:p>
        </w:tc>
      </w:tr>
      <w:tr w14:paraId="614CEC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646" w:type="dxa"/>
            <w:vAlign w:val="center"/>
          </w:tcPr>
          <w:p w14:paraId="246D2FEF">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1012" w:type="dxa"/>
            <w:vAlign w:val="center"/>
          </w:tcPr>
          <w:p w14:paraId="613E2222">
            <w:pPr>
              <w:spacing w:line="240" w:lineRule="exact"/>
              <w:jc w:val="center"/>
              <w:rPr>
                <w:rFonts w:hint="eastAsia" w:ascii="Times New Roman" w:hAnsi="Times New Roman" w:eastAsia="宋体" w:cs="Times New Roman"/>
                <w:color w:val="auto"/>
                <w:lang w:eastAsia="zh-CN"/>
              </w:rPr>
            </w:pPr>
          </w:p>
        </w:tc>
        <w:tc>
          <w:tcPr>
            <w:tcW w:w="1293" w:type="dxa"/>
            <w:vAlign w:val="center"/>
          </w:tcPr>
          <w:p w14:paraId="16BE0585">
            <w:pPr>
              <w:spacing w:line="240" w:lineRule="exact"/>
              <w:jc w:val="center"/>
              <w:rPr>
                <w:rFonts w:ascii="Times New Roman" w:hAnsi="Times New Roman" w:cs="Times New Roman"/>
                <w:color w:val="auto"/>
              </w:rPr>
            </w:pPr>
          </w:p>
        </w:tc>
        <w:tc>
          <w:tcPr>
            <w:tcW w:w="2138" w:type="dxa"/>
            <w:vAlign w:val="center"/>
          </w:tcPr>
          <w:p w14:paraId="55C2EA68">
            <w:pPr>
              <w:spacing w:line="240" w:lineRule="exact"/>
              <w:jc w:val="center"/>
              <w:rPr>
                <w:rFonts w:ascii="Times New Roman" w:hAnsi="Times New Roman" w:cs="Times New Roman"/>
                <w:color w:val="auto"/>
              </w:rPr>
            </w:pPr>
          </w:p>
        </w:tc>
        <w:tc>
          <w:tcPr>
            <w:tcW w:w="2205" w:type="dxa"/>
            <w:vAlign w:val="center"/>
          </w:tcPr>
          <w:p w14:paraId="650F6E01">
            <w:pPr>
              <w:spacing w:line="240" w:lineRule="exact"/>
              <w:jc w:val="center"/>
              <w:rPr>
                <w:rFonts w:ascii="Times New Roman" w:hAnsi="Times New Roman" w:cs="Times New Roman"/>
                <w:color w:val="auto"/>
              </w:rPr>
            </w:pPr>
          </w:p>
        </w:tc>
        <w:tc>
          <w:tcPr>
            <w:tcW w:w="2163" w:type="dxa"/>
            <w:vAlign w:val="center"/>
          </w:tcPr>
          <w:p w14:paraId="35D60086">
            <w:pPr>
              <w:spacing w:line="240" w:lineRule="exact"/>
              <w:jc w:val="center"/>
              <w:rPr>
                <w:rFonts w:ascii="Times New Roman" w:hAnsi="Times New Roman" w:cs="Times New Roman"/>
                <w:color w:val="auto"/>
              </w:rPr>
            </w:pPr>
          </w:p>
        </w:tc>
      </w:tr>
      <w:tr w14:paraId="7B77F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3" w:hRule="atLeast"/>
          <w:jc w:val="center"/>
        </w:trPr>
        <w:tc>
          <w:tcPr>
            <w:tcW w:w="646" w:type="dxa"/>
            <w:vAlign w:val="center"/>
          </w:tcPr>
          <w:p w14:paraId="13C427A9">
            <w:pPr>
              <w:spacing w:line="240" w:lineRule="exact"/>
              <w:jc w:val="center"/>
              <w:rPr>
                <w:rFonts w:ascii="Times New Roman" w:hAnsi="Times New Roman" w:cs="Times New Roman"/>
                <w:color w:val="auto"/>
              </w:rPr>
            </w:pPr>
            <w:r>
              <w:rPr>
                <w:rFonts w:hint="eastAsia" w:ascii="Times New Roman" w:hAnsi="Times New Roman" w:cs="Times New Roman"/>
                <w:color w:val="auto"/>
              </w:rPr>
              <w:t>2</w:t>
            </w:r>
          </w:p>
        </w:tc>
        <w:tc>
          <w:tcPr>
            <w:tcW w:w="1012" w:type="dxa"/>
            <w:vAlign w:val="center"/>
          </w:tcPr>
          <w:p w14:paraId="0DF335F9">
            <w:pPr>
              <w:spacing w:line="240" w:lineRule="exact"/>
              <w:jc w:val="center"/>
              <w:rPr>
                <w:rFonts w:ascii="Times New Roman" w:hAnsi="Times New Roman" w:cs="Times New Roman"/>
                <w:color w:val="auto"/>
              </w:rPr>
            </w:pPr>
          </w:p>
        </w:tc>
        <w:tc>
          <w:tcPr>
            <w:tcW w:w="1293" w:type="dxa"/>
            <w:vAlign w:val="center"/>
          </w:tcPr>
          <w:p w14:paraId="74F4141E">
            <w:pPr>
              <w:spacing w:line="240" w:lineRule="exact"/>
              <w:jc w:val="center"/>
              <w:rPr>
                <w:rFonts w:ascii="Times New Roman" w:hAnsi="Times New Roman" w:cs="Times New Roman"/>
                <w:color w:val="auto"/>
              </w:rPr>
            </w:pPr>
          </w:p>
        </w:tc>
        <w:tc>
          <w:tcPr>
            <w:tcW w:w="2138" w:type="dxa"/>
            <w:vAlign w:val="center"/>
          </w:tcPr>
          <w:p w14:paraId="6EE6D12A">
            <w:pPr>
              <w:spacing w:line="240" w:lineRule="exact"/>
              <w:jc w:val="center"/>
              <w:rPr>
                <w:rFonts w:ascii="Times New Roman" w:hAnsi="Times New Roman" w:cs="Times New Roman"/>
                <w:color w:val="auto"/>
              </w:rPr>
            </w:pPr>
          </w:p>
        </w:tc>
        <w:tc>
          <w:tcPr>
            <w:tcW w:w="2205" w:type="dxa"/>
            <w:vAlign w:val="center"/>
          </w:tcPr>
          <w:p w14:paraId="7BA1306C">
            <w:pPr>
              <w:spacing w:line="240" w:lineRule="exact"/>
              <w:jc w:val="center"/>
              <w:rPr>
                <w:rFonts w:hint="default" w:ascii="Times New Roman" w:hAnsi="Times New Roman" w:eastAsia="宋体" w:cs="Times New Roman"/>
                <w:color w:val="auto"/>
                <w:lang w:val="en-US" w:eastAsia="zh-CN"/>
              </w:rPr>
            </w:pPr>
          </w:p>
        </w:tc>
        <w:tc>
          <w:tcPr>
            <w:tcW w:w="2163" w:type="dxa"/>
            <w:vAlign w:val="center"/>
          </w:tcPr>
          <w:p w14:paraId="2D86F018">
            <w:pPr>
              <w:spacing w:line="240" w:lineRule="exact"/>
              <w:jc w:val="center"/>
              <w:rPr>
                <w:rFonts w:ascii="Times New Roman" w:hAnsi="Times New Roman" w:cs="Times New Roman"/>
                <w:color w:val="auto"/>
              </w:rPr>
            </w:pPr>
          </w:p>
        </w:tc>
      </w:tr>
    </w:tbl>
    <w:p w14:paraId="599C1EA3">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该站制定了各岗位安全生产职责，明确规定了各岗位人员的安全生产职责和要求。</w:t>
      </w:r>
    </w:p>
    <w:p w14:paraId="0E8E3F5B">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该站制定了各种安全管理制度，包括：全员安全生产责任制度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安全生产教育培训教育制度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加油站值班制度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安全检查和隐患整改管理制度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安全检维修管理制度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安全作业管理制度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危险化学品安全管理制度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危险化学品购销管理制度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生产设施安全管理制度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安全生产费用投入保障制度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安全生产奖惩制度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劳动防护用品(具)发放管理制度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事故管理制度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职业卫生管理制度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加油站加油区及储油罐区安全监控制度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安全生产会议制度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防火、防爆、防中毒、防泄漏管理制度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消防管理制度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安全风险管理制度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法律、法规、标准及其他要求管理制度、“三同时”管理制度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监视和测量设备管理制度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设施安全拆除和报废制度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承包商管理制度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供应商管理制度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变更管理制度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应急管理制度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隐患排查治理管理制度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外来人员安全管理制度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站内道路交通管理制度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文件档案管理制度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禁火、禁烟管理制度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安全风险研判与承诺公告制度等。</w:t>
      </w:r>
    </w:p>
    <w:p w14:paraId="40B71734">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该站按要求对从业人员进行安全生产教育和培训，保证从业人员具备必要的安全生产知识，熟悉有关的安全生产规章制度和安全操作规程，掌握本岗位的安全操作技能，了解事故应急处理措施。</w:t>
      </w:r>
    </w:p>
    <w:p w14:paraId="0D94E830">
      <w:pPr>
        <w:spacing w:line="360" w:lineRule="auto"/>
        <w:ind w:firstLine="536" w:firstLineChars="200"/>
        <w:rPr>
          <w:rFonts w:ascii="Times New Roman" w:hAnsi="Times New Roman" w:cs="Times New Roman"/>
          <w:color w:val="auto"/>
          <w:sz w:val="28"/>
          <w:szCs w:val="28"/>
        </w:rPr>
      </w:pPr>
      <w:r>
        <w:rPr>
          <w:rFonts w:hint="eastAsia" w:ascii="Times New Roman" w:hAnsi="Times New Roman" w:cs="Times New Roman"/>
          <w:color w:val="auto"/>
          <w:spacing w:val="-6"/>
          <w:sz w:val="28"/>
          <w:szCs w:val="28"/>
        </w:rPr>
        <w:t>中国石化销售股份有限公司江西赣州</w:t>
      </w:r>
      <w:r>
        <w:rPr>
          <w:rFonts w:hint="eastAsia" w:ascii="Times New Roman" w:hAnsi="Times New Roman" w:cs="Times New Roman"/>
          <w:color w:val="auto"/>
          <w:spacing w:val="-6"/>
          <w:sz w:val="28"/>
          <w:szCs w:val="28"/>
          <w:lang w:eastAsia="zh-CN"/>
        </w:rPr>
        <w:t>兴国石油分公司江背加油站</w:t>
      </w:r>
      <w:r>
        <w:rPr>
          <w:rFonts w:hint="eastAsia" w:ascii="Times New Roman" w:hAnsi="Times New Roman" w:cs="Times New Roman"/>
          <w:color w:val="auto"/>
          <w:spacing w:val="-6"/>
          <w:sz w:val="28"/>
          <w:szCs w:val="28"/>
        </w:rPr>
        <w:t>按要求编制了生产安全事故应急预案，于202</w:t>
      </w:r>
      <w:r>
        <w:rPr>
          <w:rFonts w:hint="eastAsia" w:ascii="Times New Roman" w:hAnsi="Times New Roman" w:cs="Times New Roman"/>
          <w:color w:val="auto"/>
          <w:spacing w:val="-6"/>
          <w:sz w:val="28"/>
          <w:szCs w:val="28"/>
          <w:lang w:val="en-US" w:eastAsia="zh-CN"/>
        </w:rPr>
        <w:t>3</w:t>
      </w:r>
      <w:r>
        <w:rPr>
          <w:rFonts w:hint="eastAsia" w:ascii="Times New Roman" w:hAnsi="Times New Roman" w:cs="Times New Roman"/>
          <w:color w:val="auto"/>
          <w:spacing w:val="-6"/>
          <w:sz w:val="28"/>
          <w:szCs w:val="28"/>
        </w:rPr>
        <w:t>年</w:t>
      </w:r>
      <w:r>
        <w:rPr>
          <w:rFonts w:hint="eastAsia" w:ascii="Times New Roman" w:hAnsi="Times New Roman" w:cs="Times New Roman"/>
          <w:color w:val="auto"/>
          <w:spacing w:val="-6"/>
          <w:sz w:val="28"/>
          <w:szCs w:val="28"/>
          <w:lang w:val="en-US" w:eastAsia="zh-CN"/>
        </w:rPr>
        <w:t>11</w:t>
      </w:r>
      <w:r>
        <w:rPr>
          <w:rFonts w:hint="eastAsia" w:ascii="Times New Roman" w:hAnsi="Times New Roman" w:cs="Times New Roman"/>
          <w:color w:val="auto"/>
          <w:spacing w:val="-6"/>
          <w:sz w:val="28"/>
          <w:szCs w:val="28"/>
        </w:rPr>
        <w:t>月30日在</w:t>
      </w:r>
      <w:r>
        <w:rPr>
          <w:rFonts w:hint="eastAsia" w:ascii="Times New Roman" w:hAnsi="Times New Roman" w:cs="Times New Roman"/>
          <w:color w:val="auto"/>
          <w:spacing w:val="-6"/>
          <w:sz w:val="28"/>
          <w:szCs w:val="28"/>
          <w:lang w:val="en-US" w:eastAsia="zh-CN"/>
        </w:rPr>
        <w:t>兴国县</w:t>
      </w:r>
      <w:r>
        <w:rPr>
          <w:rFonts w:hint="eastAsia" w:ascii="Times New Roman" w:hAnsi="Times New Roman" w:cs="Times New Roman"/>
          <w:color w:val="auto"/>
          <w:spacing w:val="-6"/>
          <w:sz w:val="28"/>
          <w:szCs w:val="28"/>
        </w:rPr>
        <w:t>应急管理局备案。加油站定期进行应急演练，演练记录详见附件。</w:t>
      </w:r>
    </w:p>
    <w:p w14:paraId="5A179EE8">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站按照《安全生产法》要求，建立了安全风险分级管控和隐患排查治理双重预防工作机制，制定了站区四色安全风险空间分布图、风险识别管控及应急措施，定期进行隐患排查并将排查隐患定期上传至安全生产监管信息系统。</w:t>
      </w:r>
    </w:p>
    <w:p w14:paraId="5F0AEED9">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该公司定期组织对站内进行安全隐患排查，对查出的问题和隐患认真及时地进行整治，及时消除生产安全事故隐患。</w:t>
      </w:r>
    </w:p>
    <w:p w14:paraId="3F55B720">
      <w:pPr>
        <w:spacing w:line="360" w:lineRule="auto"/>
        <w:ind w:firstLine="536" w:firstLineChars="200"/>
        <w:rPr>
          <w:rFonts w:ascii="Times New Roman" w:hAnsi="Times New Roman" w:cs="Times New Roman"/>
          <w:color w:val="auto"/>
          <w:sz w:val="28"/>
          <w:szCs w:val="28"/>
        </w:rPr>
      </w:pPr>
      <w:r>
        <w:rPr>
          <w:rFonts w:hint="eastAsia" w:ascii="Times New Roman" w:hAnsi="Times New Roman" w:cs="Times New Roman"/>
          <w:color w:val="auto"/>
          <w:spacing w:val="-6"/>
          <w:sz w:val="28"/>
          <w:szCs w:val="28"/>
        </w:rPr>
        <w:t>该公司已为从业人员定期缴纳社保</w:t>
      </w:r>
      <w:r>
        <w:rPr>
          <w:rFonts w:hint="eastAsia" w:ascii="Times New Roman" w:hAnsi="Times New Roman" w:cs="Times New Roman"/>
          <w:color w:val="auto"/>
          <w:spacing w:val="-6"/>
          <w:sz w:val="28"/>
          <w:szCs w:val="28"/>
          <w:lang w:eastAsia="zh-CN"/>
        </w:rPr>
        <w:t>，对</w:t>
      </w:r>
      <w:r>
        <w:rPr>
          <w:rFonts w:hint="eastAsia" w:ascii="宋体" w:hAnsi="宋体" w:cs="Times New Roman"/>
          <w:color w:val="auto"/>
          <w:sz w:val="28"/>
          <w:szCs w:val="24"/>
        </w:rPr>
        <w:t>岗位操作人员进行了专门的安全知识和技术培训，培训经考核合格后上岗</w:t>
      </w:r>
      <w:r>
        <w:rPr>
          <w:rFonts w:hint="eastAsia" w:ascii="Times New Roman" w:hAnsi="Times New Roman" w:cs="宋体"/>
          <w:color w:val="auto"/>
          <w:sz w:val="28"/>
          <w:szCs w:val="28"/>
        </w:rPr>
        <w:t>。</w:t>
      </w:r>
    </w:p>
    <w:p w14:paraId="331F22B1">
      <w:pPr>
        <w:spacing w:line="600" w:lineRule="exact"/>
        <w:outlineLvl w:val="0"/>
        <w:rPr>
          <w:rFonts w:ascii="Times New Roman" w:hAnsi="Times New Roman" w:cs="Times New Roman"/>
          <w:b/>
          <w:bCs/>
          <w:color w:val="auto"/>
          <w:kern w:val="36"/>
          <w:sz w:val="32"/>
          <w:szCs w:val="32"/>
        </w:rPr>
      </w:pPr>
      <w:bookmarkStart w:id="44" w:name="_Toc17098"/>
      <w:r>
        <w:rPr>
          <w:rFonts w:ascii="Times New Roman" w:hAnsi="Times New Roman" w:cs="Times New Roman"/>
          <w:b/>
          <w:bCs/>
          <w:color w:val="auto"/>
          <w:kern w:val="36"/>
          <w:sz w:val="28"/>
          <w:szCs w:val="28"/>
        </w:rPr>
        <w:br w:type="page"/>
      </w:r>
      <w:bookmarkStart w:id="45" w:name="_Toc1899"/>
      <w:r>
        <w:rPr>
          <w:rFonts w:ascii="Times New Roman" w:hAnsi="Times New Roman" w:cs="Times New Roman"/>
          <w:b/>
          <w:bCs/>
          <w:color w:val="auto"/>
          <w:kern w:val="36"/>
          <w:sz w:val="32"/>
          <w:szCs w:val="32"/>
        </w:rPr>
        <w:t xml:space="preserve">3 </w:t>
      </w:r>
      <w:r>
        <w:rPr>
          <w:rFonts w:hint="eastAsia" w:ascii="Times New Roman" w:hAnsi="Times New Roman" w:cs="宋体"/>
          <w:b/>
          <w:bCs/>
          <w:color w:val="auto"/>
          <w:kern w:val="36"/>
          <w:sz w:val="32"/>
          <w:szCs w:val="32"/>
        </w:rPr>
        <w:t>主要危险、有害因素分析</w:t>
      </w:r>
      <w:bookmarkEnd w:id="44"/>
      <w:bookmarkEnd w:id="45"/>
    </w:p>
    <w:p w14:paraId="5EEAECF9">
      <w:pPr>
        <w:keepNext/>
        <w:keepLines/>
        <w:spacing w:line="600" w:lineRule="exact"/>
        <w:outlineLvl w:val="1"/>
        <w:rPr>
          <w:rFonts w:ascii="Times New Roman" w:hAnsi="Times New Roman" w:cs="Times New Roman"/>
          <w:b/>
          <w:bCs/>
          <w:color w:val="auto"/>
          <w:sz w:val="28"/>
          <w:szCs w:val="28"/>
        </w:rPr>
      </w:pPr>
      <w:bookmarkStart w:id="46" w:name="_Toc22037"/>
      <w:bookmarkStart w:id="47" w:name="_Toc2209"/>
      <w:bookmarkStart w:id="48" w:name="_Toc343692251"/>
      <w:r>
        <w:rPr>
          <w:rFonts w:ascii="Times New Roman" w:hAnsi="Times New Roman" w:cs="Times New Roman"/>
          <w:b/>
          <w:bCs/>
          <w:color w:val="auto"/>
          <w:sz w:val="28"/>
          <w:szCs w:val="28"/>
        </w:rPr>
        <w:t xml:space="preserve">3.1 </w:t>
      </w:r>
      <w:r>
        <w:rPr>
          <w:rFonts w:hint="eastAsia" w:ascii="Times New Roman" w:hAnsi="Times New Roman" w:cs="宋体"/>
          <w:b/>
          <w:bCs/>
          <w:color w:val="auto"/>
          <w:sz w:val="28"/>
          <w:szCs w:val="28"/>
        </w:rPr>
        <w:t>物料的危险、有害因素分析</w:t>
      </w:r>
      <w:bookmarkEnd w:id="46"/>
      <w:bookmarkEnd w:id="47"/>
      <w:bookmarkEnd w:id="48"/>
    </w:p>
    <w:p w14:paraId="2DD334C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根据《危险化学品目录》（</w:t>
      </w:r>
      <w:r>
        <w:rPr>
          <w:rFonts w:ascii="Times New Roman" w:hAnsi="Times New Roman" w:cs="Times New Roman"/>
          <w:color w:val="auto"/>
          <w:sz w:val="28"/>
          <w:szCs w:val="28"/>
        </w:rPr>
        <w:t>20</w:t>
      </w:r>
      <w:r>
        <w:rPr>
          <w:rFonts w:hint="eastAsia" w:ascii="Times New Roman" w:hAnsi="Times New Roman" w:cs="Times New Roman"/>
          <w:color w:val="auto"/>
          <w:sz w:val="28"/>
          <w:szCs w:val="28"/>
        </w:rPr>
        <w:t>15</w:t>
      </w:r>
      <w:r>
        <w:rPr>
          <w:rFonts w:hint="eastAsia" w:ascii="Times New Roman" w:hAnsi="Times New Roman" w:cs="宋体"/>
          <w:color w:val="auto"/>
          <w:sz w:val="28"/>
          <w:szCs w:val="28"/>
        </w:rPr>
        <w:t>年版，202</w:t>
      </w:r>
      <w:r>
        <w:rPr>
          <w:rFonts w:hint="eastAsia" w:ascii="Times New Roman" w:hAnsi="Times New Roman" w:cs="宋体"/>
          <w:color w:val="auto"/>
          <w:sz w:val="28"/>
          <w:szCs w:val="28"/>
          <w:lang w:val="en-US" w:eastAsia="zh-CN"/>
        </w:rPr>
        <w:t>6</w:t>
      </w:r>
      <w:r>
        <w:rPr>
          <w:rFonts w:hint="eastAsia" w:ascii="Times New Roman" w:hAnsi="Times New Roman" w:cs="宋体"/>
          <w:color w:val="auto"/>
          <w:sz w:val="28"/>
          <w:szCs w:val="28"/>
        </w:rPr>
        <w:t>年调整），该站涉及的危险化学品物质是汽油和柴油，汽油和柴油危险特性见下表所示。</w:t>
      </w:r>
    </w:p>
    <w:p w14:paraId="3205ABE1">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.1</w:t>
      </w:r>
      <w:r>
        <w:rPr>
          <w:rFonts w:hint="eastAsia" w:ascii="Times New Roman" w:hAnsi="Times New Roman" w:cs="宋体"/>
          <w:color w:val="auto"/>
          <w:sz w:val="24"/>
          <w:szCs w:val="24"/>
          <w:lang w:val="zh-CN"/>
        </w:rPr>
        <w:t>-1  危险化学品物料危险特性表</w:t>
      </w:r>
    </w:p>
    <w:tbl>
      <w:tblPr>
        <w:tblStyle w:val="25"/>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760"/>
        <w:gridCol w:w="670"/>
        <w:gridCol w:w="774"/>
        <w:gridCol w:w="936"/>
        <w:gridCol w:w="990"/>
        <w:gridCol w:w="1165"/>
        <w:gridCol w:w="3034"/>
      </w:tblGrid>
      <w:tr w14:paraId="46B4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blHeader/>
          <w:jc w:val="center"/>
        </w:trPr>
        <w:tc>
          <w:tcPr>
            <w:tcW w:w="908" w:type="dxa"/>
            <w:vAlign w:val="center"/>
          </w:tcPr>
          <w:p w14:paraId="60C07AB7">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危险化学品目录序号</w:t>
            </w:r>
          </w:p>
        </w:tc>
        <w:tc>
          <w:tcPr>
            <w:tcW w:w="760" w:type="dxa"/>
            <w:vAlign w:val="center"/>
          </w:tcPr>
          <w:p w14:paraId="27465175">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品名</w:t>
            </w:r>
          </w:p>
        </w:tc>
        <w:tc>
          <w:tcPr>
            <w:tcW w:w="670" w:type="dxa"/>
            <w:vAlign w:val="center"/>
          </w:tcPr>
          <w:p w14:paraId="15936BBD">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火灾</w:t>
            </w:r>
          </w:p>
          <w:p w14:paraId="66819466">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类别</w:t>
            </w:r>
          </w:p>
        </w:tc>
        <w:tc>
          <w:tcPr>
            <w:tcW w:w="774" w:type="dxa"/>
            <w:vAlign w:val="center"/>
          </w:tcPr>
          <w:p w14:paraId="343011C0">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闪点</w:t>
            </w:r>
          </w:p>
        </w:tc>
        <w:tc>
          <w:tcPr>
            <w:tcW w:w="936" w:type="dxa"/>
            <w:vAlign w:val="center"/>
          </w:tcPr>
          <w:p w14:paraId="09D0B15D">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沸点</w:t>
            </w:r>
          </w:p>
        </w:tc>
        <w:tc>
          <w:tcPr>
            <w:tcW w:w="990" w:type="dxa"/>
            <w:vAlign w:val="center"/>
          </w:tcPr>
          <w:p w14:paraId="7DB84C8D">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爆炸极限（</w:t>
            </w:r>
            <w:r>
              <w:rPr>
                <w:rFonts w:ascii="Times New Roman" w:hAnsi="Times New Roman" w:cs="Times New Roman"/>
                <w:b/>
                <w:bCs/>
                <w:color w:val="auto"/>
                <w:kern w:val="0"/>
                <w:sz w:val="18"/>
                <w:szCs w:val="18"/>
              </w:rPr>
              <w:t>%</w:t>
            </w:r>
            <w:r>
              <w:rPr>
                <w:rFonts w:hint="eastAsia" w:ascii="Times New Roman" w:hAnsi="Times New Roman" w:cs="宋体"/>
                <w:b/>
                <w:bCs/>
                <w:color w:val="auto"/>
                <w:kern w:val="0"/>
                <w:sz w:val="18"/>
                <w:szCs w:val="18"/>
              </w:rPr>
              <w:t>）</w:t>
            </w:r>
          </w:p>
        </w:tc>
        <w:tc>
          <w:tcPr>
            <w:tcW w:w="1165" w:type="dxa"/>
            <w:vAlign w:val="center"/>
          </w:tcPr>
          <w:p w14:paraId="12AEB5EE">
            <w:pPr>
              <w:widowControl/>
              <w:spacing w:line="240" w:lineRule="atLeas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CAS</w:t>
            </w:r>
            <w:r>
              <w:rPr>
                <w:rFonts w:hint="eastAsia" w:ascii="Times New Roman" w:hAnsi="Times New Roman" w:cs="宋体"/>
                <w:b/>
                <w:bCs/>
                <w:color w:val="auto"/>
                <w:kern w:val="0"/>
                <w:sz w:val="18"/>
                <w:szCs w:val="18"/>
              </w:rPr>
              <w:t>号</w:t>
            </w:r>
          </w:p>
        </w:tc>
        <w:tc>
          <w:tcPr>
            <w:tcW w:w="3034" w:type="dxa"/>
            <w:vAlign w:val="center"/>
          </w:tcPr>
          <w:p w14:paraId="4D9888C1">
            <w:pPr>
              <w:widowControl/>
              <w:spacing w:line="240" w:lineRule="atLeast"/>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危险性类别</w:t>
            </w:r>
          </w:p>
          <w:p w14:paraId="4ADECE55">
            <w:pPr>
              <w:pStyle w:val="48"/>
              <w:spacing w:line="240" w:lineRule="atLeast"/>
              <w:jc w:val="center"/>
              <w:rPr>
                <w:color w:val="auto"/>
                <w:sz w:val="18"/>
                <w:szCs w:val="18"/>
              </w:rPr>
            </w:pPr>
            <w:r>
              <w:rPr>
                <w:rFonts w:hint="eastAsia" w:cs="宋体"/>
                <w:b/>
                <w:bCs/>
                <w:color w:val="auto"/>
                <w:sz w:val="18"/>
                <w:szCs w:val="18"/>
              </w:rPr>
              <w:t>《危险化学品分类信息表》</w:t>
            </w:r>
          </w:p>
        </w:tc>
      </w:tr>
      <w:tr w14:paraId="28BB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atLeast"/>
          <w:tblHeader/>
          <w:jc w:val="center"/>
        </w:trPr>
        <w:tc>
          <w:tcPr>
            <w:tcW w:w="908" w:type="dxa"/>
            <w:vAlign w:val="center"/>
          </w:tcPr>
          <w:p w14:paraId="5556FE83">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1630</w:t>
            </w:r>
          </w:p>
        </w:tc>
        <w:tc>
          <w:tcPr>
            <w:tcW w:w="760" w:type="dxa"/>
            <w:vAlign w:val="center"/>
          </w:tcPr>
          <w:p w14:paraId="12657818">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汽油</w:t>
            </w:r>
          </w:p>
        </w:tc>
        <w:tc>
          <w:tcPr>
            <w:tcW w:w="670" w:type="dxa"/>
            <w:vAlign w:val="center"/>
          </w:tcPr>
          <w:p w14:paraId="18D5B87F">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甲</w:t>
            </w:r>
            <w:r>
              <w:rPr>
                <w:rFonts w:ascii="Times New Roman" w:hAnsi="Times New Roman" w:cs="Times New Roman"/>
                <w:color w:val="auto"/>
                <w:sz w:val="18"/>
                <w:szCs w:val="18"/>
                <w:vertAlign w:val="subscript"/>
              </w:rPr>
              <w:t>B</w:t>
            </w:r>
          </w:p>
        </w:tc>
        <w:tc>
          <w:tcPr>
            <w:tcW w:w="774" w:type="dxa"/>
            <w:vAlign w:val="center"/>
          </w:tcPr>
          <w:p w14:paraId="06B5A141">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-50</w:t>
            </w:r>
            <w:r>
              <w:rPr>
                <w:rFonts w:hint="eastAsia" w:ascii="Times New Roman" w:hAnsi="Times New Roman" w:cs="Times New Roman"/>
                <w:color w:val="auto"/>
                <w:sz w:val="18"/>
                <w:szCs w:val="18"/>
                <w:lang w:eastAsia="zh-CN"/>
              </w:rPr>
              <w:t>~</w:t>
            </w:r>
            <w:r>
              <w:rPr>
                <w:rFonts w:ascii="Times New Roman" w:hAnsi="Times New Roman" w:cs="Times New Roman"/>
                <w:color w:val="auto"/>
                <w:sz w:val="18"/>
                <w:szCs w:val="18"/>
              </w:rPr>
              <w:t>10</w:t>
            </w:r>
          </w:p>
        </w:tc>
        <w:tc>
          <w:tcPr>
            <w:tcW w:w="936" w:type="dxa"/>
            <w:vAlign w:val="center"/>
          </w:tcPr>
          <w:p w14:paraId="136C1CDB">
            <w:pPr>
              <w:spacing w:line="240" w:lineRule="atLeast"/>
              <w:jc w:val="center"/>
              <w:rPr>
                <w:color w:val="auto"/>
                <w:sz w:val="18"/>
                <w:szCs w:val="18"/>
              </w:rPr>
            </w:pPr>
            <w:r>
              <w:rPr>
                <w:rFonts w:ascii="Times New Roman" w:hAnsi="Times New Roman" w:cs="Times New Roman"/>
                <w:color w:val="auto"/>
                <w:sz w:val="18"/>
                <w:szCs w:val="18"/>
              </w:rPr>
              <w:t>40</w:t>
            </w:r>
            <w:r>
              <w:rPr>
                <w:rFonts w:hint="eastAsia" w:ascii="Times New Roman" w:hAnsi="Times New Roman" w:cs="Times New Roman"/>
                <w:color w:val="auto"/>
                <w:sz w:val="18"/>
                <w:szCs w:val="18"/>
                <w:lang w:eastAsia="zh-CN"/>
              </w:rPr>
              <w:t>~</w:t>
            </w:r>
            <w:r>
              <w:rPr>
                <w:rFonts w:ascii="Times New Roman" w:hAnsi="Times New Roman" w:cs="Times New Roman"/>
                <w:color w:val="auto"/>
                <w:sz w:val="18"/>
                <w:szCs w:val="18"/>
              </w:rPr>
              <w:t>200</w:t>
            </w:r>
          </w:p>
        </w:tc>
        <w:tc>
          <w:tcPr>
            <w:tcW w:w="990" w:type="dxa"/>
            <w:vAlign w:val="center"/>
          </w:tcPr>
          <w:p w14:paraId="35F535A1">
            <w:pPr>
              <w:spacing w:line="240" w:lineRule="atLeas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1.3</w:t>
            </w:r>
            <w:r>
              <w:rPr>
                <w:rFonts w:hint="eastAsia" w:ascii="Times New Roman" w:hAnsi="Times New Roman" w:cs="Times New Roman"/>
                <w:color w:val="auto"/>
                <w:kern w:val="0"/>
                <w:sz w:val="18"/>
                <w:szCs w:val="18"/>
                <w:lang w:eastAsia="zh-CN"/>
              </w:rPr>
              <w:t>~</w:t>
            </w:r>
            <w:r>
              <w:rPr>
                <w:rFonts w:ascii="Times New Roman" w:hAnsi="Times New Roman" w:cs="Times New Roman"/>
                <w:color w:val="auto"/>
                <w:sz w:val="18"/>
                <w:szCs w:val="18"/>
              </w:rPr>
              <w:t>6.0</w:t>
            </w:r>
          </w:p>
        </w:tc>
        <w:tc>
          <w:tcPr>
            <w:tcW w:w="1165" w:type="dxa"/>
            <w:vAlign w:val="center"/>
          </w:tcPr>
          <w:p w14:paraId="52CED28B">
            <w:pPr>
              <w:spacing w:line="240" w:lineRule="atLeast"/>
              <w:jc w:val="center"/>
              <w:rPr>
                <w:rFonts w:ascii="Times New Roman" w:hAnsi="Times New Roman" w:cs="Times New Roman"/>
                <w:b/>
                <w:bCs/>
                <w:color w:val="auto"/>
                <w:sz w:val="18"/>
                <w:szCs w:val="18"/>
              </w:rPr>
            </w:pPr>
            <w:r>
              <w:rPr>
                <w:rFonts w:ascii="Times New Roman" w:hAnsi="Times New Roman" w:cs="Times New Roman"/>
                <w:color w:val="auto"/>
                <w:sz w:val="18"/>
                <w:szCs w:val="18"/>
              </w:rPr>
              <w:t>86290-81-5</w:t>
            </w:r>
          </w:p>
        </w:tc>
        <w:tc>
          <w:tcPr>
            <w:tcW w:w="3034" w:type="dxa"/>
            <w:vAlign w:val="center"/>
          </w:tcPr>
          <w:p w14:paraId="16C547D2">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易燃液体</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14:paraId="07ACF244">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生殖细胞致突变性</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1B</w:t>
            </w:r>
          </w:p>
          <w:p w14:paraId="72DDF436">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致癌性</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14:paraId="023EE4C0">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吸入危害</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1</w:t>
            </w:r>
          </w:p>
          <w:p w14:paraId="564BCE68">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危害水生环境</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急性危害</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14:paraId="1E138444">
            <w:pPr>
              <w:widowControl/>
              <w:spacing w:line="240" w:lineRule="atLeast"/>
              <w:rPr>
                <w:rFonts w:ascii="Times New Roman" w:hAnsi="Times New Roman" w:cs="Times New Roman"/>
                <w:color w:val="auto"/>
                <w:sz w:val="18"/>
                <w:szCs w:val="18"/>
              </w:rPr>
            </w:pPr>
            <w:r>
              <w:rPr>
                <w:rFonts w:hint="eastAsia" w:ascii="Times New Roman" w:hAnsi="Times New Roman" w:cs="宋体"/>
                <w:color w:val="auto"/>
                <w:kern w:val="0"/>
                <w:sz w:val="18"/>
                <w:szCs w:val="18"/>
              </w:rPr>
              <w:t>危害水生环境</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长期危害</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tc>
      </w:tr>
      <w:tr w14:paraId="403F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908" w:type="dxa"/>
            <w:vAlign w:val="center"/>
          </w:tcPr>
          <w:p w14:paraId="5A68CFB3">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1674</w:t>
            </w:r>
          </w:p>
        </w:tc>
        <w:tc>
          <w:tcPr>
            <w:tcW w:w="760" w:type="dxa"/>
            <w:vAlign w:val="center"/>
          </w:tcPr>
          <w:p w14:paraId="12ACA6DD">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柴油</w:t>
            </w:r>
          </w:p>
        </w:tc>
        <w:tc>
          <w:tcPr>
            <w:tcW w:w="670" w:type="dxa"/>
            <w:vAlign w:val="center"/>
          </w:tcPr>
          <w:p w14:paraId="233F9116">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丙</w:t>
            </w:r>
            <w:r>
              <w:rPr>
                <w:rFonts w:ascii="Times New Roman" w:hAnsi="Times New Roman" w:cs="Times New Roman"/>
                <w:color w:val="auto"/>
                <w:sz w:val="18"/>
                <w:szCs w:val="18"/>
                <w:vertAlign w:val="subscript"/>
              </w:rPr>
              <w:t>A</w:t>
            </w:r>
          </w:p>
        </w:tc>
        <w:tc>
          <w:tcPr>
            <w:tcW w:w="774" w:type="dxa"/>
            <w:vAlign w:val="center"/>
          </w:tcPr>
          <w:p w14:paraId="3A2A312F">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≥60℃</w:t>
            </w:r>
          </w:p>
        </w:tc>
        <w:tc>
          <w:tcPr>
            <w:tcW w:w="936" w:type="dxa"/>
            <w:vAlign w:val="center"/>
          </w:tcPr>
          <w:p w14:paraId="5EB75CCD">
            <w:pPr>
              <w:spacing w:line="240" w:lineRule="atLeast"/>
              <w:jc w:val="left"/>
              <w:rPr>
                <w:rFonts w:ascii="Times New Roman" w:hAnsi="Times New Roman" w:cs="Times New Roman"/>
                <w:color w:val="auto"/>
                <w:kern w:val="0"/>
                <w:sz w:val="18"/>
                <w:szCs w:val="18"/>
              </w:rPr>
            </w:pPr>
            <w:r>
              <w:rPr>
                <w:rFonts w:ascii="Times New Roman" w:hAnsi="Times New Roman" w:cs="Times New Roman"/>
                <w:color w:val="auto"/>
                <w:sz w:val="18"/>
                <w:szCs w:val="18"/>
              </w:rPr>
              <w:t>282</w:t>
            </w:r>
            <w:r>
              <w:rPr>
                <w:rFonts w:hint="eastAsia" w:ascii="Times New Roman" w:hAnsi="Times New Roman" w:cs="Times New Roman"/>
                <w:color w:val="auto"/>
                <w:sz w:val="18"/>
                <w:szCs w:val="18"/>
                <w:lang w:eastAsia="zh-CN"/>
              </w:rPr>
              <w:t>~</w:t>
            </w:r>
            <w:r>
              <w:rPr>
                <w:rFonts w:ascii="Times New Roman" w:hAnsi="Times New Roman" w:cs="Times New Roman"/>
                <w:color w:val="auto"/>
                <w:sz w:val="18"/>
                <w:szCs w:val="18"/>
              </w:rPr>
              <w:t>338</w:t>
            </w:r>
          </w:p>
        </w:tc>
        <w:tc>
          <w:tcPr>
            <w:tcW w:w="990" w:type="dxa"/>
            <w:vAlign w:val="center"/>
          </w:tcPr>
          <w:p w14:paraId="121FE2F9">
            <w:pPr>
              <w:spacing w:line="240" w:lineRule="atLeas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1165" w:type="dxa"/>
            <w:vAlign w:val="center"/>
          </w:tcPr>
          <w:p w14:paraId="7AB1237F">
            <w:pPr>
              <w:spacing w:line="240" w:lineRule="atLeast"/>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w:t>
            </w:r>
          </w:p>
        </w:tc>
        <w:tc>
          <w:tcPr>
            <w:tcW w:w="3034" w:type="dxa"/>
            <w:vAlign w:val="center"/>
          </w:tcPr>
          <w:p w14:paraId="64B08516">
            <w:pPr>
              <w:widowControl/>
              <w:spacing w:line="240" w:lineRule="atLeast"/>
              <w:rPr>
                <w:rFonts w:ascii="Times New Roman" w:hAnsi="Times New Roman" w:cs="Times New Roman"/>
                <w:color w:val="auto"/>
                <w:sz w:val="18"/>
                <w:szCs w:val="18"/>
              </w:rPr>
            </w:pPr>
            <w:r>
              <w:rPr>
                <w:rFonts w:hint="eastAsia" w:ascii="Times New Roman" w:hAnsi="Times New Roman" w:cs="宋体"/>
                <w:color w:val="auto"/>
                <w:kern w:val="0"/>
                <w:sz w:val="18"/>
                <w:szCs w:val="18"/>
              </w:rPr>
              <w:t>易燃液体</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3</w:t>
            </w:r>
          </w:p>
        </w:tc>
      </w:tr>
    </w:tbl>
    <w:p w14:paraId="54CDFFA5">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汽油和柴油物料理化性质详见下表所示。</w:t>
      </w:r>
    </w:p>
    <w:p w14:paraId="14F36ACC">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.1-2</w:t>
      </w:r>
      <w:r>
        <w:rPr>
          <w:rFonts w:hint="eastAsia" w:ascii="Times New Roman" w:hAnsi="Times New Roman" w:cs="宋体"/>
          <w:color w:val="auto"/>
          <w:sz w:val="24"/>
          <w:szCs w:val="24"/>
          <w:lang w:val="zh-CN"/>
        </w:rPr>
        <w:t xml:space="preserve">  汽油理化性质一览表</w:t>
      </w:r>
    </w:p>
    <w:tbl>
      <w:tblPr>
        <w:tblStyle w:val="25"/>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948"/>
        <w:gridCol w:w="1428"/>
        <w:gridCol w:w="1428"/>
        <w:gridCol w:w="1573"/>
        <w:gridCol w:w="1608"/>
      </w:tblGrid>
      <w:tr w14:paraId="6B7F2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6358C88D">
            <w:pPr>
              <w:spacing w:line="360" w:lineRule="exact"/>
              <w:jc w:val="center"/>
              <w:rPr>
                <w:rFonts w:ascii="Times New Roman" w:hAnsi="Times New Roman" w:cs="宋体"/>
                <w:b/>
                <w:bCs/>
                <w:color w:val="auto"/>
              </w:rPr>
            </w:pPr>
            <w:r>
              <w:rPr>
                <w:rFonts w:hint="eastAsia" w:ascii="Times New Roman" w:hAnsi="Times New Roman" w:cs="宋体"/>
                <w:b/>
                <w:bCs/>
                <w:color w:val="auto"/>
              </w:rPr>
              <w:t>品    名</w:t>
            </w:r>
          </w:p>
        </w:tc>
        <w:tc>
          <w:tcPr>
            <w:tcW w:w="1948" w:type="dxa"/>
            <w:vAlign w:val="center"/>
          </w:tcPr>
          <w:p w14:paraId="1EF913E6">
            <w:pPr>
              <w:spacing w:line="360" w:lineRule="exact"/>
              <w:jc w:val="center"/>
              <w:rPr>
                <w:rFonts w:ascii="Times New Roman" w:hAnsi="Times New Roman" w:cs="宋体"/>
                <w:color w:val="auto"/>
              </w:rPr>
            </w:pPr>
            <w:r>
              <w:rPr>
                <w:rFonts w:hint="eastAsia" w:ascii="Times New Roman" w:hAnsi="Times New Roman" w:cs="宋体"/>
                <w:color w:val="auto"/>
              </w:rPr>
              <w:t>汽油</w:t>
            </w:r>
          </w:p>
        </w:tc>
        <w:tc>
          <w:tcPr>
            <w:tcW w:w="1428" w:type="dxa"/>
            <w:vAlign w:val="center"/>
          </w:tcPr>
          <w:p w14:paraId="4127D387">
            <w:pPr>
              <w:spacing w:line="360" w:lineRule="exact"/>
              <w:jc w:val="center"/>
              <w:rPr>
                <w:rFonts w:ascii="Times New Roman" w:hAnsi="Times New Roman" w:cs="宋体"/>
                <w:b/>
                <w:bCs/>
                <w:color w:val="auto"/>
              </w:rPr>
            </w:pPr>
            <w:r>
              <w:rPr>
                <w:rFonts w:hint="eastAsia" w:ascii="Times New Roman" w:hAnsi="Times New Roman" w:cs="宋体"/>
                <w:b/>
                <w:bCs/>
                <w:color w:val="auto"/>
              </w:rPr>
              <w:t>别      名</w:t>
            </w:r>
          </w:p>
        </w:tc>
        <w:tc>
          <w:tcPr>
            <w:tcW w:w="1428" w:type="dxa"/>
            <w:vAlign w:val="center"/>
          </w:tcPr>
          <w:p w14:paraId="0AC1E75E">
            <w:pPr>
              <w:spacing w:line="360" w:lineRule="exact"/>
              <w:jc w:val="center"/>
              <w:rPr>
                <w:rFonts w:ascii="Times New Roman" w:hAnsi="Times New Roman" w:cs="宋体"/>
                <w:color w:val="auto"/>
              </w:rPr>
            </w:pPr>
          </w:p>
        </w:tc>
        <w:tc>
          <w:tcPr>
            <w:tcW w:w="1573" w:type="dxa"/>
            <w:vAlign w:val="center"/>
          </w:tcPr>
          <w:p w14:paraId="3617A358">
            <w:pPr>
              <w:spacing w:line="360" w:lineRule="exact"/>
              <w:ind w:right="-288"/>
              <w:jc w:val="center"/>
              <w:rPr>
                <w:rFonts w:ascii="Times New Roman" w:hAnsi="Times New Roman" w:cs="宋体"/>
                <w:b/>
                <w:bCs/>
                <w:color w:val="auto"/>
              </w:rPr>
            </w:pPr>
            <w:r>
              <w:rPr>
                <w:rFonts w:hint="eastAsia" w:ascii="Times New Roman" w:hAnsi="Times New Roman" w:cs="宋体"/>
                <w:b/>
                <w:bCs/>
                <w:color w:val="auto"/>
              </w:rPr>
              <w:t>目录序号</w:t>
            </w:r>
          </w:p>
        </w:tc>
        <w:tc>
          <w:tcPr>
            <w:tcW w:w="1608" w:type="dxa"/>
            <w:vAlign w:val="center"/>
          </w:tcPr>
          <w:p w14:paraId="4030F257">
            <w:pPr>
              <w:spacing w:line="360" w:lineRule="exact"/>
              <w:ind w:firstLine="210" w:firstLineChars="100"/>
              <w:jc w:val="center"/>
              <w:rPr>
                <w:rFonts w:ascii="Times New Roman" w:hAnsi="Times New Roman" w:cs="宋体"/>
                <w:color w:val="auto"/>
              </w:rPr>
            </w:pPr>
            <w:r>
              <w:rPr>
                <w:rFonts w:hint="eastAsia" w:ascii="Times New Roman" w:hAnsi="Times New Roman" w:cs="宋体"/>
                <w:color w:val="auto"/>
              </w:rPr>
              <w:t>1630</w:t>
            </w:r>
          </w:p>
        </w:tc>
      </w:tr>
      <w:tr w14:paraId="3ED2A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253D61D3">
            <w:pPr>
              <w:spacing w:line="360" w:lineRule="exact"/>
              <w:jc w:val="center"/>
              <w:rPr>
                <w:rFonts w:ascii="Times New Roman" w:hAnsi="Times New Roman" w:cs="宋体"/>
                <w:b/>
                <w:bCs/>
                <w:color w:val="auto"/>
              </w:rPr>
            </w:pPr>
            <w:r>
              <w:rPr>
                <w:rFonts w:hint="eastAsia" w:ascii="Times New Roman" w:hAnsi="Times New Roman" w:cs="宋体"/>
                <w:b/>
                <w:bCs/>
                <w:color w:val="auto"/>
              </w:rPr>
              <w:t>英文名称</w:t>
            </w:r>
          </w:p>
        </w:tc>
        <w:tc>
          <w:tcPr>
            <w:tcW w:w="1948" w:type="dxa"/>
            <w:vAlign w:val="center"/>
          </w:tcPr>
          <w:p w14:paraId="709FFD8A">
            <w:pPr>
              <w:spacing w:line="360" w:lineRule="exact"/>
              <w:jc w:val="center"/>
              <w:rPr>
                <w:rFonts w:ascii="Times New Roman" w:hAnsi="Times New Roman" w:cs="宋体"/>
                <w:color w:val="auto"/>
              </w:rPr>
            </w:pPr>
            <w:r>
              <w:rPr>
                <w:rFonts w:hint="eastAsia" w:ascii="Times New Roman" w:hAnsi="Times New Roman" w:cs="宋体"/>
                <w:color w:val="auto"/>
              </w:rPr>
              <w:t>Gasoline</w:t>
            </w:r>
            <w:r>
              <w:rPr>
                <w:rFonts w:hint="eastAsia" w:ascii="Times New Roman" w:hAnsi="Times New Roman" w:cs="宋体"/>
                <w:color w:val="auto"/>
                <w:lang w:eastAsia="zh-CN"/>
              </w:rPr>
              <w:t xml:space="preserve">; </w:t>
            </w:r>
            <w:r>
              <w:rPr>
                <w:rFonts w:hint="eastAsia" w:ascii="Times New Roman" w:hAnsi="Times New Roman" w:cs="宋体"/>
                <w:color w:val="auto"/>
              </w:rPr>
              <w:t>Petrol</w:t>
            </w:r>
          </w:p>
        </w:tc>
        <w:tc>
          <w:tcPr>
            <w:tcW w:w="1428" w:type="dxa"/>
            <w:vAlign w:val="center"/>
          </w:tcPr>
          <w:p w14:paraId="0DBE795A">
            <w:pPr>
              <w:spacing w:line="360" w:lineRule="exact"/>
              <w:jc w:val="center"/>
              <w:rPr>
                <w:rFonts w:ascii="Times New Roman" w:hAnsi="Times New Roman" w:cs="宋体"/>
                <w:b/>
                <w:bCs/>
                <w:color w:val="auto"/>
              </w:rPr>
            </w:pPr>
            <w:r>
              <w:rPr>
                <w:rFonts w:hint="eastAsia" w:ascii="Times New Roman" w:hAnsi="Times New Roman" w:cs="宋体"/>
                <w:b/>
                <w:bCs/>
                <w:color w:val="auto"/>
              </w:rPr>
              <w:t>分  子  式</w:t>
            </w:r>
          </w:p>
        </w:tc>
        <w:tc>
          <w:tcPr>
            <w:tcW w:w="1428" w:type="dxa"/>
            <w:vAlign w:val="center"/>
          </w:tcPr>
          <w:p w14:paraId="1518DC73">
            <w:pPr>
              <w:spacing w:line="360" w:lineRule="exact"/>
              <w:jc w:val="center"/>
              <w:rPr>
                <w:rFonts w:ascii="Times New Roman" w:hAnsi="Times New Roman" w:cs="宋体"/>
                <w:color w:val="auto"/>
              </w:rPr>
            </w:pPr>
            <w:r>
              <w:rPr>
                <w:rFonts w:hint="eastAsia" w:ascii="Times New Roman" w:hAnsi="Times New Roman" w:cs="宋体"/>
                <w:color w:val="auto"/>
              </w:rPr>
              <w:t>C4-C12（烃）</w:t>
            </w:r>
          </w:p>
        </w:tc>
        <w:tc>
          <w:tcPr>
            <w:tcW w:w="1573" w:type="dxa"/>
            <w:vAlign w:val="center"/>
          </w:tcPr>
          <w:p w14:paraId="107E53AF">
            <w:pPr>
              <w:spacing w:line="360" w:lineRule="exact"/>
              <w:jc w:val="center"/>
              <w:rPr>
                <w:rFonts w:ascii="Times New Roman" w:hAnsi="Times New Roman" w:cs="宋体"/>
                <w:b/>
                <w:bCs/>
                <w:color w:val="auto"/>
              </w:rPr>
            </w:pPr>
            <w:r>
              <w:rPr>
                <w:rFonts w:hint="eastAsia" w:ascii="Times New Roman" w:hAnsi="Times New Roman" w:cs="宋体"/>
                <w:b/>
                <w:bCs/>
                <w:color w:val="auto"/>
              </w:rPr>
              <w:t>分  子  量</w:t>
            </w:r>
          </w:p>
        </w:tc>
        <w:tc>
          <w:tcPr>
            <w:tcW w:w="1608" w:type="dxa"/>
            <w:vAlign w:val="center"/>
          </w:tcPr>
          <w:p w14:paraId="744F4B80">
            <w:pPr>
              <w:spacing w:line="360" w:lineRule="exact"/>
              <w:ind w:left="-195" w:hanging="2"/>
              <w:jc w:val="center"/>
              <w:rPr>
                <w:rFonts w:ascii="Times New Roman" w:hAnsi="Times New Roman" w:cs="宋体"/>
                <w:color w:val="auto"/>
              </w:rPr>
            </w:pPr>
          </w:p>
        </w:tc>
      </w:tr>
      <w:tr w14:paraId="0C553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1ADC94E1">
            <w:pPr>
              <w:spacing w:line="300" w:lineRule="exact"/>
              <w:jc w:val="center"/>
              <w:rPr>
                <w:rFonts w:ascii="Times New Roman" w:hAnsi="Times New Roman" w:cs="宋体"/>
                <w:b/>
                <w:bCs/>
                <w:color w:val="auto"/>
              </w:rPr>
            </w:pPr>
            <w:r>
              <w:rPr>
                <w:rFonts w:hint="eastAsia" w:ascii="Times New Roman" w:hAnsi="Times New Roman" w:cs="宋体"/>
                <w:b/>
                <w:bCs/>
                <w:color w:val="auto"/>
              </w:rPr>
              <w:t>理</w:t>
            </w:r>
          </w:p>
          <w:p w14:paraId="2DDAE897">
            <w:pPr>
              <w:spacing w:line="300" w:lineRule="exact"/>
              <w:jc w:val="center"/>
              <w:rPr>
                <w:rFonts w:ascii="Times New Roman" w:hAnsi="Times New Roman" w:cs="宋体"/>
                <w:b/>
                <w:bCs/>
                <w:color w:val="auto"/>
              </w:rPr>
            </w:pPr>
            <w:r>
              <w:rPr>
                <w:rFonts w:hint="eastAsia" w:ascii="Times New Roman" w:hAnsi="Times New Roman" w:cs="宋体"/>
                <w:b/>
                <w:bCs/>
                <w:color w:val="auto"/>
              </w:rPr>
              <w:t>化</w:t>
            </w:r>
          </w:p>
          <w:p w14:paraId="04DCFC7B">
            <w:pPr>
              <w:spacing w:line="300" w:lineRule="exact"/>
              <w:jc w:val="center"/>
              <w:rPr>
                <w:rFonts w:ascii="Times New Roman" w:hAnsi="Times New Roman" w:cs="宋体"/>
                <w:b/>
                <w:bCs/>
                <w:color w:val="auto"/>
              </w:rPr>
            </w:pPr>
            <w:r>
              <w:rPr>
                <w:rFonts w:hint="eastAsia" w:ascii="Times New Roman" w:hAnsi="Times New Roman" w:cs="宋体"/>
                <w:b/>
                <w:bCs/>
                <w:color w:val="auto"/>
              </w:rPr>
              <w:t>性</w:t>
            </w:r>
          </w:p>
          <w:p w14:paraId="65803E44">
            <w:pPr>
              <w:spacing w:line="300" w:lineRule="exact"/>
              <w:jc w:val="center"/>
              <w:rPr>
                <w:rFonts w:ascii="Times New Roman" w:hAnsi="Times New Roman" w:cs="宋体"/>
                <w:b/>
                <w:bCs/>
                <w:color w:val="auto"/>
              </w:rPr>
            </w:pPr>
            <w:r>
              <w:rPr>
                <w:rFonts w:hint="eastAsia" w:ascii="Times New Roman" w:hAnsi="Times New Roman" w:cs="宋体"/>
                <w:b/>
                <w:bCs/>
                <w:color w:val="auto"/>
              </w:rPr>
              <w:t>质</w:t>
            </w:r>
          </w:p>
        </w:tc>
        <w:tc>
          <w:tcPr>
            <w:tcW w:w="7985" w:type="dxa"/>
            <w:gridSpan w:val="5"/>
            <w:vAlign w:val="center"/>
          </w:tcPr>
          <w:p w14:paraId="4D2D1A39">
            <w:pPr>
              <w:spacing w:line="300" w:lineRule="exact"/>
              <w:rPr>
                <w:rFonts w:ascii="Times New Roman" w:hAnsi="Times New Roman" w:cs="宋体"/>
                <w:color w:val="auto"/>
              </w:rPr>
            </w:pPr>
            <w:r>
              <w:rPr>
                <w:rFonts w:hint="eastAsia" w:ascii="Times New Roman" w:hAnsi="Times New Roman" w:cs="宋体"/>
                <w:color w:val="auto"/>
              </w:rPr>
              <w:t>外观与性状：无色或淡黄色易挥发液体，具有特殊臭味。</w:t>
            </w:r>
          </w:p>
          <w:p w14:paraId="4139235F">
            <w:pPr>
              <w:spacing w:line="300" w:lineRule="exact"/>
              <w:rPr>
                <w:rFonts w:ascii="Times New Roman" w:hAnsi="Times New Roman" w:cs="宋体"/>
                <w:color w:val="auto"/>
              </w:rPr>
            </w:pPr>
            <w:r>
              <w:rPr>
                <w:rFonts w:hint="eastAsia" w:ascii="Times New Roman" w:hAnsi="Times New Roman" w:cs="宋体"/>
                <w:color w:val="auto"/>
              </w:rPr>
              <w:t xml:space="preserve">熔点（℃）：　&lt;-60　        </w:t>
            </w:r>
          </w:p>
          <w:p w14:paraId="26817DA5">
            <w:pPr>
              <w:spacing w:line="300" w:lineRule="exact"/>
              <w:rPr>
                <w:rFonts w:ascii="Times New Roman" w:hAnsi="Times New Roman" w:cs="宋体"/>
                <w:color w:val="auto"/>
              </w:rPr>
            </w:pPr>
            <w:r>
              <w:rPr>
                <w:rFonts w:hint="eastAsia" w:ascii="Times New Roman" w:hAnsi="Times New Roman" w:cs="宋体"/>
                <w:color w:val="auto"/>
              </w:rPr>
              <w:t>沸点（℃）：　40～200</w:t>
            </w:r>
          </w:p>
          <w:p w14:paraId="0697C4AE">
            <w:pPr>
              <w:spacing w:line="300" w:lineRule="exact"/>
              <w:rPr>
                <w:rFonts w:ascii="Times New Roman" w:hAnsi="Times New Roman" w:cs="宋体"/>
                <w:color w:val="auto"/>
              </w:rPr>
            </w:pPr>
            <w:r>
              <w:rPr>
                <w:rFonts w:hint="eastAsia" w:ascii="Times New Roman" w:hAnsi="Times New Roman" w:cs="宋体"/>
                <w:color w:val="auto"/>
              </w:rPr>
              <w:t xml:space="preserve">相对密度（水＝1）：　0.70-0.79   </w:t>
            </w:r>
          </w:p>
          <w:p w14:paraId="79943F74">
            <w:pPr>
              <w:spacing w:line="300" w:lineRule="exact"/>
              <w:rPr>
                <w:rFonts w:ascii="Times New Roman" w:hAnsi="Times New Roman" w:cs="宋体"/>
                <w:color w:val="auto"/>
              </w:rPr>
            </w:pPr>
            <w:r>
              <w:rPr>
                <w:rFonts w:hint="eastAsia" w:ascii="Times New Roman" w:hAnsi="Times New Roman" w:cs="宋体"/>
                <w:color w:val="auto"/>
              </w:rPr>
              <w:t>相对密度（空气＝1）：　3.5</w:t>
            </w:r>
          </w:p>
          <w:p w14:paraId="0CA20B72">
            <w:pPr>
              <w:spacing w:line="300" w:lineRule="exact"/>
              <w:rPr>
                <w:rFonts w:ascii="Times New Roman" w:hAnsi="Times New Roman" w:cs="宋体"/>
                <w:color w:val="auto"/>
              </w:rPr>
            </w:pPr>
            <w:r>
              <w:rPr>
                <w:rFonts w:hint="eastAsia" w:ascii="Times New Roman" w:hAnsi="Times New Roman" w:cs="宋体"/>
                <w:color w:val="auto"/>
                <w:lang w:eastAsia="zh-CN"/>
              </w:rPr>
              <w:t>饱和蒸汽</w:t>
            </w:r>
            <w:r>
              <w:rPr>
                <w:rFonts w:hint="eastAsia" w:ascii="Times New Roman" w:hAnsi="Times New Roman" w:cs="宋体"/>
                <w:color w:val="auto"/>
              </w:rPr>
              <w:t xml:space="preserve">压（kPa）：无资料      </w:t>
            </w:r>
          </w:p>
          <w:p w14:paraId="2B84388B">
            <w:pPr>
              <w:spacing w:line="300" w:lineRule="exact"/>
              <w:rPr>
                <w:rFonts w:ascii="Times New Roman" w:hAnsi="Times New Roman" w:cs="宋体"/>
                <w:color w:val="auto"/>
              </w:rPr>
            </w:pPr>
            <w:r>
              <w:rPr>
                <w:rFonts w:hint="eastAsia" w:ascii="Times New Roman" w:hAnsi="Times New Roman" w:cs="宋体"/>
                <w:color w:val="auto"/>
              </w:rPr>
              <w:t xml:space="preserve">燃烧热（Kj/mol） ：无资料 </w:t>
            </w:r>
          </w:p>
          <w:p w14:paraId="2B8A150D">
            <w:pPr>
              <w:spacing w:line="300" w:lineRule="exact"/>
              <w:rPr>
                <w:rFonts w:ascii="Times New Roman" w:hAnsi="Times New Roman" w:cs="宋体"/>
                <w:color w:val="auto"/>
              </w:rPr>
            </w:pPr>
            <w:r>
              <w:rPr>
                <w:rFonts w:hint="eastAsia" w:ascii="Times New Roman" w:hAnsi="Times New Roman" w:cs="宋体"/>
                <w:color w:val="auto"/>
              </w:rPr>
              <w:t>溶解性：　不溶于水，易溶于苯、二硫化碳、醇、脂肪。</w:t>
            </w:r>
          </w:p>
        </w:tc>
      </w:tr>
      <w:tr w14:paraId="48A94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3563A382">
            <w:pPr>
              <w:spacing w:line="300" w:lineRule="exact"/>
              <w:jc w:val="center"/>
              <w:rPr>
                <w:rFonts w:ascii="Times New Roman" w:hAnsi="Times New Roman" w:cs="宋体"/>
                <w:b/>
                <w:bCs/>
                <w:color w:val="auto"/>
              </w:rPr>
            </w:pPr>
            <w:r>
              <w:rPr>
                <w:rFonts w:hint="eastAsia" w:ascii="Times New Roman" w:hAnsi="Times New Roman" w:cs="宋体"/>
                <w:b/>
                <w:bCs/>
                <w:color w:val="auto"/>
              </w:rPr>
              <w:t>燃</w:t>
            </w:r>
          </w:p>
          <w:p w14:paraId="19BAF6B7">
            <w:pPr>
              <w:spacing w:line="300" w:lineRule="exact"/>
              <w:jc w:val="center"/>
              <w:rPr>
                <w:rFonts w:ascii="Times New Roman" w:hAnsi="Times New Roman" w:cs="宋体"/>
                <w:b/>
                <w:bCs/>
                <w:color w:val="auto"/>
              </w:rPr>
            </w:pPr>
            <w:r>
              <w:rPr>
                <w:rFonts w:hint="eastAsia" w:ascii="Times New Roman" w:hAnsi="Times New Roman" w:cs="宋体"/>
                <w:b/>
                <w:bCs/>
                <w:color w:val="auto"/>
              </w:rPr>
              <w:t>烧</w:t>
            </w:r>
          </w:p>
          <w:p w14:paraId="320B0FB7">
            <w:pPr>
              <w:spacing w:line="300" w:lineRule="exact"/>
              <w:jc w:val="center"/>
              <w:rPr>
                <w:rFonts w:ascii="Times New Roman" w:hAnsi="Times New Roman" w:cs="宋体"/>
                <w:b/>
                <w:bCs/>
                <w:color w:val="auto"/>
              </w:rPr>
            </w:pPr>
            <w:r>
              <w:rPr>
                <w:rFonts w:hint="eastAsia" w:ascii="Times New Roman" w:hAnsi="Times New Roman" w:cs="宋体"/>
                <w:b/>
                <w:bCs/>
                <w:color w:val="auto"/>
              </w:rPr>
              <w:t>爆</w:t>
            </w:r>
          </w:p>
          <w:p w14:paraId="59F0C0CE">
            <w:pPr>
              <w:spacing w:line="300" w:lineRule="exact"/>
              <w:jc w:val="center"/>
              <w:rPr>
                <w:rFonts w:ascii="Times New Roman" w:hAnsi="Times New Roman" w:cs="宋体"/>
                <w:b/>
                <w:bCs/>
                <w:color w:val="auto"/>
              </w:rPr>
            </w:pPr>
            <w:r>
              <w:rPr>
                <w:rFonts w:hint="eastAsia" w:ascii="Times New Roman" w:hAnsi="Times New Roman" w:cs="宋体"/>
                <w:b/>
                <w:bCs/>
                <w:color w:val="auto"/>
              </w:rPr>
              <w:t>炸</w:t>
            </w:r>
          </w:p>
          <w:p w14:paraId="25B8AF2C">
            <w:pPr>
              <w:spacing w:line="300" w:lineRule="exact"/>
              <w:jc w:val="center"/>
              <w:rPr>
                <w:rFonts w:ascii="Times New Roman" w:hAnsi="Times New Roman" w:cs="宋体"/>
                <w:b/>
                <w:bCs/>
                <w:color w:val="auto"/>
              </w:rPr>
            </w:pPr>
            <w:r>
              <w:rPr>
                <w:rFonts w:hint="eastAsia" w:ascii="Times New Roman" w:hAnsi="Times New Roman" w:cs="宋体"/>
                <w:b/>
                <w:bCs/>
                <w:color w:val="auto"/>
              </w:rPr>
              <w:t>危</w:t>
            </w:r>
          </w:p>
          <w:p w14:paraId="4B96FC45">
            <w:pPr>
              <w:spacing w:line="300" w:lineRule="exact"/>
              <w:jc w:val="center"/>
              <w:rPr>
                <w:rFonts w:ascii="Times New Roman" w:hAnsi="Times New Roman" w:cs="宋体"/>
                <w:b/>
                <w:bCs/>
                <w:color w:val="auto"/>
              </w:rPr>
            </w:pPr>
            <w:r>
              <w:rPr>
                <w:rFonts w:hint="eastAsia" w:ascii="Times New Roman" w:hAnsi="Times New Roman" w:cs="宋体"/>
                <w:b/>
                <w:bCs/>
                <w:color w:val="auto"/>
              </w:rPr>
              <w:t>险</w:t>
            </w:r>
          </w:p>
          <w:p w14:paraId="43C3D1B8">
            <w:pPr>
              <w:spacing w:line="30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7985" w:type="dxa"/>
            <w:gridSpan w:val="5"/>
          </w:tcPr>
          <w:p w14:paraId="501C741D">
            <w:pPr>
              <w:spacing w:line="300" w:lineRule="exact"/>
              <w:rPr>
                <w:rFonts w:ascii="Times New Roman" w:hAnsi="Times New Roman" w:cs="宋体"/>
                <w:color w:val="auto"/>
              </w:rPr>
            </w:pPr>
            <w:r>
              <w:rPr>
                <w:rFonts w:hint="eastAsia" w:ascii="Times New Roman" w:hAnsi="Times New Roman" w:cs="宋体"/>
                <w:color w:val="auto"/>
              </w:rPr>
              <w:t xml:space="preserve">燃烧性：易燃     </w:t>
            </w:r>
          </w:p>
          <w:p w14:paraId="5AF1123A">
            <w:pPr>
              <w:spacing w:line="300" w:lineRule="exact"/>
              <w:rPr>
                <w:rFonts w:ascii="Times New Roman" w:hAnsi="Times New Roman" w:cs="宋体"/>
                <w:color w:val="auto"/>
              </w:rPr>
            </w:pPr>
            <w:r>
              <w:rPr>
                <w:rFonts w:hint="eastAsia" w:ascii="Times New Roman" w:hAnsi="Times New Roman" w:cs="宋体"/>
                <w:color w:val="auto"/>
              </w:rPr>
              <w:t>建规火险等级：甲类</w:t>
            </w:r>
          </w:p>
          <w:p w14:paraId="30AA6EDD">
            <w:pPr>
              <w:spacing w:line="300" w:lineRule="exact"/>
              <w:rPr>
                <w:rFonts w:ascii="Times New Roman" w:hAnsi="Times New Roman" w:cs="宋体"/>
                <w:color w:val="auto"/>
              </w:rPr>
            </w:pPr>
            <w:r>
              <w:rPr>
                <w:rFonts w:hint="eastAsia" w:ascii="Times New Roman" w:hAnsi="Times New Roman" w:cs="宋体"/>
                <w:color w:val="auto"/>
              </w:rPr>
              <w:t xml:space="preserve">闪点：-50℃-10℃   </w:t>
            </w:r>
          </w:p>
          <w:p w14:paraId="04A0B651">
            <w:pPr>
              <w:spacing w:line="300" w:lineRule="exact"/>
              <w:rPr>
                <w:rFonts w:ascii="Times New Roman" w:hAnsi="Times New Roman" w:cs="宋体"/>
                <w:color w:val="auto"/>
              </w:rPr>
            </w:pPr>
            <w:r>
              <w:rPr>
                <w:rFonts w:hint="eastAsia" w:ascii="Times New Roman" w:hAnsi="Times New Roman" w:cs="宋体"/>
                <w:color w:val="auto"/>
              </w:rPr>
              <w:t xml:space="preserve">爆炸极限（V%）：1.3-6.0   </w:t>
            </w:r>
          </w:p>
          <w:p w14:paraId="3CE3D8A8">
            <w:pPr>
              <w:spacing w:line="300" w:lineRule="exact"/>
              <w:rPr>
                <w:rFonts w:ascii="Times New Roman" w:hAnsi="Times New Roman" w:cs="宋体"/>
                <w:color w:val="auto"/>
              </w:rPr>
            </w:pPr>
            <w:r>
              <w:rPr>
                <w:rFonts w:hint="eastAsia" w:ascii="Times New Roman" w:hAnsi="Times New Roman" w:cs="宋体"/>
                <w:color w:val="auto"/>
              </w:rPr>
              <w:t>自燃温度：210℃</w:t>
            </w:r>
          </w:p>
          <w:p w14:paraId="12D86C0A">
            <w:pPr>
              <w:spacing w:line="300" w:lineRule="exact"/>
              <w:rPr>
                <w:rFonts w:ascii="Times New Roman" w:hAnsi="Times New Roman" w:cs="宋体"/>
                <w:color w:val="auto"/>
              </w:rPr>
            </w:pPr>
            <w:r>
              <w:rPr>
                <w:rFonts w:hint="eastAsia" w:ascii="Times New Roman" w:hAnsi="Times New Roman" w:cs="宋体"/>
                <w:color w:val="auto"/>
              </w:rPr>
              <w:t>危险特性：其蒸汽与空气形成爆炸性气体，遇明火、高热易燃烧爆炸。与氧化剂能发生强烈反应。其蒸气比空气重，能在较低处扩散到相当远的地方，遇明火会引着回燃。</w:t>
            </w:r>
          </w:p>
          <w:p w14:paraId="2371188D">
            <w:pPr>
              <w:spacing w:line="300" w:lineRule="exact"/>
              <w:rPr>
                <w:rFonts w:ascii="Times New Roman" w:hAnsi="Times New Roman" w:cs="宋体"/>
                <w:color w:val="auto"/>
              </w:rPr>
            </w:pPr>
            <w:r>
              <w:rPr>
                <w:rFonts w:hint="eastAsia" w:ascii="Times New Roman" w:hAnsi="Times New Roman" w:cs="宋体"/>
                <w:color w:val="auto"/>
              </w:rPr>
              <w:t>燃烧分解产物：一氧化碳、二氧化碳。</w:t>
            </w:r>
          </w:p>
          <w:p w14:paraId="348CF0DF">
            <w:pPr>
              <w:spacing w:line="300" w:lineRule="exact"/>
              <w:rPr>
                <w:rFonts w:ascii="Times New Roman" w:hAnsi="Times New Roman" w:cs="宋体"/>
                <w:color w:val="auto"/>
              </w:rPr>
            </w:pPr>
            <w:r>
              <w:rPr>
                <w:rFonts w:hint="eastAsia" w:ascii="Times New Roman" w:hAnsi="Times New Roman" w:cs="宋体"/>
                <w:color w:val="auto"/>
              </w:rPr>
              <w:t xml:space="preserve">稳定性：稳定           </w:t>
            </w:r>
          </w:p>
          <w:p w14:paraId="6B9572B6">
            <w:pPr>
              <w:spacing w:line="300" w:lineRule="exact"/>
              <w:rPr>
                <w:rFonts w:ascii="Times New Roman" w:hAnsi="Times New Roman" w:cs="宋体"/>
                <w:color w:val="auto"/>
              </w:rPr>
            </w:pPr>
            <w:r>
              <w:rPr>
                <w:rFonts w:hint="eastAsia" w:ascii="Times New Roman" w:hAnsi="Times New Roman" w:cs="宋体"/>
                <w:color w:val="auto"/>
              </w:rPr>
              <w:t>聚合危害：无</w:t>
            </w:r>
          </w:p>
          <w:p w14:paraId="4BE93EC2">
            <w:pPr>
              <w:spacing w:line="300" w:lineRule="exact"/>
              <w:rPr>
                <w:rFonts w:ascii="Times New Roman" w:hAnsi="Times New Roman" w:cs="宋体"/>
                <w:color w:val="auto"/>
              </w:rPr>
            </w:pPr>
            <w:r>
              <w:rPr>
                <w:rFonts w:hint="eastAsia" w:ascii="Times New Roman" w:hAnsi="Times New Roman" w:cs="宋体"/>
                <w:color w:val="auto"/>
              </w:rPr>
              <w:t>禁忌物：强氧化剂。</w:t>
            </w:r>
          </w:p>
          <w:p w14:paraId="6A78481B">
            <w:pPr>
              <w:spacing w:line="300" w:lineRule="exact"/>
              <w:rPr>
                <w:rFonts w:ascii="Times New Roman" w:hAnsi="Times New Roman" w:cs="宋体"/>
                <w:color w:val="auto"/>
              </w:rPr>
            </w:pPr>
            <w:r>
              <w:rPr>
                <w:rFonts w:hint="eastAsia" w:ascii="Times New Roman" w:hAnsi="Times New Roman" w:cs="宋体"/>
                <w:color w:val="auto"/>
              </w:rPr>
              <w:t>灭火方法：泡沫、二氧化碳、干粉。用水灭火无效。</w:t>
            </w:r>
          </w:p>
        </w:tc>
      </w:tr>
      <w:tr w14:paraId="21888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0" w:hRule="atLeast"/>
        </w:trPr>
        <w:tc>
          <w:tcPr>
            <w:tcW w:w="1067" w:type="dxa"/>
            <w:vAlign w:val="center"/>
          </w:tcPr>
          <w:p w14:paraId="008638DC">
            <w:pPr>
              <w:spacing w:line="360" w:lineRule="exact"/>
              <w:jc w:val="center"/>
              <w:rPr>
                <w:rFonts w:ascii="Times New Roman" w:hAnsi="Times New Roman" w:cs="宋体"/>
                <w:b/>
                <w:bCs/>
                <w:color w:val="auto"/>
              </w:rPr>
            </w:pPr>
            <w:r>
              <w:rPr>
                <w:rFonts w:hint="eastAsia" w:ascii="Times New Roman" w:hAnsi="Times New Roman" w:cs="宋体"/>
                <w:b/>
                <w:bCs/>
                <w:color w:val="auto"/>
              </w:rPr>
              <w:t>包</w:t>
            </w:r>
          </w:p>
          <w:p w14:paraId="0524F4A0">
            <w:pPr>
              <w:spacing w:line="360" w:lineRule="exact"/>
              <w:jc w:val="center"/>
              <w:rPr>
                <w:rFonts w:ascii="Times New Roman" w:hAnsi="Times New Roman" w:cs="宋体"/>
                <w:b/>
                <w:bCs/>
                <w:color w:val="auto"/>
              </w:rPr>
            </w:pPr>
            <w:r>
              <w:rPr>
                <w:rFonts w:hint="eastAsia" w:ascii="Times New Roman" w:hAnsi="Times New Roman" w:cs="宋体"/>
                <w:b/>
                <w:bCs/>
                <w:color w:val="auto"/>
              </w:rPr>
              <w:t>装</w:t>
            </w:r>
          </w:p>
          <w:p w14:paraId="484AA977">
            <w:pPr>
              <w:spacing w:line="360" w:lineRule="exact"/>
              <w:jc w:val="center"/>
              <w:rPr>
                <w:rFonts w:ascii="Times New Roman" w:hAnsi="Times New Roman" w:cs="宋体"/>
                <w:b/>
                <w:bCs/>
                <w:color w:val="auto"/>
              </w:rPr>
            </w:pPr>
            <w:r>
              <w:rPr>
                <w:rFonts w:hint="eastAsia" w:ascii="Times New Roman" w:hAnsi="Times New Roman" w:cs="宋体"/>
                <w:b/>
                <w:bCs/>
                <w:color w:val="auto"/>
              </w:rPr>
              <w:t>与</w:t>
            </w:r>
          </w:p>
          <w:p w14:paraId="73321249">
            <w:pPr>
              <w:spacing w:line="360" w:lineRule="exact"/>
              <w:jc w:val="center"/>
              <w:rPr>
                <w:rFonts w:ascii="Times New Roman" w:hAnsi="Times New Roman" w:cs="宋体"/>
                <w:b/>
                <w:bCs/>
                <w:color w:val="auto"/>
              </w:rPr>
            </w:pPr>
            <w:r>
              <w:rPr>
                <w:rFonts w:hint="eastAsia" w:ascii="Times New Roman" w:hAnsi="Times New Roman" w:cs="宋体"/>
                <w:b/>
                <w:bCs/>
                <w:color w:val="auto"/>
              </w:rPr>
              <w:t>储</w:t>
            </w:r>
          </w:p>
          <w:p w14:paraId="7181C05A">
            <w:pPr>
              <w:spacing w:line="360" w:lineRule="exact"/>
              <w:jc w:val="center"/>
              <w:rPr>
                <w:rFonts w:ascii="Times New Roman" w:hAnsi="Times New Roman" w:cs="宋体"/>
                <w:b/>
                <w:bCs/>
                <w:color w:val="auto"/>
              </w:rPr>
            </w:pPr>
            <w:r>
              <w:rPr>
                <w:rFonts w:hint="eastAsia" w:ascii="Times New Roman" w:hAnsi="Times New Roman" w:cs="宋体"/>
                <w:b/>
                <w:bCs/>
                <w:color w:val="auto"/>
              </w:rPr>
              <w:t>运</w:t>
            </w:r>
          </w:p>
        </w:tc>
        <w:tc>
          <w:tcPr>
            <w:tcW w:w="7985" w:type="dxa"/>
            <w:gridSpan w:val="5"/>
            <w:vAlign w:val="center"/>
          </w:tcPr>
          <w:p w14:paraId="109EB8C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宋体"/>
                <w:color w:val="auto"/>
              </w:rPr>
            </w:pPr>
            <w:r>
              <w:rPr>
                <w:rFonts w:hint="eastAsia" w:ascii="Times New Roman" w:hAnsi="Times New Roman" w:cs="宋体"/>
                <w:color w:val="auto"/>
              </w:rPr>
              <w:t xml:space="preserve">危险货物包装标志：7    </w:t>
            </w:r>
          </w:p>
          <w:p w14:paraId="3591ED6C">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包装类别：Ⅰ</w:t>
            </w:r>
          </w:p>
          <w:p w14:paraId="7D808FE3">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储存于阴凉、通风仓间内。远离火种、热源。仓内温度不宜超过30℃。防止阳光直射。保持容器密封。应与氧化剂分开存放。储存间内的照明、通风等设施应采用防爆型，开关设在仓外。桶装堆垛不可过大，应留墙距，顶距、柱距及必要的防火检查</w:t>
            </w:r>
            <w:r>
              <w:rPr>
                <w:rFonts w:hint="eastAsia" w:ascii="Times New Roman" w:hAnsi="Times New Roman" w:cs="宋体"/>
                <w:color w:val="auto"/>
                <w:lang w:eastAsia="zh-CN"/>
              </w:rPr>
              <w:t>通道</w:t>
            </w:r>
            <w:r>
              <w:rPr>
                <w:rFonts w:hint="eastAsia" w:ascii="Times New Roman" w:hAnsi="Times New Roman" w:cs="宋体"/>
                <w:color w:val="auto"/>
              </w:rPr>
              <w:t>。罐储时要有防火防爆技术措施。禁止使用易产生火花的机械设备和工具。灌装时应注意流速（不超过3m/s），且有接地装置。防止静电积聚。搬运时要轻装轻卸，防止包装及容器损坏。</w:t>
            </w:r>
          </w:p>
        </w:tc>
      </w:tr>
      <w:tr w14:paraId="71CE8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0" w:hRule="atLeast"/>
        </w:trPr>
        <w:tc>
          <w:tcPr>
            <w:tcW w:w="1067" w:type="dxa"/>
            <w:vAlign w:val="center"/>
          </w:tcPr>
          <w:p w14:paraId="4DC0784D">
            <w:pPr>
              <w:spacing w:line="360" w:lineRule="exact"/>
              <w:jc w:val="center"/>
              <w:rPr>
                <w:rFonts w:ascii="Times New Roman" w:hAnsi="Times New Roman" w:cs="宋体"/>
                <w:b/>
                <w:bCs/>
                <w:color w:val="auto"/>
              </w:rPr>
            </w:pPr>
            <w:r>
              <w:rPr>
                <w:rFonts w:hint="eastAsia" w:ascii="Times New Roman" w:hAnsi="Times New Roman" w:cs="宋体"/>
                <w:b/>
                <w:bCs/>
                <w:color w:val="auto"/>
              </w:rPr>
              <w:t>毒性</w:t>
            </w:r>
          </w:p>
          <w:p w14:paraId="0ACDAD20">
            <w:pPr>
              <w:spacing w:line="360" w:lineRule="exact"/>
              <w:jc w:val="center"/>
              <w:rPr>
                <w:rFonts w:ascii="Times New Roman" w:hAnsi="Times New Roman" w:cs="宋体"/>
                <w:b/>
                <w:bCs/>
                <w:color w:val="auto"/>
              </w:rPr>
            </w:pPr>
            <w:r>
              <w:rPr>
                <w:rFonts w:hint="eastAsia" w:ascii="Times New Roman" w:hAnsi="Times New Roman" w:cs="宋体"/>
                <w:b/>
                <w:bCs/>
                <w:color w:val="auto"/>
              </w:rPr>
              <w:t>及</w:t>
            </w:r>
          </w:p>
          <w:p w14:paraId="62F508F4">
            <w:pPr>
              <w:spacing w:line="360" w:lineRule="exact"/>
              <w:jc w:val="center"/>
              <w:rPr>
                <w:rFonts w:ascii="Times New Roman" w:hAnsi="Times New Roman" w:cs="宋体"/>
                <w:b/>
                <w:bCs/>
                <w:color w:val="auto"/>
              </w:rPr>
            </w:pPr>
            <w:r>
              <w:rPr>
                <w:rFonts w:hint="eastAsia" w:ascii="Times New Roman" w:hAnsi="Times New Roman" w:cs="宋体"/>
                <w:b/>
                <w:bCs/>
                <w:color w:val="auto"/>
              </w:rPr>
              <w:t>健康</w:t>
            </w:r>
          </w:p>
          <w:p w14:paraId="2D8E19BC">
            <w:pPr>
              <w:spacing w:line="360" w:lineRule="exact"/>
              <w:jc w:val="center"/>
              <w:rPr>
                <w:rFonts w:ascii="Times New Roman" w:hAnsi="Times New Roman" w:cs="宋体"/>
                <w:b/>
                <w:bCs/>
                <w:color w:val="auto"/>
              </w:rPr>
            </w:pPr>
            <w:r>
              <w:rPr>
                <w:rFonts w:hint="eastAsia" w:ascii="Times New Roman" w:hAnsi="Times New Roman" w:cs="宋体"/>
                <w:b/>
                <w:bCs/>
                <w:color w:val="auto"/>
              </w:rPr>
              <w:t>危害</w:t>
            </w:r>
          </w:p>
          <w:p w14:paraId="1B30B558">
            <w:pPr>
              <w:spacing w:line="36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7985" w:type="dxa"/>
            <w:gridSpan w:val="5"/>
            <w:vAlign w:val="center"/>
          </w:tcPr>
          <w:p w14:paraId="2F00FCA2">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接触限值：中国MAC：300mg/m</w:t>
            </w:r>
            <w:r>
              <w:rPr>
                <w:rFonts w:hint="eastAsia" w:ascii="Times New Roman" w:hAnsi="Times New Roman" w:cs="宋体"/>
                <w:color w:val="auto"/>
                <w:vertAlign w:val="superscript"/>
              </w:rPr>
              <w:t>3</w:t>
            </w:r>
            <w:r>
              <w:rPr>
                <w:rFonts w:hint="eastAsia" w:ascii="Times New Roman" w:hAnsi="Times New Roman" w:cs="宋体"/>
                <w:color w:val="auto"/>
              </w:rPr>
              <w:t xml:space="preserve">（溶剂汽油）。    </w:t>
            </w:r>
          </w:p>
          <w:p w14:paraId="7D2655C6">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侵入途径：吸入，食入，经皮吸收。</w:t>
            </w:r>
          </w:p>
          <w:p w14:paraId="43880FFE">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健康危害：主要作用于中枢神经系统。急性中毒症状有头晕、头痛、恶心、呕吐、步态不稳、共济失调。高浓度吸入出现中毒性脑病。极高浓度吸入引起意识突然丧失、反射性呼吸停止及化学性肺炎。可伴有中毒性周围神经病。液体吸入呼吸道致吸入性肺炎。溅入眼内，可致角膜溃疡、穿孔，甚至失明。皮肤接触致急性接触性皮炎或过敏性皮炎。急性经口中毒引起急性胃肠炎；重者出现类似急性吸入中毒症状。慢性中毒：神经衰弱综合征，周围神经病，皮肤损害。</w:t>
            </w:r>
          </w:p>
        </w:tc>
      </w:tr>
      <w:tr w14:paraId="4CC18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1067" w:type="dxa"/>
            <w:vAlign w:val="center"/>
          </w:tcPr>
          <w:p w14:paraId="51B87753">
            <w:pPr>
              <w:spacing w:line="360" w:lineRule="exact"/>
              <w:jc w:val="center"/>
              <w:rPr>
                <w:rFonts w:ascii="Times New Roman" w:hAnsi="Times New Roman" w:cs="宋体"/>
                <w:b/>
                <w:bCs/>
                <w:color w:val="auto"/>
              </w:rPr>
            </w:pPr>
            <w:r>
              <w:rPr>
                <w:rFonts w:hint="eastAsia" w:ascii="Times New Roman" w:hAnsi="Times New Roman" w:cs="宋体"/>
                <w:b/>
                <w:bCs/>
                <w:color w:val="auto"/>
              </w:rPr>
              <w:t>急救</w:t>
            </w:r>
          </w:p>
        </w:tc>
        <w:tc>
          <w:tcPr>
            <w:tcW w:w="7985" w:type="dxa"/>
            <w:gridSpan w:val="5"/>
            <w:vAlign w:val="center"/>
          </w:tcPr>
          <w:p w14:paraId="0E238090">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吸入：迅速脱离污染区，注意保暖，保持呼吸道通畅，呼吸困难时给氧，必要时进行人工呼吸，就医。</w:t>
            </w:r>
          </w:p>
          <w:p w14:paraId="2D1D5954">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食入：给牛奶、蛋清、植物油等口服，洗胃，就医。</w:t>
            </w:r>
            <w:r>
              <w:rPr>
                <w:rFonts w:hint="eastAsia" w:ascii="Times New Roman" w:hAnsi="Times New Roman" w:cs="宋体"/>
                <w:color w:val="auto"/>
              </w:rPr>
              <w:tab/>
            </w:r>
            <w:r>
              <w:rPr>
                <w:rFonts w:hint="eastAsia" w:ascii="Times New Roman" w:hAnsi="Times New Roman" w:cs="宋体"/>
                <w:color w:val="auto"/>
              </w:rPr>
              <w:tab/>
            </w:r>
          </w:p>
          <w:p w14:paraId="60FCA75B">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眼睛接触：立即提起眼睑，用流动清水或生理盐水冲洗至少15分钟，就医。</w:t>
            </w:r>
            <w:r>
              <w:rPr>
                <w:rFonts w:hint="eastAsia" w:ascii="Times New Roman" w:hAnsi="Times New Roman" w:cs="宋体"/>
                <w:color w:val="auto"/>
              </w:rPr>
              <w:tab/>
            </w:r>
            <w:r>
              <w:rPr>
                <w:rFonts w:hint="eastAsia" w:ascii="Times New Roman" w:hAnsi="Times New Roman" w:cs="宋体"/>
                <w:color w:val="auto"/>
              </w:rPr>
              <w:t>皮肤接触：脱去污染的衣着，立即用流动清水彻底冲洗。</w:t>
            </w:r>
            <w:r>
              <w:rPr>
                <w:rFonts w:hint="eastAsia" w:ascii="Times New Roman" w:hAnsi="Times New Roman" w:cs="宋体"/>
                <w:color w:val="auto"/>
              </w:rPr>
              <w:tab/>
            </w:r>
          </w:p>
          <w:p w14:paraId="3F253058">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浓度超标时，戴防毒面具</w:t>
            </w:r>
            <w:r>
              <w:rPr>
                <w:rFonts w:hint="eastAsia" w:ascii="Times New Roman" w:hAnsi="Times New Roman" w:cs="宋体"/>
                <w:color w:val="auto"/>
              </w:rPr>
              <w:tab/>
            </w:r>
            <w:r>
              <w:rPr>
                <w:rFonts w:hint="eastAsia" w:ascii="Times New Roman" w:hAnsi="Times New Roman" w:cs="宋体"/>
                <w:color w:val="auto"/>
              </w:rPr>
              <w:t>生产过程密闭，全面通风，工作场所禁止吸烟，高浓度时戴化学防护眼镜</w:t>
            </w:r>
            <w:r>
              <w:rPr>
                <w:rFonts w:hint="eastAsia" w:ascii="Times New Roman" w:hAnsi="Times New Roman" w:cs="宋体"/>
                <w:color w:val="auto"/>
              </w:rPr>
              <w:tab/>
            </w:r>
            <w:r>
              <w:rPr>
                <w:rFonts w:hint="eastAsia" w:ascii="Times New Roman" w:hAnsi="Times New Roman" w:cs="宋体"/>
                <w:color w:val="auto"/>
              </w:rPr>
              <w:t>，穿防静电工作服，戴防护手套。</w:t>
            </w:r>
            <w:r>
              <w:rPr>
                <w:rFonts w:hint="eastAsia" w:ascii="Times New Roman" w:hAnsi="Times New Roman" w:cs="宋体"/>
                <w:color w:val="auto"/>
              </w:rPr>
              <w:tab/>
            </w:r>
          </w:p>
        </w:tc>
      </w:tr>
      <w:tr w14:paraId="67098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0" w:hRule="atLeast"/>
        </w:trPr>
        <w:tc>
          <w:tcPr>
            <w:tcW w:w="1067" w:type="dxa"/>
            <w:vAlign w:val="center"/>
          </w:tcPr>
          <w:p w14:paraId="0ECD808D">
            <w:pPr>
              <w:spacing w:line="360" w:lineRule="exact"/>
              <w:jc w:val="center"/>
              <w:rPr>
                <w:rFonts w:ascii="Times New Roman" w:hAnsi="Times New Roman" w:cs="宋体"/>
                <w:b/>
                <w:bCs/>
                <w:color w:val="auto"/>
              </w:rPr>
            </w:pPr>
            <w:r>
              <w:rPr>
                <w:rFonts w:hint="eastAsia" w:ascii="Times New Roman" w:hAnsi="Times New Roman" w:cs="宋体"/>
                <w:b/>
                <w:bCs/>
                <w:color w:val="auto"/>
              </w:rPr>
              <w:t>泄漏</w:t>
            </w:r>
          </w:p>
          <w:p w14:paraId="271453B1">
            <w:pPr>
              <w:spacing w:line="360" w:lineRule="exact"/>
              <w:jc w:val="center"/>
              <w:rPr>
                <w:rFonts w:ascii="Times New Roman" w:hAnsi="Times New Roman" w:cs="宋体"/>
                <w:b/>
                <w:bCs/>
                <w:color w:val="auto"/>
              </w:rPr>
            </w:pPr>
            <w:r>
              <w:rPr>
                <w:rFonts w:hint="eastAsia" w:ascii="Times New Roman" w:hAnsi="Times New Roman" w:cs="宋体"/>
                <w:b/>
                <w:bCs/>
                <w:color w:val="auto"/>
              </w:rPr>
              <w:t>处置</w:t>
            </w:r>
          </w:p>
        </w:tc>
        <w:tc>
          <w:tcPr>
            <w:tcW w:w="7985" w:type="dxa"/>
            <w:gridSpan w:val="5"/>
            <w:vAlign w:val="center"/>
          </w:tcPr>
          <w:p w14:paraId="40609A2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Times New Roman" w:hAnsi="Times New Roman" w:cs="宋体"/>
                <w:color w:val="auto"/>
              </w:rPr>
            </w:pPr>
            <w:r>
              <w:rPr>
                <w:rFonts w:hint="eastAsia" w:ascii="Times New Roman" w:hAnsi="Times New Roman" w:cs="宋体"/>
                <w:color w:val="auto"/>
              </w:rPr>
              <w:t>切断一切火源，迅速撤离污染区人员至上风处。使用防毒面具，穿防静电工作服。在确保安全的前提下堵漏。喷水雾减少蒸气，但不能降低泄漏物在受限空间内的易燃性。禁止泄漏物进入受限制的空间（如下水道等），以避免发生爆炸。用砂土或</w:t>
            </w:r>
            <w:r>
              <w:rPr>
                <w:rFonts w:hint="eastAsia" w:ascii="Times New Roman" w:hAnsi="Times New Roman" w:cs="宋体"/>
                <w:color w:val="auto"/>
                <w:lang w:eastAsia="zh-CN"/>
              </w:rPr>
              <w:t>其他不</w:t>
            </w:r>
            <w:r>
              <w:rPr>
                <w:rFonts w:hint="eastAsia" w:ascii="Times New Roman" w:hAnsi="Times New Roman" w:cs="宋体"/>
                <w:color w:val="auto"/>
              </w:rPr>
              <w:t>燃性吸附剂吸收，然后收集至废物处理场所处置。</w:t>
            </w:r>
          </w:p>
        </w:tc>
      </w:tr>
    </w:tbl>
    <w:p w14:paraId="38A80D42">
      <w:pPr>
        <w:jc w:val="center"/>
        <w:rPr>
          <w:rFonts w:ascii="Times New Roman" w:hAnsi="Times New Roman" w:cs="宋体"/>
          <w:color w:val="auto"/>
          <w:sz w:val="24"/>
          <w:szCs w:val="24"/>
          <w:lang w:val="zh-CN"/>
        </w:rPr>
      </w:pPr>
    </w:p>
    <w:p w14:paraId="10821A90">
      <w:pPr>
        <w:rPr>
          <w:rFonts w:hint="eastAsia" w:ascii="Times New Roman" w:hAnsi="Times New Roman" w:cs="宋体"/>
          <w:color w:val="auto"/>
          <w:sz w:val="24"/>
          <w:szCs w:val="24"/>
          <w:lang w:val="zh-CN"/>
        </w:rPr>
      </w:pPr>
      <w:r>
        <w:rPr>
          <w:rFonts w:hint="eastAsia" w:ascii="Times New Roman" w:hAnsi="Times New Roman" w:cs="宋体"/>
          <w:color w:val="auto"/>
          <w:sz w:val="24"/>
          <w:szCs w:val="24"/>
          <w:lang w:val="zh-CN"/>
        </w:rPr>
        <w:br w:type="page"/>
      </w:r>
    </w:p>
    <w:p w14:paraId="748937EB">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.1</w:t>
      </w:r>
      <w:r>
        <w:rPr>
          <w:rFonts w:hint="eastAsia" w:ascii="Times New Roman" w:hAnsi="Times New Roman" w:cs="宋体"/>
          <w:color w:val="auto"/>
          <w:sz w:val="24"/>
          <w:szCs w:val="24"/>
          <w:lang w:val="zh-CN"/>
        </w:rPr>
        <w:t>-</w:t>
      </w:r>
      <w:r>
        <w:rPr>
          <w:rFonts w:hint="eastAsia" w:ascii="Times New Roman" w:hAnsi="Times New Roman" w:cs="宋体"/>
          <w:color w:val="auto"/>
          <w:sz w:val="24"/>
          <w:szCs w:val="24"/>
        </w:rPr>
        <w:t>3</w:t>
      </w:r>
      <w:r>
        <w:rPr>
          <w:rFonts w:hint="eastAsia" w:ascii="Times New Roman" w:hAnsi="Times New Roman" w:cs="宋体"/>
          <w:color w:val="auto"/>
          <w:sz w:val="24"/>
          <w:szCs w:val="24"/>
          <w:lang w:val="zh-CN"/>
        </w:rPr>
        <w:t xml:space="preserve">  柴油理化性质一览表</w:t>
      </w:r>
    </w:p>
    <w:tbl>
      <w:tblPr>
        <w:tblStyle w:val="25"/>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
        <w:gridCol w:w="1069"/>
        <w:gridCol w:w="1953"/>
        <w:gridCol w:w="1431"/>
        <w:gridCol w:w="1431"/>
        <w:gridCol w:w="1576"/>
        <w:gridCol w:w="1611"/>
      </w:tblGrid>
      <w:tr w14:paraId="774E7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75" w:type="dxa"/>
            <w:gridSpan w:val="2"/>
            <w:vAlign w:val="center"/>
          </w:tcPr>
          <w:p w14:paraId="760EFDFF">
            <w:pPr>
              <w:spacing w:line="240" w:lineRule="atLeast"/>
              <w:jc w:val="center"/>
              <w:rPr>
                <w:rFonts w:ascii="Times New Roman" w:hAnsi="Times New Roman" w:cs="宋体"/>
                <w:b/>
                <w:bCs/>
                <w:color w:val="auto"/>
              </w:rPr>
            </w:pPr>
            <w:r>
              <w:rPr>
                <w:rFonts w:hint="eastAsia" w:ascii="Times New Roman" w:hAnsi="Times New Roman" w:cs="宋体"/>
                <w:b/>
                <w:bCs/>
                <w:color w:val="auto"/>
              </w:rPr>
              <w:t>品    名</w:t>
            </w:r>
          </w:p>
        </w:tc>
        <w:tc>
          <w:tcPr>
            <w:tcW w:w="1953" w:type="dxa"/>
            <w:vAlign w:val="center"/>
          </w:tcPr>
          <w:p w14:paraId="55841660">
            <w:pPr>
              <w:spacing w:line="240" w:lineRule="atLeast"/>
              <w:jc w:val="center"/>
              <w:rPr>
                <w:rFonts w:ascii="Times New Roman" w:hAnsi="Times New Roman" w:cs="宋体"/>
                <w:color w:val="auto"/>
              </w:rPr>
            </w:pPr>
            <w:r>
              <w:rPr>
                <w:rFonts w:hint="eastAsia" w:ascii="Times New Roman" w:hAnsi="Times New Roman" w:cs="宋体"/>
                <w:color w:val="auto"/>
              </w:rPr>
              <w:t>柴油</w:t>
            </w:r>
          </w:p>
        </w:tc>
        <w:tc>
          <w:tcPr>
            <w:tcW w:w="1431" w:type="dxa"/>
            <w:vAlign w:val="center"/>
          </w:tcPr>
          <w:p w14:paraId="22AB6A4C">
            <w:pPr>
              <w:spacing w:line="240" w:lineRule="atLeast"/>
              <w:jc w:val="center"/>
              <w:rPr>
                <w:rFonts w:ascii="Times New Roman" w:hAnsi="Times New Roman" w:cs="宋体"/>
                <w:b/>
                <w:bCs/>
                <w:color w:val="auto"/>
              </w:rPr>
            </w:pPr>
            <w:r>
              <w:rPr>
                <w:rFonts w:hint="eastAsia" w:ascii="Times New Roman" w:hAnsi="Times New Roman" w:cs="宋体"/>
                <w:b/>
                <w:bCs/>
                <w:color w:val="auto"/>
              </w:rPr>
              <w:t>别      名</w:t>
            </w:r>
          </w:p>
        </w:tc>
        <w:tc>
          <w:tcPr>
            <w:tcW w:w="1431" w:type="dxa"/>
            <w:vAlign w:val="center"/>
          </w:tcPr>
          <w:p w14:paraId="0ACA79DD">
            <w:pPr>
              <w:spacing w:line="240" w:lineRule="atLeast"/>
              <w:jc w:val="center"/>
              <w:rPr>
                <w:rFonts w:ascii="Times New Roman" w:hAnsi="Times New Roman" w:cs="宋体"/>
                <w:color w:val="auto"/>
              </w:rPr>
            </w:pPr>
          </w:p>
        </w:tc>
        <w:tc>
          <w:tcPr>
            <w:tcW w:w="1576" w:type="dxa"/>
            <w:vAlign w:val="center"/>
          </w:tcPr>
          <w:p w14:paraId="0EE7CC70">
            <w:pPr>
              <w:spacing w:line="240" w:lineRule="atLeast"/>
              <w:ind w:right="-288" w:rightChars="-137"/>
              <w:jc w:val="center"/>
              <w:rPr>
                <w:rFonts w:ascii="Times New Roman" w:hAnsi="Times New Roman" w:cs="宋体"/>
                <w:b/>
                <w:bCs/>
                <w:color w:val="auto"/>
              </w:rPr>
            </w:pPr>
            <w:r>
              <w:rPr>
                <w:rFonts w:hint="eastAsia" w:ascii="Times New Roman" w:hAnsi="Times New Roman" w:cs="宋体"/>
                <w:b/>
                <w:bCs/>
                <w:color w:val="auto"/>
              </w:rPr>
              <w:t>目录序号</w:t>
            </w:r>
          </w:p>
        </w:tc>
        <w:tc>
          <w:tcPr>
            <w:tcW w:w="1611" w:type="dxa"/>
            <w:vAlign w:val="center"/>
          </w:tcPr>
          <w:p w14:paraId="77952CE3">
            <w:pPr>
              <w:spacing w:line="240" w:lineRule="atLeast"/>
              <w:ind w:firstLine="210" w:firstLineChars="100"/>
              <w:jc w:val="center"/>
              <w:rPr>
                <w:rFonts w:ascii="Times New Roman" w:hAnsi="Times New Roman" w:cs="宋体"/>
                <w:color w:val="auto"/>
              </w:rPr>
            </w:pPr>
            <w:r>
              <w:rPr>
                <w:rFonts w:hint="eastAsia" w:ascii="Times New Roman" w:hAnsi="Times New Roman" w:cs="宋体"/>
                <w:color w:val="auto"/>
              </w:rPr>
              <w:t>1674</w:t>
            </w:r>
          </w:p>
        </w:tc>
      </w:tr>
      <w:tr w14:paraId="330E1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075" w:type="dxa"/>
            <w:gridSpan w:val="2"/>
            <w:vAlign w:val="center"/>
          </w:tcPr>
          <w:p w14:paraId="3CABDAB0">
            <w:pPr>
              <w:spacing w:line="240" w:lineRule="atLeast"/>
              <w:jc w:val="center"/>
              <w:rPr>
                <w:rFonts w:ascii="Times New Roman" w:hAnsi="Times New Roman" w:cs="宋体"/>
                <w:b/>
                <w:bCs/>
                <w:color w:val="auto"/>
              </w:rPr>
            </w:pPr>
            <w:r>
              <w:rPr>
                <w:rFonts w:hint="eastAsia" w:ascii="Times New Roman" w:hAnsi="Times New Roman" w:cs="宋体"/>
                <w:b/>
                <w:bCs/>
                <w:color w:val="auto"/>
              </w:rPr>
              <w:t>英文名称</w:t>
            </w:r>
          </w:p>
        </w:tc>
        <w:tc>
          <w:tcPr>
            <w:tcW w:w="1953" w:type="dxa"/>
            <w:vAlign w:val="center"/>
          </w:tcPr>
          <w:p w14:paraId="4DAFD1F0">
            <w:pPr>
              <w:spacing w:line="240" w:lineRule="atLeast"/>
              <w:ind w:firstLine="315" w:firstLineChars="150"/>
              <w:jc w:val="center"/>
              <w:rPr>
                <w:rFonts w:ascii="Times New Roman" w:hAnsi="Times New Roman" w:cs="宋体"/>
                <w:color w:val="auto"/>
              </w:rPr>
            </w:pPr>
            <w:r>
              <w:rPr>
                <w:rFonts w:hint="eastAsia" w:ascii="Times New Roman" w:hAnsi="Times New Roman" w:cs="宋体"/>
                <w:color w:val="auto"/>
              </w:rPr>
              <w:t>Diesel  oil</w:t>
            </w:r>
          </w:p>
        </w:tc>
        <w:tc>
          <w:tcPr>
            <w:tcW w:w="1431" w:type="dxa"/>
            <w:vAlign w:val="center"/>
          </w:tcPr>
          <w:p w14:paraId="5F53892E">
            <w:pPr>
              <w:spacing w:line="240" w:lineRule="atLeast"/>
              <w:jc w:val="center"/>
              <w:rPr>
                <w:rFonts w:ascii="Times New Roman" w:hAnsi="Times New Roman" w:cs="宋体"/>
                <w:b/>
                <w:bCs/>
                <w:color w:val="auto"/>
              </w:rPr>
            </w:pPr>
            <w:r>
              <w:rPr>
                <w:rFonts w:hint="eastAsia" w:ascii="Times New Roman" w:hAnsi="Times New Roman" w:cs="宋体"/>
                <w:b/>
                <w:bCs/>
                <w:color w:val="auto"/>
              </w:rPr>
              <w:t>分  子  式</w:t>
            </w:r>
          </w:p>
        </w:tc>
        <w:tc>
          <w:tcPr>
            <w:tcW w:w="1431" w:type="dxa"/>
            <w:vAlign w:val="center"/>
          </w:tcPr>
          <w:p w14:paraId="0A8CE622">
            <w:pPr>
              <w:spacing w:line="240" w:lineRule="atLeast"/>
              <w:jc w:val="center"/>
              <w:rPr>
                <w:rFonts w:ascii="Times New Roman" w:hAnsi="Times New Roman" w:cs="宋体"/>
                <w:color w:val="auto"/>
              </w:rPr>
            </w:pPr>
          </w:p>
        </w:tc>
        <w:tc>
          <w:tcPr>
            <w:tcW w:w="1576" w:type="dxa"/>
            <w:vAlign w:val="center"/>
          </w:tcPr>
          <w:p w14:paraId="2E4FF6CE">
            <w:pPr>
              <w:spacing w:line="240" w:lineRule="atLeast"/>
              <w:jc w:val="center"/>
              <w:rPr>
                <w:rFonts w:ascii="Times New Roman" w:hAnsi="Times New Roman" w:cs="宋体"/>
                <w:b/>
                <w:bCs/>
                <w:color w:val="auto"/>
              </w:rPr>
            </w:pPr>
            <w:r>
              <w:rPr>
                <w:rFonts w:hint="eastAsia" w:ascii="Times New Roman" w:hAnsi="Times New Roman" w:cs="宋体"/>
                <w:b/>
                <w:bCs/>
                <w:color w:val="auto"/>
              </w:rPr>
              <w:t>分  子  量</w:t>
            </w:r>
          </w:p>
        </w:tc>
        <w:tc>
          <w:tcPr>
            <w:tcW w:w="1611" w:type="dxa"/>
            <w:vAlign w:val="center"/>
          </w:tcPr>
          <w:p w14:paraId="4498C333">
            <w:pPr>
              <w:spacing w:line="240" w:lineRule="atLeast"/>
              <w:ind w:left="-195" w:leftChars="-94" w:hanging="2"/>
              <w:jc w:val="center"/>
              <w:rPr>
                <w:rFonts w:ascii="Times New Roman" w:hAnsi="Times New Roman" w:cs="宋体"/>
                <w:color w:val="auto"/>
              </w:rPr>
            </w:pPr>
          </w:p>
        </w:tc>
      </w:tr>
      <w:tr w14:paraId="1FFC0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2239" w:hRule="atLeast"/>
        </w:trPr>
        <w:tc>
          <w:tcPr>
            <w:tcW w:w="1069" w:type="dxa"/>
            <w:vAlign w:val="center"/>
          </w:tcPr>
          <w:p w14:paraId="0C483442">
            <w:pPr>
              <w:spacing w:line="240" w:lineRule="atLeast"/>
              <w:jc w:val="center"/>
              <w:rPr>
                <w:rFonts w:ascii="Times New Roman" w:hAnsi="Times New Roman" w:cs="宋体"/>
                <w:b/>
                <w:bCs/>
                <w:color w:val="auto"/>
              </w:rPr>
            </w:pPr>
            <w:r>
              <w:rPr>
                <w:rFonts w:hint="eastAsia" w:ascii="Times New Roman" w:hAnsi="Times New Roman" w:cs="宋体"/>
                <w:b/>
                <w:bCs/>
                <w:color w:val="auto"/>
              </w:rPr>
              <w:t>理化</w:t>
            </w:r>
          </w:p>
          <w:p w14:paraId="511D765E">
            <w:pPr>
              <w:spacing w:line="240" w:lineRule="atLeast"/>
              <w:jc w:val="center"/>
              <w:rPr>
                <w:rFonts w:ascii="Times New Roman" w:hAnsi="Times New Roman" w:cs="宋体"/>
                <w:b/>
                <w:bCs/>
                <w:color w:val="auto"/>
              </w:rPr>
            </w:pPr>
            <w:r>
              <w:rPr>
                <w:rFonts w:hint="eastAsia" w:ascii="Times New Roman" w:hAnsi="Times New Roman" w:cs="宋体"/>
                <w:b/>
                <w:bCs/>
                <w:color w:val="auto"/>
              </w:rPr>
              <w:t>性质</w:t>
            </w:r>
          </w:p>
        </w:tc>
        <w:tc>
          <w:tcPr>
            <w:tcW w:w="8002" w:type="dxa"/>
            <w:gridSpan w:val="5"/>
            <w:vAlign w:val="center"/>
          </w:tcPr>
          <w:p w14:paraId="012450A0">
            <w:pPr>
              <w:spacing w:line="240" w:lineRule="atLeast"/>
              <w:rPr>
                <w:rFonts w:ascii="Times New Roman" w:hAnsi="Times New Roman" w:cs="宋体"/>
                <w:color w:val="auto"/>
              </w:rPr>
            </w:pPr>
            <w:r>
              <w:rPr>
                <w:rFonts w:hint="eastAsia" w:ascii="Times New Roman" w:hAnsi="Times New Roman" w:cs="宋体"/>
                <w:color w:val="auto"/>
              </w:rPr>
              <w:t xml:space="preserve">外观与性状：稍有粘性的棕色液体。     </w:t>
            </w:r>
          </w:p>
          <w:p w14:paraId="129B05D5">
            <w:pPr>
              <w:spacing w:line="240" w:lineRule="atLeast"/>
              <w:rPr>
                <w:rFonts w:ascii="Times New Roman" w:hAnsi="Times New Roman" w:cs="宋体"/>
                <w:color w:val="auto"/>
              </w:rPr>
            </w:pPr>
            <w:r>
              <w:rPr>
                <w:rFonts w:hint="eastAsia" w:ascii="Times New Roman" w:hAnsi="Times New Roman" w:cs="宋体"/>
                <w:color w:val="auto"/>
              </w:rPr>
              <w:t xml:space="preserve">熔点（℃）：　&lt;-18　              </w:t>
            </w:r>
          </w:p>
          <w:p w14:paraId="04CB61C0">
            <w:pPr>
              <w:spacing w:line="240" w:lineRule="atLeast"/>
              <w:rPr>
                <w:rFonts w:ascii="Times New Roman" w:hAnsi="Times New Roman" w:cs="宋体"/>
                <w:color w:val="auto"/>
              </w:rPr>
            </w:pPr>
            <w:r>
              <w:rPr>
                <w:rFonts w:hint="eastAsia" w:ascii="Times New Roman" w:hAnsi="Times New Roman" w:cs="宋体"/>
                <w:color w:val="auto"/>
              </w:rPr>
              <w:t xml:space="preserve">沸点（℃）：　282-338               </w:t>
            </w:r>
          </w:p>
          <w:p w14:paraId="01612E7E">
            <w:pPr>
              <w:spacing w:line="240" w:lineRule="atLeast"/>
              <w:rPr>
                <w:rFonts w:ascii="Times New Roman" w:hAnsi="Times New Roman" w:cs="宋体"/>
                <w:color w:val="auto"/>
              </w:rPr>
            </w:pPr>
            <w:r>
              <w:rPr>
                <w:rFonts w:hint="eastAsia" w:ascii="Times New Roman" w:hAnsi="Times New Roman" w:cs="宋体"/>
                <w:color w:val="auto"/>
              </w:rPr>
              <w:t xml:space="preserve">相对密度（水＝1）：　0.8-0.9     </w:t>
            </w:r>
          </w:p>
          <w:p w14:paraId="114396CB">
            <w:pPr>
              <w:spacing w:line="240" w:lineRule="atLeast"/>
              <w:rPr>
                <w:rFonts w:ascii="Times New Roman" w:hAnsi="Times New Roman" w:cs="宋体"/>
                <w:color w:val="auto"/>
              </w:rPr>
            </w:pPr>
            <w:r>
              <w:rPr>
                <w:rFonts w:hint="eastAsia" w:ascii="Times New Roman" w:hAnsi="Times New Roman" w:cs="宋体"/>
                <w:color w:val="auto"/>
              </w:rPr>
              <w:t xml:space="preserve">相对密度（空气＝1）：　            </w:t>
            </w:r>
          </w:p>
          <w:p w14:paraId="3478BC79">
            <w:pPr>
              <w:spacing w:line="240" w:lineRule="atLeast"/>
              <w:rPr>
                <w:rFonts w:ascii="Times New Roman" w:hAnsi="Times New Roman" w:cs="宋体"/>
                <w:color w:val="auto"/>
              </w:rPr>
            </w:pPr>
            <w:r>
              <w:rPr>
                <w:rFonts w:hint="eastAsia" w:ascii="Times New Roman" w:hAnsi="Times New Roman" w:cs="宋体"/>
                <w:color w:val="auto"/>
                <w:lang w:eastAsia="zh-CN"/>
              </w:rPr>
              <w:t>饱和蒸汽</w:t>
            </w:r>
            <w:r>
              <w:rPr>
                <w:rFonts w:hint="eastAsia" w:ascii="Times New Roman" w:hAnsi="Times New Roman" w:cs="宋体"/>
                <w:color w:val="auto"/>
              </w:rPr>
              <w:t xml:space="preserve">压（kPa）：无资料         </w:t>
            </w:r>
          </w:p>
          <w:p w14:paraId="65E6CD68">
            <w:pPr>
              <w:spacing w:line="240" w:lineRule="atLeast"/>
              <w:rPr>
                <w:rFonts w:ascii="Times New Roman" w:hAnsi="Times New Roman" w:cs="宋体"/>
                <w:color w:val="auto"/>
              </w:rPr>
            </w:pPr>
            <w:r>
              <w:rPr>
                <w:rFonts w:hint="eastAsia" w:ascii="Times New Roman" w:hAnsi="Times New Roman" w:cs="宋体"/>
                <w:color w:val="auto"/>
              </w:rPr>
              <w:t xml:space="preserve">燃烧热（Kj/mol） ：无资料 </w:t>
            </w:r>
          </w:p>
        </w:tc>
      </w:tr>
      <w:tr w14:paraId="72086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3266" w:hRule="atLeast"/>
        </w:trPr>
        <w:tc>
          <w:tcPr>
            <w:tcW w:w="1069" w:type="dxa"/>
            <w:vAlign w:val="center"/>
          </w:tcPr>
          <w:p w14:paraId="49D20F09">
            <w:pPr>
              <w:spacing w:line="240" w:lineRule="exact"/>
              <w:jc w:val="center"/>
              <w:rPr>
                <w:rFonts w:ascii="Times New Roman" w:hAnsi="Times New Roman" w:cs="宋体"/>
                <w:b/>
                <w:bCs/>
                <w:color w:val="auto"/>
              </w:rPr>
            </w:pPr>
            <w:r>
              <w:rPr>
                <w:rFonts w:hint="eastAsia" w:ascii="Times New Roman" w:hAnsi="Times New Roman" w:cs="宋体"/>
                <w:b/>
                <w:bCs/>
                <w:color w:val="auto"/>
              </w:rPr>
              <w:t>燃烧</w:t>
            </w:r>
          </w:p>
          <w:p w14:paraId="7C146F10">
            <w:pPr>
              <w:spacing w:line="240" w:lineRule="exact"/>
              <w:jc w:val="center"/>
              <w:rPr>
                <w:rFonts w:ascii="Times New Roman" w:hAnsi="Times New Roman" w:cs="宋体"/>
                <w:b/>
                <w:bCs/>
                <w:color w:val="auto"/>
              </w:rPr>
            </w:pPr>
            <w:r>
              <w:rPr>
                <w:rFonts w:hint="eastAsia" w:ascii="Times New Roman" w:hAnsi="Times New Roman" w:cs="宋体"/>
                <w:b/>
                <w:bCs/>
                <w:color w:val="auto"/>
              </w:rPr>
              <w:t>爆炸</w:t>
            </w:r>
          </w:p>
          <w:p w14:paraId="128F5798">
            <w:pPr>
              <w:spacing w:line="240" w:lineRule="exact"/>
              <w:jc w:val="center"/>
              <w:rPr>
                <w:rFonts w:ascii="Times New Roman" w:hAnsi="Times New Roman" w:cs="宋体"/>
                <w:b/>
                <w:bCs/>
                <w:color w:val="auto"/>
              </w:rPr>
            </w:pPr>
            <w:r>
              <w:rPr>
                <w:rFonts w:hint="eastAsia" w:ascii="Times New Roman" w:hAnsi="Times New Roman" w:cs="宋体"/>
                <w:b/>
                <w:bCs/>
                <w:color w:val="auto"/>
              </w:rPr>
              <w:t>危险</w:t>
            </w:r>
          </w:p>
          <w:p w14:paraId="777DFAA4">
            <w:pPr>
              <w:spacing w:line="24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8002" w:type="dxa"/>
            <w:gridSpan w:val="5"/>
          </w:tcPr>
          <w:p w14:paraId="02EC9D9C">
            <w:pPr>
              <w:spacing w:line="240" w:lineRule="exact"/>
              <w:rPr>
                <w:rFonts w:ascii="Times New Roman" w:hAnsi="Times New Roman" w:cs="宋体"/>
                <w:color w:val="auto"/>
              </w:rPr>
            </w:pPr>
            <w:r>
              <w:rPr>
                <w:rFonts w:hint="eastAsia" w:ascii="Times New Roman" w:hAnsi="Times New Roman" w:cs="宋体"/>
                <w:color w:val="auto"/>
              </w:rPr>
              <w:t xml:space="preserve">燃烧性：易燃          </w:t>
            </w:r>
          </w:p>
          <w:p w14:paraId="30AD737A">
            <w:pPr>
              <w:spacing w:line="240" w:lineRule="exact"/>
              <w:rPr>
                <w:rFonts w:ascii="Times New Roman" w:hAnsi="Times New Roman" w:cs="宋体"/>
                <w:color w:val="auto"/>
              </w:rPr>
            </w:pPr>
            <w:r>
              <w:rPr>
                <w:rFonts w:hint="eastAsia" w:ascii="Times New Roman" w:hAnsi="Times New Roman" w:cs="宋体"/>
                <w:color w:val="auto"/>
                <w:lang w:eastAsia="zh-CN"/>
              </w:rPr>
              <w:t>建筑</w:t>
            </w:r>
            <w:r>
              <w:rPr>
                <w:rFonts w:hint="eastAsia" w:ascii="Times New Roman" w:hAnsi="Times New Roman" w:cs="宋体"/>
                <w:color w:val="auto"/>
              </w:rPr>
              <w:t>火险等级：丙</w:t>
            </w:r>
            <w:r>
              <w:rPr>
                <w:rFonts w:hint="eastAsia" w:ascii="Times New Roman" w:hAnsi="Times New Roman" w:cs="宋体"/>
                <w:color w:val="auto"/>
                <w:vertAlign w:val="subscript"/>
              </w:rPr>
              <w:t>A</w:t>
            </w:r>
            <w:r>
              <w:rPr>
                <w:rFonts w:hint="eastAsia" w:ascii="Times New Roman" w:hAnsi="Times New Roman" w:cs="宋体"/>
                <w:color w:val="auto"/>
              </w:rPr>
              <w:t>类</w:t>
            </w:r>
          </w:p>
          <w:p w14:paraId="22C17047">
            <w:pPr>
              <w:spacing w:line="240" w:lineRule="exact"/>
              <w:rPr>
                <w:rFonts w:ascii="Times New Roman" w:hAnsi="Times New Roman" w:cs="宋体"/>
                <w:color w:val="auto"/>
              </w:rPr>
            </w:pPr>
            <w:r>
              <w:rPr>
                <w:rFonts w:hint="eastAsia" w:ascii="Times New Roman" w:hAnsi="Times New Roman" w:cs="宋体"/>
                <w:color w:val="auto"/>
              </w:rPr>
              <w:t>闪点：≥6</w:t>
            </w:r>
            <w:r>
              <w:rPr>
                <w:rFonts w:ascii="Times New Roman" w:hAnsi="Times New Roman" w:cs="宋体"/>
                <w:color w:val="auto"/>
              </w:rPr>
              <w:t>0</w:t>
            </w:r>
            <w:r>
              <w:rPr>
                <w:rFonts w:hint="eastAsia" w:ascii="Times New Roman" w:hAnsi="Times New Roman" w:cs="宋体"/>
                <w:color w:val="auto"/>
              </w:rPr>
              <w:t>℃</w:t>
            </w:r>
          </w:p>
          <w:p w14:paraId="448AEB49">
            <w:pPr>
              <w:spacing w:line="240" w:lineRule="exact"/>
              <w:rPr>
                <w:rFonts w:ascii="Times New Roman" w:hAnsi="Times New Roman" w:cs="宋体"/>
                <w:color w:val="auto"/>
              </w:rPr>
            </w:pPr>
            <w:r>
              <w:rPr>
                <w:rFonts w:hint="eastAsia" w:ascii="Times New Roman" w:hAnsi="Times New Roman" w:cs="宋体"/>
                <w:color w:val="auto"/>
              </w:rPr>
              <w:t>引燃温度：</w:t>
            </w:r>
            <w:r>
              <w:rPr>
                <w:rFonts w:ascii="Times New Roman" w:hAnsi="Times New Roman" w:cs="宋体"/>
                <w:color w:val="auto"/>
              </w:rPr>
              <w:t>120</w:t>
            </w:r>
            <w:r>
              <w:rPr>
                <w:rFonts w:hint="eastAsia" w:ascii="Times New Roman" w:hAnsi="Times New Roman" w:cs="宋体"/>
                <w:color w:val="auto"/>
              </w:rPr>
              <w:t>℃</w:t>
            </w:r>
          </w:p>
          <w:p w14:paraId="390DA1D6">
            <w:pPr>
              <w:spacing w:line="240" w:lineRule="exact"/>
              <w:rPr>
                <w:rFonts w:ascii="Times New Roman" w:hAnsi="Times New Roman" w:cs="宋体"/>
                <w:color w:val="auto"/>
              </w:rPr>
            </w:pPr>
            <w:r>
              <w:rPr>
                <w:rFonts w:hint="eastAsia" w:ascii="Times New Roman" w:hAnsi="Times New Roman" w:cs="宋体"/>
                <w:color w:val="auto"/>
              </w:rPr>
              <w:t xml:space="preserve">爆炸极限（V%）：0.6%-7.5%      </w:t>
            </w:r>
          </w:p>
          <w:p w14:paraId="13F8828B">
            <w:pPr>
              <w:spacing w:line="240" w:lineRule="exact"/>
              <w:rPr>
                <w:rFonts w:ascii="Times New Roman" w:hAnsi="Times New Roman" w:cs="宋体"/>
                <w:color w:val="auto"/>
              </w:rPr>
            </w:pPr>
            <w:r>
              <w:rPr>
                <w:rFonts w:hint="eastAsia" w:ascii="Times New Roman" w:hAnsi="Times New Roman" w:cs="宋体"/>
                <w:color w:val="auto"/>
              </w:rPr>
              <w:t>最小点火能（mj）：无资料</w:t>
            </w:r>
          </w:p>
          <w:p w14:paraId="08D11DA6">
            <w:pPr>
              <w:spacing w:line="240" w:lineRule="exact"/>
              <w:rPr>
                <w:rFonts w:ascii="Times New Roman" w:hAnsi="Times New Roman" w:cs="宋体"/>
                <w:color w:val="auto"/>
              </w:rPr>
            </w:pPr>
            <w:r>
              <w:rPr>
                <w:rFonts w:hint="eastAsia" w:ascii="Times New Roman" w:hAnsi="Times New Roman" w:cs="宋体"/>
                <w:color w:val="auto"/>
              </w:rPr>
              <w:t>最大爆炸压力（MPa）：无资料</w:t>
            </w:r>
          </w:p>
          <w:p w14:paraId="66A75A8E">
            <w:pPr>
              <w:spacing w:line="240" w:lineRule="exact"/>
              <w:rPr>
                <w:rFonts w:ascii="Times New Roman" w:hAnsi="Times New Roman" w:cs="宋体"/>
                <w:color w:val="auto"/>
              </w:rPr>
            </w:pPr>
            <w:r>
              <w:rPr>
                <w:rFonts w:hint="eastAsia" w:ascii="Times New Roman" w:hAnsi="Times New Roman" w:cs="宋体"/>
                <w:color w:val="auto"/>
              </w:rPr>
              <w:t>危险特性：</w:t>
            </w:r>
            <w:r>
              <w:rPr>
                <w:rFonts w:ascii="Times New Roman" w:hAnsi="Times New Roman" w:cs="宋体"/>
                <w:color w:val="auto"/>
              </w:rPr>
              <w:t>其蒸气与空气可形成爆炸性混合物，遇明火、高热能引起燃烧爆炸。其蒸气比空气重，能在较低处扩散到相当远的地方，遇火源会着火回燃。若遇高热，容器内压增大，有开裂和爆炸的危险。</w:t>
            </w:r>
          </w:p>
          <w:p w14:paraId="1DF09F8A">
            <w:pPr>
              <w:spacing w:line="240" w:lineRule="exact"/>
              <w:rPr>
                <w:rFonts w:ascii="Times New Roman" w:hAnsi="Times New Roman" w:cs="宋体"/>
                <w:color w:val="auto"/>
              </w:rPr>
            </w:pPr>
            <w:r>
              <w:rPr>
                <w:rFonts w:hint="eastAsia" w:ascii="Times New Roman" w:hAnsi="Times New Roman" w:cs="宋体"/>
                <w:color w:val="auto"/>
              </w:rPr>
              <w:t xml:space="preserve">稳定性：稳定       </w:t>
            </w:r>
          </w:p>
          <w:p w14:paraId="35B39D1D">
            <w:pPr>
              <w:spacing w:line="240" w:lineRule="exact"/>
              <w:rPr>
                <w:rFonts w:ascii="Times New Roman" w:hAnsi="Times New Roman" w:cs="宋体"/>
                <w:color w:val="auto"/>
              </w:rPr>
            </w:pPr>
            <w:r>
              <w:rPr>
                <w:rFonts w:hint="eastAsia" w:ascii="Times New Roman" w:hAnsi="Times New Roman" w:cs="宋体"/>
                <w:color w:val="auto"/>
              </w:rPr>
              <w:t xml:space="preserve">聚合危害：无        </w:t>
            </w:r>
          </w:p>
          <w:p w14:paraId="76697979">
            <w:pPr>
              <w:spacing w:line="240" w:lineRule="exact"/>
              <w:rPr>
                <w:rFonts w:ascii="Times New Roman" w:hAnsi="Times New Roman" w:cs="宋体"/>
                <w:color w:val="auto"/>
              </w:rPr>
            </w:pPr>
            <w:r>
              <w:rPr>
                <w:rFonts w:hint="eastAsia" w:ascii="Times New Roman" w:hAnsi="Times New Roman" w:cs="宋体"/>
                <w:color w:val="auto"/>
              </w:rPr>
              <w:t>禁忌物：强氧化剂、卤素。</w:t>
            </w:r>
          </w:p>
          <w:p w14:paraId="07BC4AAD">
            <w:pPr>
              <w:spacing w:line="240" w:lineRule="exact"/>
              <w:rPr>
                <w:rFonts w:ascii="Times New Roman" w:hAnsi="Times New Roman" w:cs="宋体"/>
                <w:color w:val="auto"/>
              </w:rPr>
            </w:pPr>
            <w:r>
              <w:rPr>
                <w:rFonts w:hint="eastAsia" w:ascii="Times New Roman" w:hAnsi="Times New Roman" w:cs="宋体"/>
                <w:color w:val="auto"/>
              </w:rPr>
              <w:t>灭火方法：泡沫、二氧化碳、干粉、沙土。</w:t>
            </w:r>
          </w:p>
        </w:tc>
      </w:tr>
      <w:tr w14:paraId="70018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2875" w:hRule="atLeast"/>
        </w:trPr>
        <w:tc>
          <w:tcPr>
            <w:tcW w:w="1069" w:type="dxa"/>
            <w:vAlign w:val="center"/>
          </w:tcPr>
          <w:p w14:paraId="412D462E">
            <w:pPr>
              <w:spacing w:line="240" w:lineRule="exact"/>
              <w:jc w:val="center"/>
              <w:rPr>
                <w:rFonts w:ascii="Times New Roman" w:hAnsi="Times New Roman" w:cs="宋体"/>
                <w:b/>
                <w:bCs/>
                <w:color w:val="auto"/>
              </w:rPr>
            </w:pPr>
            <w:r>
              <w:rPr>
                <w:rFonts w:hint="eastAsia" w:ascii="Times New Roman" w:hAnsi="Times New Roman" w:cs="宋体"/>
                <w:b/>
                <w:bCs/>
                <w:color w:val="auto"/>
              </w:rPr>
              <w:t>毒性</w:t>
            </w:r>
          </w:p>
          <w:p w14:paraId="7B927139">
            <w:pPr>
              <w:spacing w:line="240" w:lineRule="exact"/>
              <w:jc w:val="center"/>
              <w:rPr>
                <w:rFonts w:ascii="Times New Roman" w:hAnsi="Times New Roman" w:cs="宋体"/>
                <w:b/>
                <w:bCs/>
                <w:color w:val="auto"/>
              </w:rPr>
            </w:pPr>
            <w:r>
              <w:rPr>
                <w:rFonts w:hint="eastAsia" w:ascii="Times New Roman" w:hAnsi="Times New Roman" w:cs="宋体"/>
                <w:b/>
                <w:bCs/>
                <w:color w:val="auto"/>
              </w:rPr>
              <w:t>及</w:t>
            </w:r>
          </w:p>
          <w:p w14:paraId="0865AA12">
            <w:pPr>
              <w:spacing w:line="240" w:lineRule="exact"/>
              <w:jc w:val="center"/>
              <w:rPr>
                <w:rFonts w:ascii="Times New Roman" w:hAnsi="Times New Roman" w:cs="宋体"/>
                <w:b/>
                <w:bCs/>
                <w:color w:val="auto"/>
              </w:rPr>
            </w:pPr>
            <w:r>
              <w:rPr>
                <w:rFonts w:hint="eastAsia" w:ascii="Times New Roman" w:hAnsi="Times New Roman" w:cs="宋体"/>
                <w:b/>
                <w:bCs/>
                <w:color w:val="auto"/>
              </w:rPr>
              <w:t>健康</w:t>
            </w:r>
          </w:p>
          <w:p w14:paraId="1082EA23">
            <w:pPr>
              <w:spacing w:line="240" w:lineRule="exact"/>
              <w:jc w:val="center"/>
              <w:rPr>
                <w:rFonts w:ascii="Times New Roman" w:hAnsi="Times New Roman" w:cs="宋体"/>
                <w:b/>
                <w:bCs/>
                <w:color w:val="auto"/>
              </w:rPr>
            </w:pPr>
            <w:r>
              <w:rPr>
                <w:rFonts w:hint="eastAsia" w:ascii="Times New Roman" w:hAnsi="Times New Roman" w:cs="宋体"/>
                <w:b/>
                <w:bCs/>
                <w:color w:val="auto"/>
              </w:rPr>
              <w:t>危害</w:t>
            </w:r>
          </w:p>
          <w:p w14:paraId="6F413338">
            <w:pPr>
              <w:spacing w:line="24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8002" w:type="dxa"/>
            <w:gridSpan w:val="5"/>
            <w:vAlign w:val="center"/>
          </w:tcPr>
          <w:p w14:paraId="3272EE64">
            <w:pPr>
              <w:spacing w:line="240" w:lineRule="exact"/>
              <w:rPr>
                <w:rFonts w:ascii="Times New Roman" w:hAnsi="Times New Roman" w:cs="宋体"/>
                <w:color w:val="auto"/>
              </w:rPr>
            </w:pPr>
            <w:r>
              <w:rPr>
                <w:rFonts w:hint="eastAsia" w:ascii="Times New Roman" w:hAnsi="Times New Roman" w:cs="宋体"/>
                <w:color w:val="auto"/>
              </w:rPr>
              <w:t xml:space="preserve">接触限值：中国MAC：未制定标准。    </w:t>
            </w:r>
          </w:p>
          <w:p w14:paraId="1B0A3BEC">
            <w:pPr>
              <w:spacing w:line="240" w:lineRule="exact"/>
              <w:rPr>
                <w:rFonts w:ascii="Times New Roman" w:hAnsi="Times New Roman" w:cs="宋体"/>
                <w:color w:val="auto"/>
              </w:rPr>
            </w:pPr>
            <w:r>
              <w:rPr>
                <w:rFonts w:hint="eastAsia" w:ascii="Times New Roman" w:hAnsi="Times New Roman" w:cs="宋体"/>
                <w:color w:val="auto"/>
              </w:rPr>
              <w:t>侵入途径：吸入，食入，经皮吸收。</w:t>
            </w:r>
          </w:p>
          <w:p w14:paraId="6D2830FB">
            <w:pPr>
              <w:spacing w:line="240" w:lineRule="exact"/>
              <w:rPr>
                <w:rFonts w:ascii="Times New Roman" w:hAnsi="Times New Roman" w:cs="宋体"/>
                <w:color w:val="auto"/>
              </w:rPr>
            </w:pPr>
            <w:r>
              <w:rPr>
                <w:rFonts w:hint="eastAsia" w:ascii="Times New Roman" w:hAnsi="Times New Roman" w:cs="宋体"/>
                <w:color w:val="auto"/>
              </w:rPr>
              <w:t>健康危害：具有刺激作用。皮肤接触柴油可引起接触性皮炎，油性痤疮，吸入可引起性肺炎。能经胎盘进入胎儿血中。柴油废气可引起眼、鼻刺激症状，头晕及头痛。</w:t>
            </w:r>
          </w:p>
          <w:p w14:paraId="4BA00C26">
            <w:pPr>
              <w:spacing w:line="240" w:lineRule="exact"/>
              <w:rPr>
                <w:rFonts w:ascii="Times New Roman" w:hAnsi="Times New Roman" w:cs="宋体"/>
                <w:color w:val="auto"/>
              </w:rPr>
            </w:pPr>
            <w:r>
              <w:rPr>
                <w:rFonts w:hint="eastAsia" w:ascii="Times New Roman" w:hAnsi="Times New Roman" w:cs="宋体"/>
                <w:color w:val="auto"/>
              </w:rPr>
              <w:t>急性中毒：吸入高浓度蒸气，常先有兴奋，后转入抑制，表现为乏力、头痛、酩酊感、神志恍惚、肌肉震颤、共济运动失调；严重者出现定向力障碍、谵妄、意识模糊等；蒸气可引起眼及呼吸道刺激症状，重者出现化学性肺炎。吸入液态柴油可引起吸入性肺炎，严重时可发生肺水肿。摄入引起口腔、咽喉和胃肠道刺激症状，可出现与吸入中毒相同的中枢神经系统症状。</w:t>
            </w:r>
          </w:p>
          <w:p w14:paraId="0DF73405">
            <w:pPr>
              <w:spacing w:line="240" w:lineRule="exact"/>
              <w:rPr>
                <w:rFonts w:ascii="Times New Roman" w:hAnsi="Times New Roman" w:cs="宋体"/>
                <w:color w:val="auto"/>
              </w:rPr>
            </w:pPr>
            <w:r>
              <w:rPr>
                <w:rFonts w:hint="eastAsia" w:ascii="Times New Roman" w:hAnsi="Times New Roman" w:cs="宋体"/>
                <w:color w:val="auto"/>
              </w:rPr>
              <w:t>慢性影响：神经衰弱综合征为主要表现，还有眼及呼吸道刺激症状，接触性皮炎，皮肤干燥等。</w:t>
            </w:r>
          </w:p>
          <w:p w14:paraId="5DDB81ED">
            <w:pPr>
              <w:spacing w:line="240" w:lineRule="exact"/>
              <w:rPr>
                <w:rFonts w:ascii="Times New Roman" w:hAnsi="Times New Roman" w:cs="宋体"/>
                <w:color w:val="auto"/>
              </w:rPr>
            </w:pPr>
            <w:r>
              <w:rPr>
                <w:rFonts w:hint="eastAsia" w:ascii="Times New Roman" w:hAnsi="Times New Roman" w:cs="宋体"/>
                <w:color w:val="auto"/>
              </w:rPr>
              <w:t>环境危害：对环境有危害。对大气可造成污染。</w:t>
            </w:r>
          </w:p>
        </w:tc>
      </w:tr>
      <w:tr w14:paraId="2777D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2553" w:hRule="atLeast"/>
        </w:trPr>
        <w:tc>
          <w:tcPr>
            <w:tcW w:w="1069" w:type="dxa"/>
            <w:vAlign w:val="center"/>
          </w:tcPr>
          <w:p w14:paraId="43E6F19E">
            <w:pPr>
              <w:spacing w:line="240" w:lineRule="exact"/>
              <w:jc w:val="center"/>
              <w:rPr>
                <w:rFonts w:ascii="Times New Roman" w:hAnsi="Times New Roman" w:cs="宋体"/>
                <w:b/>
                <w:bCs/>
                <w:color w:val="auto"/>
              </w:rPr>
            </w:pPr>
            <w:r>
              <w:rPr>
                <w:rFonts w:hint="eastAsia" w:ascii="Times New Roman" w:hAnsi="Times New Roman" w:cs="宋体"/>
                <w:b/>
                <w:bCs/>
                <w:color w:val="auto"/>
              </w:rPr>
              <w:t>急救</w:t>
            </w:r>
          </w:p>
        </w:tc>
        <w:tc>
          <w:tcPr>
            <w:tcW w:w="8002" w:type="dxa"/>
            <w:gridSpan w:val="5"/>
            <w:vAlign w:val="center"/>
          </w:tcPr>
          <w:p w14:paraId="1CF6B57C">
            <w:pPr>
              <w:spacing w:line="240" w:lineRule="exact"/>
              <w:rPr>
                <w:rFonts w:ascii="Times New Roman" w:hAnsi="Times New Roman" w:cs="宋体"/>
                <w:color w:val="auto"/>
              </w:rPr>
            </w:pPr>
            <w:r>
              <w:rPr>
                <w:rFonts w:hint="eastAsia" w:ascii="Times New Roman" w:hAnsi="Times New Roman" w:cs="宋体"/>
                <w:color w:val="auto"/>
              </w:rPr>
              <w:t>皮肤接触：立即脱去所有被污染的衣物，包括鞋类。用流动清水冲洗皮肤和头发（可用肥皂）。如果出现刺激症状，就医。</w:t>
            </w:r>
          </w:p>
          <w:p w14:paraId="5C9AC74E">
            <w:pPr>
              <w:spacing w:line="240" w:lineRule="exact"/>
              <w:rPr>
                <w:rFonts w:ascii="Times New Roman" w:hAnsi="Times New Roman" w:cs="宋体"/>
                <w:color w:val="auto"/>
              </w:rPr>
            </w:pPr>
            <w:r>
              <w:rPr>
                <w:rFonts w:hint="eastAsia" w:ascii="Times New Roman" w:hAnsi="Times New Roman" w:cs="宋体"/>
                <w:color w:val="auto"/>
              </w:rPr>
              <w:t>眼睛接触：立即用流动、清洁水冲洗至少15分钟。如果疼痛持续或复发，就医，眼睛受伤后，应由专业人员取出隐形眼镜吸入：如果吸入本品气体或其燃烧产物，脱离污染区。把病人放卧位，保暖并使其安静。开始急救前，首先取出假牙等，防止阻塞气道。如果呼吸停止，立即进行人工呼吸，用活瓣气囊面罩通气或有效的袖珍面具可能效果更佳。呼吸心跳停止，立即进行心肺复苏术。送医院或寻求医生帮助。</w:t>
            </w:r>
          </w:p>
          <w:p w14:paraId="3EF6CBC7">
            <w:pPr>
              <w:spacing w:line="240" w:lineRule="exact"/>
              <w:rPr>
                <w:rFonts w:ascii="Times New Roman" w:hAnsi="Times New Roman" w:cs="宋体"/>
                <w:color w:val="auto"/>
              </w:rPr>
            </w:pPr>
            <w:r>
              <w:rPr>
                <w:rFonts w:hint="eastAsia" w:ascii="Times New Roman" w:hAnsi="Times New Roman" w:cs="宋体"/>
                <w:color w:val="auto"/>
              </w:rPr>
              <w:t>食入：禁止催吐。如果发生呕吐，让病人前倾或左侧位躺下（头部保持低位），保持呼吸道通畅，防止吸入呕吐物。仔细观察病情。禁止给有嗜睡症状或知觉降低，即正在失去知觉的病人服用液体。意识清醒者可用水漱口，然后尽量多饮水。寻求医生或医疗机构的帮助。</w:t>
            </w:r>
          </w:p>
        </w:tc>
      </w:tr>
      <w:tr w14:paraId="29161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756" w:hRule="atLeast"/>
        </w:trPr>
        <w:tc>
          <w:tcPr>
            <w:tcW w:w="1069" w:type="dxa"/>
            <w:vAlign w:val="center"/>
          </w:tcPr>
          <w:p w14:paraId="59F5FD05">
            <w:pPr>
              <w:spacing w:line="240" w:lineRule="atLeast"/>
              <w:jc w:val="center"/>
              <w:rPr>
                <w:rFonts w:ascii="Times New Roman" w:hAnsi="Times New Roman" w:cs="宋体"/>
                <w:b/>
                <w:bCs/>
                <w:color w:val="auto"/>
              </w:rPr>
            </w:pPr>
            <w:r>
              <w:rPr>
                <w:rFonts w:hint="eastAsia" w:ascii="Times New Roman" w:hAnsi="Times New Roman" w:cs="宋体"/>
                <w:b/>
                <w:bCs/>
                <w:color w:val="auto"/>
              </w:rPr>
              <w:t>泄漏</w:t>
            </w:r>
          </w:p>
          <w:p w14:paraId="134A0F6D">
            <w:pPr>
              <w:spacing w:line="240" w:lineRule="atLeast"/>
              <w:jc w:val="center"/>
              <w:rPr>
                <w:rFonts w:ascii="Times New Roman" w:hAnsi="Times New Roman" w:cs="宋体"/>
                <w:b/>
                <w:bCs/>
                <w:color w:val="auto"/>
              </w:rPr>
            </w:pPr>
            <w:r>
              <w:rPr>
                <w:rFonts w:hint="eastAsia" w:ascii="Times New Roman" w:hAnsi="Times New Roman" w:cs="宋体"/>
                <w:b/>
                <w:bCs/>
                <w:color w:val="auto"/>
              </w:rPr>
              <w:t>处置</w:t>
            </w:r>
          </w:p>
        </w:tc>
        <w:tc>
          <w:tcPr>
            <w:tcW w:w="8002" w:type="dxa"/>
            <w:gridSpan w:val="5"/>
            <w:vAlign w:val="center"/>
          </w:tcPr>
          <w:p w14:paraId="2B45C8FD">
            <w:pPr>
              <w:spacing w:line="240" w:lineRule="atLeast"/>
              <w:rPr>
                <w:rFonts w:ascii="Times New Roman" w:hAnsi="Times New Roman" w:cs="宋体"/>
                <w:color w:val="auto"/>
              </w:rPr>
            </w:pPr>
            <w:r>
              <w:rPr>
                <w:rFonts w:hint="eastAsia" w:ascii="Times New Roman" w:hAnsi="Times New Roman" w:cs="宋体"/>
                <w:color w:val="auto"/>
              </w:rPr>
              <w:t>切断一切火源，迅速撤离污染区人员至上风处。使用防毒面具，穿防静电工作服。在确保安全的前提下堵漏。用沙土或</w:t>
            </w:r>
            <w:r>
              <w:rPr>
                <w:rFonts w:hint="eastAsia" w:ascii="Times New Roman" w:hAnsi="Times New Roman" w:cs="宋体"/>
                <w:color w:val="auto"/>
                <w:lang w:eastAsia="zh-CN"/>
              </w:rPr>
              <w:t>其他不</w:t>
            </w:r>
            <w:r>
              <w:rPr>
                <w:rFonts w:hint="eastAsia" w:ascii="Times New Roman" w:hAnsi="Times New Roman" w:cs="宋体"/>
                <w:color w:val="auto"/>
              </w:rPr>
              <w:t>燃性吸附剂混合吸收，然后收集至废物处理。</w:t>
            </w:r>
          </w:p>
        </w:tc>
      </w:tr>
    </w:tbl>
    <w:p w14:paraId="1CCF05B0">
      <w:pPr>
        <w:pStyle w:val="3"/>
        <w:rPr>
          <w:color w:val="auto"/>
        </w:rPr>
      </w:pPr>
      <w:bookmarkStart w:id="49" w:name="_Toc10889"/>
      <w:bookmarkStart w:id="50" w:name="_Toc30170"/>
      <w:bookmarkStart w:id="51" w:name="_Toc15326"/>
      <w:bookmarkStart w:id="52" w:name="_Toc17924"/>
      <w:bookmarkStart w:id="53" w:name="_Toc343692252"/>
      <w:r>
        <w:rPr>
          <w:color w:val="auto"/>
        </w:rPr>
        <w:t>3.2</w:t>
      </w:r>
      <w:r>
        <w:rPr>
          <w:rFonts w:hint="eastAsia" w:cs="宋体"/>
          <w:color w:val="auto"/>
        </w:rPr>
        <w:t>危险化学品及危险工艺辨识</w:t>
      </w:r>
      <w:bookmarkEnd w:id="49"/>
      <w:bookmarkEnd w:id="50"/>
      <w:bookmarkEnd w:id="51"/>
    </w:p>
    <w:p w14:paraId="376DE7A8">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1、剧毒化学品辨识</w:t>
      </w:r>
    </w:p>
    <w:p w14:paraId="1E836943">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根据《危险化学品目录》（2015年版、202</w:t>
      </w:r>
      <w:r>
        <w:rPr>
          <w:rFonts w:hint="eastAsia" w:ascii="Times New Roman" w:hAnsi="Times New Roman" w:cs="Times New Roman"/>
          <w:color w:val="auto"/>
          <w:kern w:val="0"/>
          <w:sz w:val="28"/>
          <w:szCs w:val="28"/>
          <w:lang w:val="en-US" w:eastAsia="zh-CN"/>
        </w:rPr>
        <w:t>6</w:t>
      </w:r>
      <w:r>
        <w:rPr>
          <w:rFonts w:hint="eastAsia" w:ascii="Times New Roman" w:hAnsi="Times New Roman" w:cs="Times New Roman"/>
          <w:color w:val="auto"/>
          <w:kern w:val="0"/>
          <w:sz w:val="28"/>
          <w:szCs w:val="28"/>
        </w:rPr>
        <w:t>年调整）的规定，该站不涉及剧毒化学品。</w:t>
      </w:r>
    </w:p>
    <w:p w14:paraId="434120BB">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2、易制毒化学品辩识</w:t>
      </w:r>
    </w:p>
    <w:p w14:paraId="4FC7BC9A">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根据《易制毒化学品管理条例》的规定，该站不涉及易制毒化学品。</w:t>
      </w:r>
    </w:p>
    <w:p w14:paraId="641EEE9D">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3、易制爆危险化学品辩识</w:t>
      </w:r>
    </w:p>
    <w:p w14:paraId="6C5F976E">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根据《易制爆危险化学品名录》（2017年版）的规定，该站不涉及易制爆危险化学品。</w:t>
      </w:r>
    </w:p>
    <w:p w14:paraId="7763A1BA">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4、监控化学品辩识</w:t>
      </w:r>
    </w:p>
    <w:p w14:paraId="54D0FADC">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根据《监控化学品管理条例》的规定，该站不涉及监控化学品。</w:t>
      </w:r>
    </w:p>
    <w:p w14:paraId="5CA90272">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5、高毒物品辨识</w:t>
      </w:r>
    </w:p>
    <w:p w14:paraId="6CC23601">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依据《高毒物品目录》进行辨识，该站不涉及高毒物品。</w:t>
      </w:r>
    </w:p>
    <w:p w14:paraId="27F2F4A3">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6、重点监管的危险化学品辨识</w:t>
      </w:r>
    </w:p>
    <w:p w14:paraId="7127870F">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国家安全监管总局关于公布首批重点监管的危险化学品目录的通知》（安监总管三〔2011〕95号）、《国家安全监管总局关于公布第二批重点监管的危险化学品目录的通知》（安监总管三〔2013〕12号），该站储存、经营的汽油属于重点监管的危险化学品。</w:t>
      </w:r>
    </w:p>
    <w:p w14:paraId="21A8D824">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7、特别管控危险化学品</w:t>
      </w:r>
    </w:p>
    <w:p w14:paraId="7D6737E5">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根据《特别管控危险化学品目录（第一版）》的规定，该站储存、经营的汽油属于特别管控危险化学品。</w:t>
      </w:r>
    </w:p>
    <w:p w14:paraId="22214E8F">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8、重点监管的危险化工工艺的辨识</w:t>
      </w:r>
    </w:p>
    <w:p w14:paraId="76471055">
      <w:pPr>
        <w:spacing w:line="600" w:lineRule="exact"/>
        <w:ind w:firstLine="560" w:firstLineChars="200"/>
        <w:rPr>
          <w:rFonts w:ascii="Times New Roman" w:hAnsi="Times New Roman" w:cs="宋体"/>
          <w:color w:val="auto"/>
          <w:kern w:val="0"/>
          <w:sz w:val="28"/>
          <w:szCs w:val="28"/>
        </w:rPr>
      </w:pPr>
      <w:r>
        <w:rPr>
          <w:rFonts w:hint="eastAsia" w:ascii="Times New Roman" w:hAnsi="Times New Roman" w:cs="Times New Roman"/>
          <w:color w:val="auto"/>
          <w:kern w:val="0"/>
          <w:sz w:val="28"/>
          <w:szCs w:val="28"/>
        </w:rPr>
        <w:t>根据《国家安全监管总局关于公布首批重点监管的危险化工工艺目录的通知》（安监总管三〔2009〕116号）、《国家安全监管总局关于公布第二批重点监管危险化工工艺目录和调整首重点监管危险化工工艺中部分典型工艺的通知》（安监总管三〔2013〕3号），该站为危险化学品储存经营单位，不涉及重点监管的危险化工工艺。</w:t>
      </w:r>
    </w:p>
    <w:p w14:paraId="184B866B">
      <w:pPr>
        <w:keepNext/>
        <w:keepLines/>
        <w:spacing w:line="600" w:lineRule="exact"/>
        <w:outlineLvl w:val="1"/>
        <w:rPr>
          <w:rFonts w:ascii="Times New Roman" w:hAnsi="Times New Roman" w:cs="Times New Roman"/>
          <w:b/>
          <w:bCs/>
          <w:color w:val="auto"/>
          <w:sz w:val="28"/>
          <w:szCs w:val="28"/>
        </w:rPr>
      </w:pPr>
      <w:bookmarkStart w:id="54" w:name="_Toc9520"/>
      <w:r>
        <w:rPr>
          <w:rFonts w:ascii="Times New Roman" w:hAnsi="Times New Roman" w:cs="Times New Roman"/>
          <w:b/>
          <w:bCs/>
          <w:color w:val="auto"/>
          <w:sz w:val="28"/>
          <w:szCs w:val="28"/>
        </w:rPr>
        <w:t xml:space="preserve">3.3 </w:t>
      </w:r>
      <w:r>
        <w:rPr>
          <w:rFonts w:hint="eastAsia" w:ascii="Times New Roman" w:hAnsi="Times New Roman" w:cs="宋体"/>
          <w:b/>
          <w:bCs/>
          <w:color w:val="auto"/>
          <w:sz w:val="28"/>
          <w:szCs w:val="28"/>
        </w:rPr>
        <w:t>重大危险源辨识</w:t>
      </w:r>
      <w:bookmarkEnd w:id="52"/>
      <w:bookmarkEnd w:id="53"/>
      <w:bookmarkEnd w:id="54"/>
      <w:bookmarkStart w:id="55" w:name="_Toc32342"/>
      <w:bookmarkStart w:id="56" w:name="_Toc9706"/>
      <w:bookmarkStart w:id="57" w:name="_Toc28936"/>
      <w:bookmarkStart w:id="58" w:name="_Toc343692253"/>
    </w:p>
    <w:p w14:paraId="0ECA344F">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《危险化学品重大危险源辨识》（</w:t>
      </w:r>
      <w:r>
        <w:rPr>
          <w:rFonts w:ascii="Times New Roman" w:hAnsi="Times New Roman" w:cs="宋体"/>
          <w:color w:val="auto"/>
          <w:sz w:val="28"/>
          <w:szCs w:val="28"/>
          <w:lang w:val="zh-CN"/>
        </w:rPr>
        <w:t>GB18218-2018</w:t>
      </w:r>
      <w:r>
        <w:rPr>
          <w:rFonts w:hint="eastAsia" w:ascii="Times New Roman" w:hAnsi="Times New Roman" w:cs="宋体"/>
          <w:color w:val="auto"/>
          <w:sz w:val="28"/>
          <w:szCs w:val="28"/>
          <w:lang w:val="zh-CN"/>
        </w:rPr>
        <w:t>）规定：危险化学品重大危险源可分为生产单元危险化学品重大危险源和储存单元危险化学品重大危险源。生产单元：是指危险化学品生产、加工及使用的装置及设施之间有切断阀时，以切断阀作为分隔界限划分为独立的单元。储存单元：是指用于储存危险化学品的储罐或仓库组成的相对独立的区域，储存区以罐区防火堤为界限划分为独立的单元，仓库以独立的库房（独立建筑物）为界限划分为独立的单元。</w:t>
      </w:r>
    </w:p>
    <w:p w14:paraId="753CC03F">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《危险化学品重大危险源辨识》（</w:t>
      </w:r>
      <w:r>
        <w:rPr>
          <w:rFonts w:ascii="Times New Roman" w:hAnsi="Times New Roman" w:cs="宋体"/>
          <w:color w:val="auto"/>
          <w:sz w:val="28"/>
          <w:szCs w:val="28"/>
          <w:lang w:val="zh-CN"/>
        </w:rPr>
        <w:t>GB18218-2018</w:t>
      </w:r>
      <w:r>
        <w:rPr>
          <w:rFonts w:hint="eastAsia" w:ascii="Times New Roman" w:hAnsi="Times New Roman" w:cs="宋体"/>
          <w:color w:val="auto"/>
          <w:sz w:val="28"/>
          <w:szCs w:val="28"/>
          <w:lang w:val="zh-CN"/>
        </w:rPr>
        <w:t>）规定：若单元内存在的危险物质为多品种时，则按下式计算，若满足下面公式，则定为重大危险源。生产单元、储存单元内存在的危险化学品为多品种时，则按下式计算，若满足下面公式，则为重大危险源：</w:t>
      </w:r>
    </w:p>
    <w:p w14:paraId="2341684B">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公式：</w:t>
      </w:r>
      <w:r>
        <w:rPr>
          <w:rFonts w:ascii="Times New Roman" w:hAnsi="Times New Roman" w:cs="宋体"/>
          <w:color w:val="auto"/>
          <w:sz w:val="28"/>
          <w:szCs w:val="28"/>
          <w:lang w:val="zh-CN"/>
        </w:rPr>
        <w:t>S</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q1/Q1</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q2/Q2</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qn/Qn</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1</w:t>
      </w:r>
    </w:p>
    <w:p w14:paraId="47ED0F78">
      <w:pPr>
        <w:spacing w:line="560" w:lineRule="exact"/>
        <w:ind w:left="1679" w:leftChars="266" w:hanging="1120" w:hangingChars="4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式中：</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1</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2</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n</w:t>
      </w:r>
      <w:r>
        <w:rPr>
          <w:rFonts w:ascii="Times New Roman" w:hAnsi="Times New Roman" w:cs="宋体"/>
          <w:color w:val="auto"/>
          <w:sz w:val="28"/>
          <w:szCs w:val="28"/>
          <w:lang w:val="zh-CN"/>
        </w:rPr>
        <w:t>——</w:t>
      </w:r>
      <w:r>
        <w:rPr>
          <w:rFonts w:hint="eastAsia" w:ascii="Times New Roman" w:hAnsi="Times New Roman" w:cs="宋体"/>
          <w:color w:val="auto"/>
          <w:sz w:val="28"/>
          <w:szCs w:val="28"/>
          <w:lang w:val="zh-CN"/>
        </w:rPr>
        <w:t>每种危险物质实际存在量，</w:t>
      </w:r>
      <w:r>
        <w:rPr>
          <w:rFonts w:ascii="Times New Roman" w:hAnsi="Times New Roman" w:cs="宋体"/>
          <w:color w:val="auto"/>
          <w:sz w:val="28"/>
          <w:szCs w:val="28"/>
          <w:lang w:val="zh-CN"/>
        </w:rPr>
        <w:t>t</w:t>
      </w:r>
      <w:r>
        <w:rPr>
          <w:rFonts w:hint="eastAsia" w:ascii="Times New Roman" w:hAnsi="Times New Roman" w:cs="宋体"/>
          <w:color w:val="auto"/>
          <w:sz w:val="28"/>
          <w:szCs w:val="28"/>
          <w:lang w:val="zh-CN"/>
        </w:rPr>
        <w:t>。</w:t>
      </w:r>
    </w:p>
    <w:p w14:paraId="3FD6137C">
      <w:pPr>
        <w:spacing w:line="560" w:lineRule="exact"/>
        <w:ind w:left="1676" w:leftChars="665" w:hanging="280" w:hangingChars="100"/>
        <w:rPr>
          <w:rFonts w:ascii="Times New Roman" w:hAnsi="Times New Roman" w:cs="宋体"/>
          <w:color w:val="auto"/>
          <w:sz w:val="28"/>
          <w:szCs w:val="28"/>
          <w:lang w:val="zh-CN"/>
        </w:rPr>
      </w:pP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1</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2</w:t>
      </w:r>
      <w:r>
        <w:rPr>
          <w:rFonts w:ascii="Times New Roman" w:hAnsi="Times New Roman" w:cs="宋体"/>
          <w:color w:val="auto"/>
          <w:sz w:val="28"/>
          <w:szCs w:val="28"/>
          <w:lang w:val="zh-CN"/>
        </w:rPr>
        <w:t>...Qn——</w:t>
      </w:r>
      <w:r>
        <w:rPr>
          <w:rFonts w:hint="eastAsia" w:ascii="Times New Roman" w:hAnsi="Times New Roman" w:cs="宋体"/>
          <w:color w:val="auto"/>
          <w:sz w:val="28"/>
          <w:szCs w:val="28"/>
          <w:lang w:val="zh-CN"/>
        </w:rPr>
        <w:t>与各危险物质相对应的生产场所或储存区的临界量，</w:t>
      </w:r>
      <w:r>
        <w:rPr>
          <w:rFonts w:ascii="Times New Roman" w:hAnsi="Times New Roman" w:cs="宋体"/>
          <w:color w:val="auto"/>
          <w:sz w:val="28"/>
          <w:szCs w:val="28"/>
          <w:lang w:val="zh-CN"/>
        </w:rPr>
        <w:t>t</w:t>
      </w:r>
      <w:r>
        <w:rPr>
          <w:rFonts w:hint="eastAsia" w:ascii="Times New Roman" w:hAnsi="Times New Roman" w:cs="宋体"/>
          <w:color w:val="auto"/>
          <w:sz w:val="28"/>
          <w:szCs w:val="28"/>
          <w:lang w:val="zh-CN"/>
        </w:rPr>
        <w:t>。</w:t>
      </w:r>
    </w:p>
    <w:p w14:paraId="2F42BD6D">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1、重大危险源辨识物质范畴</w:t>
      </w:r>
    </w:p>
    <w:p w14:paraId="1B1B3704">
      <w:pPr>
        <w:rPr>
          <w:rFonts w:hint="eastAsia" w:ascii="Times New Roman" w:hAnsi="Times New Roman" w:cs="宋体"/>
          <w:color w:val="auto"/>
          <w:sz w:val="24"/>
          <w:szCs w:val="24"/>
          <w:lang w:val="zh-CN"/>
        </w:rPr>
      </w:pPr>
      <w:r>
        <w:rPr>
          <w:rFonts w:hint="eastAsia" w:ascii="Times New Roman" w:hAnsi="Times New Roman" w:cs="宋体"/>
          <w:color w:val="auto"/>
          <w:sz w:val="24"/>
          <w:szCs w:val="24"/>
          <w:lang w:val="zh-CN"/>
        </w:rPr>
        <w:br w:type="page"/>
      </w:r>
    </w:p>
    <w:p w14:paraId="112114C0">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.3-1</w:t>
      </w:r>
      <w:r>
        <w:rPr>
          <w:rFonts w:hint="eastAsia" w:ascii="Times New Roman" w:hAnsi="Times New Roman" w:cs="宋体"/>
          <w:color w:val="auto"/>
          <w:sz w:val="24"/>
          <w:szCs w:val="24"/>
          <w:lang w:val="zh-CN"/>
        </w:rPr>
        <w:t xml:space="preserve">  涉及的危险化学品重大危险源辨识范畴内的物质表</w:t>
      </w:r>
    </w:p>
    <w:tbl>
      <w:tblPr>
        <w:tblStyle w:val="25"/>
        <w:tblW w:w="9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462"/>
        <w:gridCol w:w="1148"/>
        <w:gridCol w:w="1372"/>
        <w:gridCol w:w="3250"/>
        <w:gridCol w:w="1512"/>
      </w:tblGrid>
      <w:tr w14:paraId="6EA8B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4" w:type="dxa"/>
            <w:vAlign w:val="center"/>
          </w:tcPr>
          <w:p w14:paraId="74DD46B2">
            <w:pPr>
              <w:spacing w:line="360" w:lineRule="exact"/>
              <w:jc w:val="center"/>
              <w:rPr>
                <w:rFonts w:ascii="Times New Roman" w:hAnsi="Times New Roman" w:cs="Times New Roman"/>
                <w:b/>
                <w:bCs/>
                <w:color w:val="auto"/>
              </w:rPr>
            </w:pPr>
            <w:r>
              <w:rPr>
                <w:rFonts w:ascii="Times New Roman" w:hAnsi="Times New Roman" w:cs="Times New Roman"/>
                <w:b/>
                <w:bCs/>
                <w:color w:val="auto"/>
              </w:rPr>
              <w:t>序号</w:t>
            </w:r>
          </w:p>
        </w:tc>
        <w:tc>
          <w:tcPr>
            <w:tcW w:w="1462" w:type="dxa"/>
            <w:vAlign w:val="center"/>
          </w:tcPr>
          <w:p w14:paraId="79D0CF62">
            <w:pPr>
              <w:spacing w:line="360" w:lineRule="exact"/>
              <w:jc w:val="center"/>
              <w:rPr>
                <w:rFonts w:ascii="Times New Roman" w:hAnsi="Times New Roman" w:cs="Times New Roman"/>
                <w:b/>
                <w:bCs/>
                <w:color w:val="auto"/>
              </w:rPr>
            </w:pPr>
            <w:r>
              <w:rPr>
                <w:rFonts w:ascii="Times New Roman" w:hAnsi="Times New Roman" w:cs="Times New Roman"/>
                <w:b/>
                <w:bCs/>
                <w:color w:val="auto"/>
              </w:rPr>
              <w:t>介质名称</w:t>
            </w:r>
          </w:p>
        </w:tc>
        <w:tc>
          <w:tcPr>
            <w:tcW w:w="1148" w:type="dxa"/>
            <w:vAlign w:val="center"/>
          </w:tcPr>
          <w:p w14:paraId="471AB290">
            <w:pPr>
              <w:spacing w:line="360" w:lineRule="exact"/>
              <w:jc w:val="center"/>
              <w:rPr>
                <w:rFonts w:ascii="Times New Roman" w:hAnsi="Times New Roman" w:cs="Times New Roman"/>
                <w:b/>
                <w:bCs/>
                <w:color w:val="auto"/>
              </w:rPr>
            </w:pPr>
            <w:r>
              <w:rPr>
                <w:rFonts w:ascii="Times New Roman" w:hAnsi="Times New Roman" w:cs="Times New Roman"/>
                <w:b/>
                <w:bCs/>
                <w:color w:val="auto"/>
              </w:rPr>
              <w:t>目录序号</w:t>
            </w:r>
          </w:p>
        </w:tc>
        <w:tc>
          <w:tcPr>
            <w:tcW w:w="1372" w:type="dxa"/>
            <w:vAlign w:val="center"/>
          </w:tcPr>
          <w:p w14:paraId="0846358F">
            <w:pPr>
              <w:spacing w:line="360" w:lineRule="exact"/>
              <w:jc w:val="center"/>
              <w:rPr>
                <w:rFonts w:ascii="Times New Roman" w:hAnsi="Times New Roman" w:cs="Times New Roman"/>
                <w:b/>
                <w:bCs/>
                <w:color w:val="auto"/>
              </w:rPr>
            </w:pPr>
            <w:r>
              <w:rPr>
                <w:rFonts w:ascii="Times New Roman" w:hAnsi="Times New Roman" w:cs="Times New Roman"/>
                <w:b/>
                <w:bCs/>
                <w:color w:val="auto"/>
              </w:rPr>
              <w:t>CAS号</w:t>
            </w:r>
          </w:p>
        </w:tc>
        <w:tc>
          <w:tcPr>
            <w:tcW w:w="3250" w:type="dxa"/>
            <w:vAlign w:val="center"/>
          </w:tcPr>
          <w:p w14:paraId="4F88BF5E">
            <w:pPr>
              <w:spacing w:line="360" w:lineRule="exact"/>
              <w:jc w:val="center"/>
              <w:rPr>
                <w:rFonts w:ascii="Times New Roman" w:hAnsi="Times New Roman" w:cs="Times New Roman"/>
                <w:b/>
                <w:bCs/>
                <w:color w:val="auto"/>
              </w:rPr>
            </w:pPr>
            <w:r>
              <w:rPr>
                <w:rFonts w:ascii="Times New Roman" w:hAnsi="Times New Roman" w:cs="Times New Roman"/>
                <w:b/>
                <w:bCs/>
                <w:color w:val="auto"/>
              </w:rPr>
              <w:t>危险危害</w:t>
            </w:r>
          </w:p>
        </w:tc>
        <w:tc>
          <w:tcPr>
            <w:tcW w:w="1512" w:type="dxa"/>
            <w:vAlign w:val="center"/>
          </w:tcPr>
          <w:p w14:paraId="05588F4E">
            <w:pPr>
              <w:spacing w:line="360" w:lineRule="exact"/>
              <w:jc w:val="center"/>
              <w:rPr>
                <w:rFonts w:ascii="Times New Roman" w:hAnsi="Times New Roman" w:cs="Times New Roman"/>
                <w:b/>
                <w:bCs/>
                <w:color w:val="auto"/>
              </w:rPr>
            </w:pPr>
            <w:r>
              <w:rPr>
                <w:rFonts w:ascii="Times New Roman" w:hAnsi="Times New Roman" w:cs="Times New Roman"/>
                <w:b/>
                <w:bCs/>
                <w:color w:val="auto"/>
              </w:rPr>
              <w:t>是否属辨识物</w:t>
            </w:r>
          </w:p>
        </w:tc>
      </w:tr>
      <w:tr w14:paraId="08E08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654" w:type="dxa"/>
            <w:vAlign w:val="center"/>
          </w:tcPr>
          <w:p w14:paraId="1F761359">
            <w:pPr>
              <w:pStyle w:val="58"/>
              <w:spacing w:line="240" w:lineRule="exact"/>
              <w:ind w:firstLine="0" w:firstLineChars="0"/>
              <w:jc w:val="center"/>
              <w:rPr>
                <w:color w:val="auto"/>
                <w:szCs w:val="21"/>
              </w:rPr>
            </w:pPr>
            <w:r>
              <w:rPr>
                <w:color w:val="auto"/>
                <w:szCs w:val="21"/>
              </w:rPr>
              <w:t>1</w:t>
            </w:r>
          </w:p>
        </w:tc>
        <w:tc>
          <w:tcPr>
            <w:tcW w:w="1462" w:type="dxa"/>
            <w:vAlign w:val="center"/>
          </w:tcPr>
          <w:p w14:paraId="16F870A4">
            <w:pPr>
              <w:spacing w:line="240" w:lineRule="exact"/>
              <w:jc w:val="center"/>
              <w:rPr>
                <w:rFonts w:ascii="Times New Roman" w:hAnsi="Times New Roman" w:cs="Times New Roman"/>
                <w:color w:val="auto"/>
              </w:rPr>
            </w:pPr>
            <w:r>
              <w:rPr>
                <w:rFonts w:ascii="Times New Roman" w:hAnsi="Times New Roman" w:cs="Times New Roman"/>
                <w:color w:val="auto"/>
              </w:rPr>
              <w:t>汽油</w:t>
            </w:r>
          </w:p>
        </w:tc>
        <w:tc>
          <w:tcPr>
            <w:tcW w:w="1148" w:type="dxa"/>
            <w:vAlign w:val="center"/>
          </w:tcPr>
          <w:p w14:paraId="380D852B">
            <w:pPr>
              <w:spacing w:line="240" w:lineRule="exact"/>
              <w:jc w:val="center"/>
              <w:rPr>
                <w:rFonts w:ascii="Times New Roman" w:hAnsi="Times New Roman" w:cs="Times New Roman"/>
                <w:color w:val="auto"/>
              </w:rPr>
            </w:pPr>
            <w:r>
              <w:rPr>
                <w:rFonts w:ascii="Times New Roman" w:hAnsi="Times New Roman" w:cs="Times New Roman"/>
                <w:color w:val="auto"/>
              </w:rPr>
              <w:t>1630</w:t>
            </w:r>
          </w:p>
        </w:tc>
        <w:tc>
          <w:tcPr>
            <w:tcW w:w="1372" w:type="dxa"/>
            <w:vAlign w:val="center"/>
          </w:tcPr>
          <w:p w14:paraId="4E494E39">
            <w:pPr>
              <w:spacing w:line="240" w:lineRule="exact"/>
              <w:jc w:val="center"/>
              <w:rPr>
                <w:rFonts w:ascii="Times New Roman" w:hAnsi="Times New Roman" w:cs="Times New Roman"/>
                <w:color w:val="auto"/>
              </w:rPr>
            </w:pPr>
            <w:r>
              <w:rPr>
                <w:rFonts w:ascii="Times New Roman" w:hAnsi="Times New Roman" w:cs="Times New Roman"/>
                <w:color w:val="auto"/>
                <w:kern w:val="0"/>
              </w:rPr>
              <w:t>86290-81-5</w:t>
            </w:r>
          </w:p>
        </w:tc>
        <w:tc>
          <w:tcPr>
            <w:tcW w:w="3250" w:type="dxa"/>
            <w:vAlign w:val="center"/>
          </w:tcPr>
          <w:p w14:paraId="2F1D06E7">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易燃液体</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p w14:paraId="14D569C7">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生殖细胞致突变性</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类别1B</w:t>
            </w:r>
          </w:p>
          <w:p w14:paraId="67C96DB7">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致癌性</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p w14:paraId="5FFC3A42">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吸入危害</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类别1</w:t>
            </w:r>
          </w:p>
          <w:p w14:paraId="6D1E4754">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危害水生环境</w:t>
            </w:r>
            <w:r>
              <w:rPr>
                <w:rFonts w:hint="eastAsia" w:ascii="Times New Roman" w:hAnsi="Times New Roman" w:cs="Times New Roman"/>
                <w:color w:val="auto"/>
                <w:kern w:val="0"/>
                <w:lang w:eastAsia="zh-CN"/>
              </w:rPr>
              <w:t>－</w:t>
            </w:r>
            <w:r>
              <w:rPr>
                <w:rFonts w:ascii="Times New Roman" w:hAnsi="Times New Roman" w:cs="Times New Roman"/>
                <w:color w:val="auto"/>
                <w:kern w:val="0"/>
              </w:rPr>
              <w:t>急性危害</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p w14:paraId="577D4B99">
            <w:pPr>
              <w:spacing w:line="240" w:lineRule="exact"/>
              <w:jc w:val="center"/>
              <w:rPr>
                <w:rFonts w:ascii="Times New Roman" w:hAnsi="Times New Roman" w:cs="Times New Roman"/>
                <w:color w:val="auto"/>
              </w:rPr>
            </w:pPr>
            <w:r>
              <w:rPr>
                <w:rFonts w:ascii="Times New Roman" w:hAnsi="Times New Roman" w:cs="Times New Roman"/>
                <w:color w:val="auto"/>
                <w:kern w:val="0"/>
              </w:rPr>
              <w:t>危害水生环境</w:t>
            </w:r>
            <w:r>
              <w:rPr>
                <w:rFonts w:hint="eastAsia" w:ascii="Times New Roman" w:hAnsi="Times New Roman" w:cs="Times New Roman"/>
                <w:color w:val="auto"/>
                <w:kern w:val="0"/>
                <w:lang w:eastAsia="zh-CN"/>
              </w:rPr>
              <w:t>－</w:t>
            </w:r>
            <w:r>
              <w:rPr>
                <w:rFonts w:ascii="Times New Roman" w:hAnsi="Times New Roman" w:cs="Times New Roman"/>
                <w:color w:val="auto"/>
                <w:kern w:val="0"/>
              </w:rPr>
              <w:t>长期危害</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tc>
        <w:tc>
          <w:tcPr>
            <w:tcW w:w="1512" w:type="dxa"/>
            <w:vAlign w:val="center"/>
          </w:tcPr>
          <w:p w14:paraId="44DF1F63">
            <w:pPr>
              <w:spacing w:line="240" w:lineRule="exact"/>
              <w:jc w:val="center"/>
              <w:rPr>
                <w:rFonts w:ascii="Times New Roman" w:hAnsi="Times New Roman" w:cs="Times New Roman"/>
                <w:color w:val="auto"/>
                <w:kern w:val="0"/>
              </w:rPr>
            </w:pPr>
            <w:r>
              <w:rPr>
                <w:rFonts w:ascii="Times New Roman" w:hAnsi="Times New Roman" w:cs="Times New Roman"/>
                <w:color w:val="auto"/>
                <w:kern w:val="0"/>
              </w:rPr>
              <w:t>是</w:t>
            </w:r>
          </w:p>
        </w:tc>
      </w:tr>
      <w:tr w14:paraId="2F66A3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54" w:type="dxa"/>
            <w:vAlign w:val="center"/>
          </w:tcPr>
          <w:p w14:paraId="4AF52966">
            <w:pPr>
              <w:pStyle w:val="58"/>
              <w:spacing w:line="360" w:lineRule="exact"/>
              <w:ind w:firstLine="0" w:firstLineChars="0"/>
              <w:jc w:val="center"/>
              <w:rPr>
                <w:color w:val="auto"/>
                <w:szCs w:val="21"/>
              </w:rPr>
            </w:pPr>
            <w:r>
              <w:rPr>
                <w:color w:val="auto"/>
                <w:szCs w:val="21"/>
              </w:rPr>
              <w:t>2</w:t>
            </w:r>
          </w:p>
        </w:tc>
        <w:tc>
          <w:tcPr>
            <w:tcW w:w="1462" w:type="dxa"/>
            <w:vAlign w:val="center"/>
          </w:tcPr>
          <w:p w14:paraId="0F6D7ECD">
            <w:pPr>
              <w:spacing w:line="360" w:lineRule="exact"/>
              <w:jc w:val="center"/>
              <w:rPr>
                <w:rFonts w:ascii="Times New Roman" w:hAnsi="Times New Roman" w:cs="Times New Roman"/>
                <w:color w:val="auto"/>
              </w:rPr>
            </w:pPr>
            <w:r>
              <w:rPr>
                <w:rFonts w:ascii="Times New Roman" w:hAnsi="Times New Roman" w:cs="Times New Roman"/>
                <w:color w:val="auto"/>
              </w:rPr>
              <w:t>柴油</w:t>
            </w:r>
          </w:p>
        </w:tc>
        <w:tc>
          <w:tcPr>
            <w:tcW w:w="1148" w:type="dxa"/>
            <w:vAlign w:val="center"/>
          </w:tcPr>
          <w:p w14:paraId="4E5910D2">
            <w:pPr>
              <w:spacing w:line="360" w:lineRule="exact"/>
              <w:jc w:val="center"/>
              <w:rPr>
                <w:rFonts w:ascii="Times New Roman" w:hAnsi="Times New Roman" w:cs="Times New Roman"/>
                <w:color w:val="auto"/>
              </w:rPr>
            </w:pPr>
            <w:r>
              <w:rPr>
                <w:rFonts w:ascii="Times New Roman" w:hAnsi="Times New Roman" w:cs="Times New Roman"/>
                <w:color w:val="auto"/>
              </w:rPr>
              <w:t>1674</w:t>
            </w:r>
          </w:p>
        </w:tc>
        <w:tc>
          <w:tcPr>
            <w:tcW w:w="1372" w:type="dxa"/>
            <w:vAlign w:val="center"/>
          </w:tcPr>
          <w:p w14:paraId="0160E322">
            <w:pPr>
              <w:spacing w:line="360" w:lineRule="exact"/>
              <w:jc w:val="center"/>
              <w:rPr>
                <w:rFonts w:ascii="Times New Roman" w:hAnsi="Times New Roman" w:cs="Times New Roman"/>
                <w:color w:val="auto"/>
              </w:rPr>
            </w:pPr>
            <w:r>
              <w:rPr>
                <w:rFonts w:ascii="Times New Roman" w:hAnsi="Times New Roman" w:cs="Times New Roman"/>
                <w:color w:val="auto"/>
                <w:kern w:val="0"/>
              </w:rPr>
              <w:t>--</w:t>
            </w:r>
          </w:p>
        </w:tc>
        <w:tc>
          <w:tcPr>
            <w:tcW w:w="3250" w:type="dxa"/>
            <w:vAlign w:val="center"/>
          </w:tcPr>
          <w:p w14:paraId="450C999D">
            <w:pPr>
              <w:spacing w:line="360" w:lineRule="exact"/>
              <w:jc w:val="center"/>
              <w:rPr>
                <w:rFonts w:ascii="Times New Roman" w:hAnsi="Times New Roman" w:cs="Times New Roman"/>
                <w:color w:val="auto"/>
              </w:rPr>
            </w:pPr>
            <w:r>
              <w:rPr>
                <w:rFonts w:ascii="Times New Roman" w:hAnsi="Times New Roman" w:cs="Times New Roman"/>
                <w:color w:val="auto"/>
                <w:kern w:val="0"/>
              </w:rPr>
              <w:t>易燃液体</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类别3</w:t>
            </w:r>
          </w:p>
        </w:tc>
        <w:tc>
          <w:tcPr>
            <w:tcW w:w="1512" w:type="dxa"/>
            <w:vAlign w:val="center"/>
          </w:tcPr>
          <w:p w14:paraId="49B45512">
            <w:pPr>
              <w:widowControl/>
              <w:spacing w:line="360" w:lineRule="exact"/>
              <w:jc w:val="center"/>
              <w:rPr>
                <w:rFonts w:ascii="Times New Roman" w:hAnsi="Times New Roman" w:cs="Times New Roman"/>
                <w:color w:val="auto"/>
                <w:kern w:val="0"/>
              </w:rPr>
            </w:pPr>
            <w:r>
              <w:rPr>
                <w:rFonts w:ascii="Times New Roman" w:hAnsi="Times New Roman" w:cs="Times New Roman"/>
                <w:color w:val="auto"/>
                <w:kern w:val="0"/>
              </w:rPr>
              <w:t>是</w:t>
            </w:r>
          </w:p>
        </w:tc>
      </w:tr>
    </w:tbl>
    <w:p w14:paraId="44C09F3D">
      <w:pPr>
        <w:spacing w:line="560" w:lineRule="exact"/>
        <w:ind w:firstLine="560" w:firstLineChars="200"/>
        <w:rPr>
          <w:rFonts w:ascii="Times New Roman" w:hAnsi="Times New Roman" w:cs="Times New Roman"/>
          <w:color w:val="auto"/>
          <w:sz w:val="28"/>
          <w:szCs w:val="36"/>
          <w:lang w:val="zh-CN"/>
        </w:rPr>
      </w:pPr>
      <w:bookmarkStart w:id="59" w:name="_Toc19249"/>
      <w:bookmarkStart w:id="60" w:name="_Toc23823"/>
      <w:bookmarkStart w:id="61" w:name="_Toc1761"/>
      <w:bookmarkStart w:id="62" w:name="_Toc15806"/>
      <w:r>
        <w:rPr>
          <w:rFonts w:hint="eastAsia" w:ascii="Times New Roman" w:hAnsi="Times New Roman" w:cs="Times New Roman"/>
          <w:color w:val="auto"/>
          <w:sz w:val="28"/>
          <w:szCs w:val="36"/>
        </w:rPr>
        <w:t>根据危险化学品《重大危险源辨识》（GB18218-2018）进行重大危险源辨识，该加油站列入重大危险源的物质有汽油、柴油。</w:t>
      </w:r>
      <w:bookmarkEnd w:id="59"/>
      <w:bookmarkEnd w:id="60"/>
      <w:bookmarkEnd w:id="61"/>
      <w:bookmarkEnd w:id="62"/>
    </w:p>
    <w:p w14:paraId="01D93C38">
      <w:pPr>
        <w:spacing w:line="560" w:lineRule="exact"/>
        <w:ind w:firstLine="560" w:firstLineChars="200"/>
        <w:rPr>
          <w:rFonts w:ascii="Times New Roman" w:hAnsi="Times New Roman" w:cs="宋体"/>
          <w:color w:val="auto"/>
          <w:kern w:val="0"/>
          <w:sz w:val="28"/>
          <w:szCs w:val="28"/>
        </w:rPr>
      </w:pPr>
      <w:r>
        <w:rPr>
          <w:rFonts w:hint="eastAsia" w:ascii="Times New Roman" w:hAnsi="Times New Roman" w:cs="宋体"/>
          <w:color w:val="auto"/>
          <w:kern w:val="0"/>
          <w:sz w:val="28"/>
          <w:szCs w:val="28"/>
        </w:rPr>
        <w:t>2、临界量</w:t>
      </w:r>
    </w:p>
    <w:p w14:paraId="6FA0721F">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依据加油站提供的工艺及设备情况，该加油站涉及重大危险源辨识的物质临界量如下表。</w:t>
      </w:r>
    </w:p>
    <w:p w14:paraId="7A427DB9">
      <w:pPr>
        <w:jc w:val="center"/>
        <w:rPr>
          <w:rFonts w:ascii="Times New Roman" w:hAnsi="Times New Roman" w:eastAsia="黑体" w:cs="黑体"/>
          <w:bCs/>
          <w:color w:val="auto"/>
          <w:sz w:val="24"/>
          <w:szCs w:val="24"/>
        </w:rPr>
      </w:pPr>
      <w:r>
        <w:rPr>
          <w:rFonts w:hint="eastAsia" w:ascii="Times New Roman" w:hAnsi="Times New Roman" w:cs="宋体"/>
          <w:color w:val="auto"/>
          <w:sz w:val="24"/>
          <w:szCs w:val="24"/>
        </w:rPr>
        <w:t>表3.3-2 按GB18218-2018表1列出的物质表</w:t>
      </w:r>
    </w:p>
    <w:tbl>
      <w:tblPr>
        <w:tblStyle w:val="25"/>
        <w:tblW w:w="95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43"/>
        <w:gridCol w:w="2935"/>
        <w:gridCol w:w="3082"/>
        <w:gridCol w:w="1685"/>
      </w:tblGrid>
      <w:tr w14:paraId="722AE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93" w:type="dxa"/>
            <w:vAlign w:val="center"/>
          </w:tcPr>
          <w:p w14:paraId="64B6D903">
            <w:pPr>
              <w:jc w:val="center"/>
              <w:rPr>
                <w:rFonts w:ascii="Times New Roman" w:hAnsi="Times New Roman" w:cs="Times New Roman"/>
                <w:b/>
                <w:bCs/>
                <w:color w:val="auto"/>
              </w:rPr>
            </w:pPr>
            <w:r>
              <w:rPr>
                <w:rFonts w:ascii="Times New Roman" w:hAnsi="Times New Roman" w:cs="Times New Roman"/>
                <w:b/>
                <w:bCs/>
                <w:color w:val="auto"/>
              </w:rPr>
              <w:t>序号</w:t>
            </w:r>
          </w:p>
        </w:tc>
        <w:tc>
          <w:tcPr>
            <w:tcW w:w="1143" w:type="dxa"/>
            <w:vAlign w:val="center"/>
          </w:tcPr>
          <w:p w14:paraId="185E0F86">
            <w:pPr>
              <w:jc w:val="center"/>
              <w:rPr>
                <w:rFonts w:ascii="Times New Roman" w:hAnsi="Times New Roman" w:cs="Times New Roman"/>
                <w:b/>
                <w:bCs/>
                <w:color w:val="auto"/>
              </w:rPr>
            </w:pPr>
            <w:r>
              <w:rPr>
                <w:rFonts w:hint="eastAsia" w:ascii="Times New Roman" w:hAnsi="Times New Roman" w:cs="Times New Roman"/>
                <w:b/>
                <w:bCs/>
                <w:color w:val="auto"/>
              </w:rPr>
              <w:t>顺序号</w:t>
            </w:r>
          </w:p>
        </w:tc>
        <w:tc>
          <w:tcPr>
            <w:tcW w:w="2935" w:type="dxa"/>
            <w:vAlign w:val="center"/>
          </w:tcPr>
          <w:p w14:paraId="4B7A080D">
            <w:pPr>
              <w:jc w:val="center"/>
              <w:rPr>
                <w:rFonts w:ascii="Times New Roman" w:hAnsi="Times New Roman" w:cs="Times New Roman"/>
                <w:b/>
                <w:bCs/>
                <w:color w:val="auto"/>
              </w:rPr>
            </w:pPr>
            <w:r>
              <w:rPr>
                <w:rFonts w:ascii="Times New Roman" w:hAnsi="Times New Roman" w:cs="Times New Roman"/>
                <w:b/>
                <w:bCs/>
                <w:color w:val="auto"/>
              </w:rPr>
              <w:t>介质名称</w:t>
            </w:r>
          </w:p>
        </w:tc>
        <w:tc>
          <w:tcPr>
            <w:tcW w:w="3082" w:type="dxa"/>
            <w:vAlign w:val="center"/>
          </w:tcPr>
          <w:p w14:paraId="0CFDA056">
            <w:pPr>
              <w:jc w:val="center"/>
              <w:rPr>
                <w:rFonts w:ascii="Times New Roman" w:hAnsi="Times New Roman" w:cs="Times New Roman"/>
                <w:b/>
                <w:bCs/>
                <w:color w:val="auto"/>
              </w:rPr>
            </w:pPr>
            <w:r>
              <w:rPr>
                <w:rFonts w:hint="eastAsia" w:ascii="Times New Roman" w:hAnsi="Times New Roman" w:cs="Times New Roman"/>
                <w:b/>
                <w:bCs/>
                <w:color w:val="auto"/>
              </w:rPr>
              <w:t>CAS号</w:t>
            </w:r>
          </w:p>
        </w:tc>
        <w:tc>
          <w:tcPr>
            <w:tcW w:w="1685" w:type="dxa"/>
            <w:vAlign w:val="center"/>
          </w:tcPr>
          <w:p w14:paraId="7DB2571B">
            <w:pPr>
              <w:jc w:val="center"/>
              <w:rPr>
                <w:rFonts w:ascii="Times New Roman" w:hAnsi="Times New Roman" w:cs="Times New Roman"/>
                <w:b/>
                <w:bCs/>
                <w:color w:val="auto"/>
              </w:rPr>
            </w:pPr>
            <w:r>
              <w:rPr>
                <w:rFonts w:hint="eastAsia" w:ascii="Times New Roman" w:hAnsi="Times New Roman" w:cs="Times New Roman"/>
                <w:b/>
                <w:bCs/>
                <w:color w:val="auto"/>
              </w:rPr>
              <w:t>临界量</w:t>
            </w:r>
          </w:p>
        </w:tc>
      </w:tr>
      <w:tr w14:paraId="17F61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93" w:type="dxa"/>
            <w:vAlign w:val="center"/>
          </w:tcPr>
          <w:p w14:paraId="143E424D">
            <w:pPr>
              <w:jc w:val="center"/>
              <w:rPr>
                <w:rFonts w:ascii="Times New Roman" w:hAnsi="Times New Roman" w:cs="Times New Roman"/>
                <w:color w:val="auto"/>
              </w:rPr>
            </w:pPr>
            <w:r>
              <w:rPr>
                <w:rFonts w:hint="eastAsia" w:ascii="Times New Roman" w:hAnsi="Times New Roman" w:cs="Times New Roman"/>
                <w:color w:val="auto"/>
              </w:rPr>
              <w:t>1</w:t>
            </w:r>
          </w:p>
        </w:tc>
        <w:tc>
          <w:tcPr>
            <w:tcW w:w="1143" w:type="dxa"/>
            <w:vAlign w:val="center"/>
          </w:tcPr>
          <w:p w14:paraId="1752D92A">
            <w:pPr>
              <w:jc w:val="center"/>
              <w:rPr>
                <w:rFonts w:ascii="Times New Roman" w:hAnsi="Times New Roman" w:cs="Times New Roman"/>
                <w:color w:val="auto"/>
              </w:rPr>
            </w:pPr>
            <w:r>
              <w:rPr>
                <w:rFonts w:hint="eastAsia" w:ascii="Times New Roman" w:hAnsi="Times New Roman" w:cs="Times New Roman"/>
                <w:color w:val="auto"/>
              </w:rPr>
              <w:t>66</w:t>
            </w:r>
          </w:p>
        </w:tc>
        <w:tc>
          <w:tcPr>
            <w:tcW w:w="2935" w:type="dxa"/>
            <w:vAlign w:val="center"/>
          </w:tcPr>
          <w:p w14:paraId="3E84A4CE">
            <w:pPr>
              <w:jc w:val="center"/>
              <w:rPr>
                <w:rFonts w:ascii="Times New Roman" w:hAnsi="Times New Roman" w:cs="Times New Roman"/>
                <w:color w:val="auto"/>
              </w:rPr>
            </w:pPr>
            <w:r>
              <w:rPr>
                <w:rFonts w:hint="eastAsia" w:ascii="Times New Roman" w:hAnsi="Times New Roman" w:cs="Times New Roman"/>
                <w:color w:val="auto"/>
              </w:rPr>
              <w:t>汽油</w:t>
            </w:r>
          </w:p>
        </w:tc>
        <w:tc>
          <w:tcPr>
            <w:tcW w:w="3082" w:type="dxa"/>
            <w:vAlign w:val="center"/>
          </w:tcPr>
          <w:p w14:paraId="6EC10859">
            <w:pPr>
              <w:jc w:val="center"/>
              <w:rPr>
                <w:rFonts w:ascii="Times New Roman" w:hAnsi="Times New Roman" w:cs="Times New Roman"/>
                <w:color w:val="auto"/>
              </w:rPr>
            </w:pPr>
            <w:r>
              <w:rPr>
                <w:rFonts w:ascii="Times New Roman" w:hAnsi="Times New Roman" w:cs="宋体"/>
                <w:color w:val="auto"/>
                <w:kern w:val="0"/>
              </w:rPr>
              <w:t>86290-81-5</w:t>
            </w:r>
          </w:p>
        </w:tc>
        <w:tc>
          <w:tcPr>
            <w:tcW w:w="1685" w:type="dxa"/>
            <w:vAlign w:val="center"/>
          </w:tcPr>
          <w:p w14:paraId="49541D70">
            <w:pPr>
              <w:jc w:val="center"/>
              <w:rPr>
                <w:rFonts w:ascii="Times New Roman" w:hAnsi="Times New Roman" w:cs="Times New Roman"/>
                <w:color w:val="auto"/>
              </w:rPr>
            </w:pPr>
            <w:r>
              <w:rPr>
                <w:rFonts w:hint="eastAsia" w:ascii="Times New Roman" w:hAnsi="Times New Roman" w:cs="Times New Roman"/>
                <w:color w:val="auto"/>
              </w:rPr>
              <w:t>200</w:t>
            </w:r>
          </w:p>
        </w:tc>
      </w:tr>
    </w:tbl>
    <w:p w14:paraId="6A5EF85A">
      <w:pPr>
        <w:jc w:val="center"/>
        <w:rPr>
          <w:rFonts w:ascii="Times New Roman" w:hAnsi="Times New Roman" w:cs="宋体"/>
          <w:color w:val="auto"/>
          <w:sz w:val="24"/>
          <w:szCs w:val="24"/>
        </w:rPr>
      </w:pPr>
      <w:r>
        <w:rPr>
          <w:rFonts w:hint="eastAsia" w:ascii="Times New Roman" w:hAnsi="Times New Roman" w:cs="宋体"/>
          <w:color w:val="auto"/>
          <w:sz w:val="24"/>
          <w:szCs w:val="24"/>
        </w:rPr>
        <w:t>表3.3-3 按GB18218-2018表2列出的物质表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058"/>
        <w:gridCol w:w="1248"/>
        <w:gridCol w:w="2063"/>
        <w:gridCol w:w="1148"/>
        <w:gridCol w:w="1202"/>
        <w:gridCol w:w="1904"/>
      </w:tblGrid>
      <w:tr w14:paraId="7A713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77" w:type="dxa"/>
            <w:vAlign w:val="center"/>
          </w:tcPr>
          <w:p w14:paraId="46E878CD">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序号</w:t>
            </w:r>
          </w:p>
        </w:tc>
        <w:tc>
          <w:tcPr>
            <w:tcW w:w="1058" w:type="dxa"/>
            <w:vAlign w:val="center"/>
          </w:tcPr>
          <w:p w14:paraId="52A5D496">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名称</w:t>
            </w:r>
          </w:p>
        </w:tc>
        <w:tc>
          <w:tcPr>
            <w:tcW w:w="1248" w:type="dxa"/>
            <w:vAlign w:val="center"/>
          </w:tcPr>
          <w:p w14:paraId="4663537F">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CAS</w:t>
            </w:r>
          </w:p>
        </w:tc>
        <w:tc>
          <w:tcPr>
            <w:tcW w:w="2063" w:type="dxa"/>
            <w:vAlign w:val="center"/>
          </w:tcPr>
          <w:p w14:paraId="0F7D0746">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危险性分类及说明</w:t>
            </w:r>
          </w:p>
        </w:tc>
        <w:tc>
          <w:tcPr>
            <w:tcW w:w="1148" w:type="dxa"/>
            <w:vAlign w:val="center"/>
          </w:tcPr>
          <w:p w14:paraId="16EF1BCB">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类别符号</w:t>
            </w:r>
          </w:p>
        </w:tc>
        <w:tc>
          <w:tcPr>
            <w:tcW w:w="1202" w:type="dxa"/>
            <w:vAlign w:val="center"/>
          </w:tcPr>
          <w:p w14:paraId="3E54C7D5">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临界量（t）</w:t>
            </w:r>
          </w:p>
        </w:tc>
        <w:tc>
          <w:tcPr>
            <w:tcW w:w="1904" w:type="dxa"/>
            <w:vAlign w:val="center"/>
          </w:tcPr>
          <w:p w14:paraId="2CAB05D1">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备注</w:t>
            </w:r>
          </w:p>
        </w:tc>
      </w:tr>
      <w:tr w14:paraId="0D9D9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677" w:type="dxa"/>
            <w:vAlign w:val="center"/>
          </w:tcPr>
          <w:p w14:paraId="63F3EC98">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lang w:val="zh-CN"/>
              </w:rPr>
              <w:t>1</w:t>
            </w:r>
          </w:p>
        </w:tc>
        <w:tc>
          <w:tcPr>
            <w:tcW w:w="1058" w:type="dxa"/>
            <w:vAlign w:val="center"/>
          </w:tcPr>
          <w:p w14:paraId="7711205C">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rPr>
              <w:t>柴油</w:t>
            </w:r>
          </w:p>
        </w:tc>
        <w:tc>
          <w:tcPr>
            <w:tcW w:w="1248" w:type="dxa"/>
            <w:vAlign w:val="center"/>
          </w:tcPr>
          <w:p w14:paraId="14B2DD3C">
            <w:pPr>
              <w:autoSpaceDE w:val="0"/>
              <w:autoSpaceDN w:val="0"/>
              <w:adjustRightInd w:val="0"/>
              <w:jc w:val="center"/>
              <w:rPr>
                <w:rFonts w:ascii="Times New Roman" w:hAnsi="Times New Roman" w:cs="Times New Roman"/>
                <w:color w:val="auto"/>
                <w:lang w:val="zh-CN"/>
              </w:rPr>
            </w:pPr>
            <w:r>
              <w:rPr>
                <w:rFonts w:hint="eastAsia" w:ascii="Times New Roman" w:hAnsi="Times New Roman" w:cs="宋体"/>
                <w:color w:val="auto"/>
                <w:kern w:val="0"/>
              </w:rPr>
              <w:t>68334-30-5</w:t>
            </w:r>
          </w:p>
        </w:tc>
        <w:tc>
          <w:tcPr>
            <w:tcW w:w="2063" w:type="dxa"/>
            <w:vAlign w:val="center"/>
          </w:tcPr>
          <w:p w14:paraId="2CCF9F21">
            <w:pPr>
              <w:widowControl/>
              <w:spacing w:line="340" w:lineRule="exact"/>
              <w:jc w:val="center"/>
              <w:rPr>
                <w:rFonts w:ascii="Times New Roman" w:hAnsi="Times New Roman" w:cs="宋体"/>
                <w:color w:val="auto"/>
                <w:kern w:val="0"/>
              </w:rPr>
            </w:pPr>
            <w:r>
              <w:rPr>
                <w:rFonts w:ascii="Times New Roman" w:hAnsi="Times New Roman" w:cs="宋体"/>
                <w:color w:val="auto"/>
                <w:kern w:val="0"/>
              </w:rPr>
              <w:t>易燃液体</w:t>
            </w:r>
            <w:r>
              <w:rPr>
                <w:rFonts w:hint="eastAsia" w:ascii="Times New Roman" w:hAnsi="Times New Roman" w:cs="宋体"/>
                <w:color w:val="auto"/>
                <w:kern w:val="0"/>
                <w:lang w:eastAsia="zh-CN"/>
              </w:rPr>
              <w:t>，</w:t>
            </w:r>
            <w:r>
              <w:rPr>
                <w:rFonts w:ascii="Times New Roman" w:hAnsi="Times New Roman" w:cs="宋体"/>
                <w:color w:val="auto"/>
                <w:kern w:val="0"/>
              </w:rPr>
              <w:t>类别</w:t>
            </w:r>
            <w:r>
              <w:rPr>
                <w:rFonts w:hint="eastAsia" w:ascii="Times New Roman" w:hAnsi="Times New Roman" w:cs="宋体"/>
                <w:color w:val="auto"/>
                <w:kern w:val="0"/>
              </w:rPr>
              <w:t>3</w:t>
            </w:r>
          </w:p>
        </w:tc>
        <w:tc>
          <w:tcPr>
            <w:tcW w:w="1148" w:type="dxa"/>
            <w:vAlign w:val="center"/>
          </w:tcPr>
          <w:p w14:paraId="4B440FB1">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lang w:val="zh-CN"/>
              </w:rPr>
              <w:t>W5.4</w:t>
            </w:r>
          </w:p>
        </w:tc>
        <w:tc>
          <w:tcPr>
            <w:tcW w:w="1202" w:type="dxa"/>
            <w:vAlign w:val="center"/>
          </w:tcPr>
          <w:p w14:paraId="6225AFDC">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lang w:val="zh-CN"/>
              </w:rPr>
              <w:t>5000</w:t>
            </w:r>
          </w:p>
        </w:tc>
        <w:tc>
          <w:tcPr>
            <w:tcW w:w="1904" w:type="dxa"/>
            <w:vAlign w:val="center"/>
          </w:tcPr>
          <w:p w14:paraId="07830384">
            <w:pPr>
              <w:autoSpaceDE w:val="0"/>
              <w:autoSpaceDN w:val="0"/>
              <w:adjustRightInd w:val="0"/>
              <w:jc w:val="center"/>
              <w:rPr>
                <w:rFonts w:ascii="Times New Roman" w:hAnsi="Times New Roman" w:cs="Times New Roman"/>
                <w:color w:val="auto"/>
                <w:lang w:val="zh-CN"/>
              </w:rPr>
            </w:pPr>
          </w:p>
        </w:tc>
      </w:tr>
    </w:tbl>
    <w:p w14:paraId="7C333A02">
      <w:pPr>
        <w:spacing w:line="560" w:lineRule="exact"/>
        <w:ind w:firstLine="560" w:firstLineChars="200"/>
        <w:rPr>
          <w:rFonts w:ascii="Times New Roman" w:hAnsi="Times New Roman" w:cs="宋体"/>
          <w:color w:val="auto"/>
          <w:kern w:val="0"/>
          <w:sz w:val="28"/>
          <w:szCs w:val="28"/>
        </w:rPr>
      </w:pPr>
      <w:r>
        <w:rPr>
          <w:rFonts w:hint="eastAsia" w:ascii="Times New Roman" w:hAnsi="Times New Roman" w:cs="宋体"/>
          <w:color w:val="auto"/>
          <w:kern w:val="0"/>
          <w:sz w:val="28"/>
          <w:szCs w:val="28"/>
        </w:rPr>
        <w:t>3、单元划分</w:t>
      </w:r>
    </w:p>
    <w:p w14:paraId="536E0944">
      <w:pPr>
        <w:spacing w:line="56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该站单元划</w:t>
      </w:r>
      <w:r>
        <w:rPr>
          <w:rFonts w:hint="eastAsia" w:ascii="Times New Roman" w:hAnsi="Times New Roman" w:cs="宋体"/>
          <w:color w:val="auto"/>
          <w:sz w:val="28"/>
          <w:szCs w:val="28"/>
          <w:lang w:eastAsia="zh-CN"/>
        </w:rPr>
        <w:t>分</w:t>
      </w:r>
      <w:r>
        <w:rPr>
          <w:rFonts w:hint="eastAsia" w:ascii="Times New Roman" w:hAnsi="Times New Roman" w:cs="宋体"/>
          <w:color w:val="auto"/>
          <w:sz w:val="28"/>
          <w:szCs w:val="28"/>
        </w:rPr>
        <w:t>为生产单元和储存单元，加油罩棚区为生产单元，埋地油罐区为储存单元。</w:t>
      </w:r>
    </w:p>
    <w:p w14:paraId="7FBEBD93">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（1）储存单元</w:t>
      </w:r>
    </w:p>
    <w:p w14:paraId="4ED9C6A2">
      <w:pPr>
        <w:spacing w:line="240" w:lineRule="atLeast"/>
        <w:jc w:val="center"/>
        <w:rPr>
          <w:rFonts w:ascii="Times New Roman" w:hAnsi="Times New Roman" w:cs="宋体"/>
          <w:color w:val="auto"/>
          <w:sz w:val="24"/>
          <w:szCs w:val="24"/>
        </w:rPr>
      </w:pPr>
      <w:r>
        <w:rPr>
          <w:rFonts w:hint="eastAsia" w:ascii="Times New Roman" w:hAnsi="Times New Roman" w:cs="宋体"/>
          <w:color w:val="auto"/>
          <w:sz w:val="24"/>
          <w:szCs w:val="24"/>
        </w:rPr>
        <w:t>表3.3-4 储存单元划分表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624"/>
        <w:gridCol w:w="4908"/>
        <w:gridCol w:w="1262"/>
      </w:tblGrid>
      <w:tr w14:paraId="3188B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65" w:type="dxa"/>
            <w:vAlign w:val="center"/>
          </w:tcPr>
          <w:p w14:paraId="00457299">
            <w:pPr>
              <w:jc w:val="center"/>
              <w:rPr>
                <w:rFonts w:ascii="Times New Roman" w:hAnsi="Times New Roman" w:cs="Times New Roman"/>
                <w:b/>
                <w:bCs/>
                <w:color w:val="auto"/>
              </w:rPr>
            </w:pPr>
            <w:r>
              <w:rPr>
                <w:rFonts w:ascii="Times New Roman" w:hAnsi="Times New Roman" w:cs="Times New Roman"/>
                <w:b/>
                <w:bCs/>
                <w:color w:val="auto"/>
              </w:rPr>
              <w:t>序号</w:t>
            </w:r>
          </w:p>
        </w:tc>
        <w:tc>
          <w:tcPr>
            <w:tcW w:w="1624" w:type="dxa"/>
            <w:vAlign w:val="center"/>
          </w:tcPr>
          <w:p w14:paraId="45603056">
            <w:pPr>
              <w:jc w:val="center"/>
              <w:rPr>
                <w:rFonts w:ascii="Times New Roman" w:hAnsi="Times New Roman" w:cs="Times New Roman"/>
                <w:b/>
                <w:bCs/>
                <w:color w:val="auto"/>
              </w:rPr>
            </w:pPr>
            <w:r>
              <w:rPr>
                <w:rFonts w:ascii="Times New Roman" w:hAnsi="Times New Roman" w:cs="Times New Roman"/>
                <w:b/>
                <w:bCs/>
                <w:color w:val="auto"/>
              </w:rPr>
              <w:t>单元名称</w:t>
            </w:r>
          </w:p>
        </w:tc>
        <w:tc>
          <w:tcPr>
            <w:tcW w:w="4908" w:type="dxa"/>
            <w:vAlign w:val="center"/>
          </w:tcPr>
          <w:p w14:paraId="1DEE7B6D">
            <w:pPr>
              <w:jc w:val="center"/>
              <w:rPr>
                <w:rFonts w:ascii="Times New Roman" w:hAnsi="Times New Roman" w:cs="Times New Roman"/>
                <w:b/>
                <w:bCs/>
                <w:color w:val="auto"/>
              </w:rPr>
            </w:pPr>
            <w:r>
              <w:rPr>
                <w:rFonts w:ascii="Times New Roman" w:hAnsi="Times New Roman" w:cs="Times New Roman"/>
                <w:b/>
                <w:bCs/>
                <w:color w:val="auto"/>
              </w:rPr>
              <w:t>基本情况</w:t>
            </w:r>
          </w:p>
        </w:tc>
        <w:tc>
          <w:tcPr>
            <w:tcW w:w="1262" w:type="dxa"/>
            <w:vAlign w:val="center"/>
          </w:tcPr>
          <w:p w14:paraId="198DBB18">
            <w:pPr>
              <w:jc w:val="center"/>
              <w:rPr>
                <w:rFonts w:ascii="Times New Roman" w:hAnsi="Times New Roman" w:cs="Times New Roman"/>
                <w:b/>
                <w:bCs/>
                <w:color w:val="auto"/>
              </w:rPr>
            </w:pPr>
            <w:r>
              <w:rPr>
                <w:rFonts w:ascii="Times New Roman" w:hAnsi="Times New Roman" w:cs="Times New Roman"/>
                <w:b/>
                <w:bCs/>
                <w:color w:val="auto"/>
              </w:rPr>
              <w:t>备注</w:t>
            </w:r>
          </w:p>
        </w:tc>
      </w:tr>
      <w:tr w14:paraId="30746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65" w:type="dxa"/>
            <w:vAlign w:val="center"/>
          </w:tcPr>
          <w:p w14:paraId="70F6AAD8">
            <w:pPr>
              <w:jc w:val="center"/>
              <w:rPr>
                <w:rFonts w:ascii="Times New Roman" w:hAnsi="Times New Roman" w:cs="Times New Roman"/>
                <w:color w:val="auto"/>
              </w:rPr>
            </w:pPr>
            <w:r>
              <w:rPr>
                <w:rFonts w:ascii="Times New Roman" w:hAnsi="Times New Roman" w:cs="Times New Roman"/>
                <w:color w:val="auto"/>
              </w:rPr>
              <w:t>1</w:t>
            </w:r>
          </w:p>
        </w:tc>
        <w:tc>
          <w:tcPr>
            <w:tcW w:w="1624" w:type="dxa"/>
            <w:vAlign w:val="center"/>
          </w:tcPr>
          <w:p w14:paraId="03C22C81">
            <w:pPr>
              <w:jc w:val="center"/>
              <w:rPr>
                <w:rFonts w:ascii="Times New Roman" w:hAnsi="Times New Roman" w:cs="Times New Roman"/>
                <w:color w:val="auto"/>
              </w:rPr>
            </w:pPr>
            <w:r>
              <w:rPr>
                <w:rFonts w:ascii="Times New Roman" w:hAnsi="Times New Roman" w:cs="Times New Roman"/>
                <w:color w:val="auto"/>
              </w:rPr>
              <w:t>油储罐区</w:t>
            </w:r>
          </w:p>
        </w:tc>
        <w:tc>
          <w:tcPr>
            <w:tcW w:w="4908" w:type="dxa"/>
            <w:vAlign w:val="center"/>
          </w:tcPr>
          <w:p w14:paraId="7E386C89">
            <w:pPr>
              <w:jc w:val="center"/>
              <w:rPr>
                <w:rFonts w:ascii="Times New Roman" w:hAnsi="Times New Roman" w:cs="Times New Roman"/>
                <w:color w:val="auto"/>
              </w:rPr>
            </w:pPr>
            <w:r>
              <w:rPr>
                <w:rFonts w:hint="eastAsia" w:ascii="Times New Roman" w:hAnsi="Times New Roman" w:cs="Times New Roman"/>
                <w:color w:val="auto"/>
                <w:lang w:val="en-US" w:eastAsia="zh-CN"/>
              </w:rPr>
              <w:t>3</w:t>
            </w:r>
            <w:r>
              <w:rPr>
                <w:rFonts w:hint="eastAsia" w:ascii="Times New Roman" w:hAnsi="Times New Roman" w:cs="Times New Roman"/>
                <w:color w:val="auto"/>
              </w:rPr>
              <w:t>0m</w:t>
            </w:r>
            <w:r>
              <w:rPr>
                <w:rFonts w:hint="eastAsia" w:ascii="Times New Roman" w:hAnsi="Times New Roman" w:cs="Times New Roman"/>
                <w:color w:val="auto"/>
                <w:vertAlign w:val="superscript"/>
              </w:rPr>
              <w:t>3</w:t>
            </w:r>
            <w:r>
              <w:rPr>
                <w:rFonts w:hint="eastAsia" w:ascii="Times New Roman" w:hAnsi="Times New Roman" w:cs="Times New Roman"/>
                <w:color w:val="auto"/>
              </w:rPr>
              <w:t>的柴油储罐1个、</w:t>
            </w:r>
            <w:r>
              <w:rPr>
                <w:rFonts w:hint="eastAsia" w:ascii="Times New Roman" w:hAnsi="Times New Roman" w:cs="Times New Roman"/>
                <w:color w:val="auto"/>
                <w:lang w:val="en-US" w:eastAsia="zh-CN"/>
              </w:rPr>
              <w:t>3</w:t>
            </w:r>
            <w:r>
              <w:rPr>
                <w:rFonts w:hint="eastAsia" w:ascii="Times New Roman" w:hAnsi="Times New Roman" w:cs="Times New Roman"/>
                <w:color w:val="auto"/>
              </w:rPr>
              <w:t>0m</w:t>
            </w:r>
            <w:r>
              <w:rPr>
                <w:rFonts w:hint="eastAsia" w:ascii="Times New Roman" w:hAnsi="Times New Roman" w:cs="Times New Roman"/>
                <w:color w:val="auto"/>
                <w:vertAlign w:val="superscript"/>
              </w:rPr>
              <w:t>3</w:t>
            </w:r>
            <w:r>
              <w:rPr>
                <w:rFonts w:hint="eastAsia" w:ascii="Times New Roman" w:hAnsi="Times New Roman" w:cs="Times New Roman"/>
                <w:color w:val="auto"/>
              </w:rPr>
              <w:t>的汽油储罐</w:t>
            </w:r>
            <w:r>
              <w:rPr>
                <w:rFonts w:hint="eastAsia" w:ascii="Times New Roman" w:hAnsi="Times New Roman" w:cs="Times New Roman"/>
                <w:color w:val="auto"/>
                <w:lang w:val="en-US" w:eastAsia="zh-CN"/>
              </w:rPr>
              <w:t>2</w:t>
            </w:r>
            <w:r>
              <w:rPr>
                <w:rFonts w:hint="eastAsia" w:ascii="Times New Roman" w:hAnsi="Times New Roman" w:cs="Times New Roman"/>
                <w:color w:val="auto"/>
              </w:rPr>
              <w:t>个</w:t>
            </w:r>
          </w:p>
        </w:tc>
        <w:tc>
          <w:tcPr>
            <w:tcW w:w="1262" w:type="dxa"/>
            <w:vAlign w:val="center"/>
          </w:tcPr>
          <w:p w14:paraId="1C0922BE">
            <w:pPr>
              <w:jc w:val="center"/>
              <w:rPr>
                <w:rFonts w:ascii="Times New Roman" w:hAnsi="Times New Roman" w:cs="Times New Roman"/>
                <w:color w:val="auto"/>
              </w:rPr>
            </w:pPr>
          </w:p>
        </w:tc>
      </w:tr>
    </w:tbl>
    <w:p w14:paraId="1DAD3271">
      <w:pPr>
        <w:spacing w:line="560" w:lineRule="exact"/>
        <w:ind w:firstLine="536" w:firstLineChars="200"/>
        <w:rPr>
          <w:rFonts w:ascii="Times New Roman" w:hAnsi="Times New Roman" w:cs="Times New Roman"/>
          <w:color w:val="auto"/>
          <w:sz w:val="28"/>
          <w:szCs w:val="28"/>
          <w:lang w:val="zh-CN"/>
        </w:rPr>
      </w:pPr>
      <w:r>
        <w:rPr>
          <w:rFonts w:ascii="Times New Roman" w:hAnsi="Times New Roman" w:cs="Times New Roman"/>
          <w:color w:val="auto"/>
          <w:spacing w:val="-6"/>
          <w:sz w:val="28"/>
          <w:szCs w:val="28"/>
        </w:rPr>
        <w:t>该</w:t>
      </w:r>
      <w:r>
        <w:rPr>
          <w:rFonts w:ascii="Times New Roman" w:hAnsi="Times New Roman" w:cs="Times New Roman"/>
          <w:color w:val="auto"/>
          <w:spacing w:val="-6"/>
          <w:sz w:val="28"/>
          <w:szCs w:val="28"/>
          <w:lang w:val="zh-CN"/>
        </w:rPr>
        <w:t>加油站设</w:t>
      </w:r>
      <w:r>
        <w:rPr>
          <w:rFonts w:hint="eastAsia" w:ascii="Times New Roman" w:hAnsi="Times New Roman" w:cs="Times New Roman"/>
          <w:color w:val="auto"/>
          <w:spacing w:val="-6"/>
          <w:sz w:val="28"/>
          <w:szCs w:val="28"/>
          <w:lang w:val="en-US" w:eastAsia="zh-CN"/>
        </w:rPr>
        <w:t>2</w:t>
      </w:r>
      <w:r>
        <w:rPr>
          <w:rFonts w:ascii="Times New Roman" w:hAnsi="Times New Roman" w:cs="Times New Roman"/>
          <w:color w:val="auto"/>
          <w:spacing w:val="-6"/>
          <w:sz w:val="28"/>
          <w:szCs w:val="28"/>
          <w:lang w:val="zh-CN"/>
        </w:rPr>
        <w:t>个汽油储罐，汽油最大储存量为</w:t>
      </w:r>
      <w:r>
        <w:rPr>
          <w:rFonts w:hint="eastAsia" w:ascii="Times New Roman" w:hAnsi="Times New Roman" w:cs="Times New Roman"/>
          <w:color w:val="auto"/>
          <w:spacing w:val="-6"/>
          <w:sz w:val="28"/>
          <w:szCs w:val="28"/>
          <w:lang w:val="en-US" w:eastAsia="zh-CN"/>
        </w:rPr>
        <w:t>6</w:t>
      </w:r>
      <w:r>
        <w:rPr>
          <w:rFonts w:hint="eastAsia" w:ascii="Times New Roman" w:hAnsi="Times New Roman" w:cs="Times New Roman"/>
          <w:color w:val="auto"/>
          <w:spacing w:val="-6"/>
          <w:sz w:val="28"/>
          <w:szCs w:val="28"/>
        </w:rPr>
        <w:t>0</w:t>
      </w:r>
      <w:r>
        <w:rPr>
          <w:rFonts w:ascii="Times New Roman" w:hAnsi="Times New Roman" w:cs="Times New Roman"/>
          <w:color w:val="auto"/>
          <w:spacing w:val="-6"/>
          <w:sz w:val="28"/>
          <w:szCs w:val="28"/>
          <w:lang w:val="zh-CN"/>
        </w:rPr>
        <w:t>m</w:t>
      </w:r>
      <w:r>
        <w:rPr>
          <w:rFonts w:ascii="Times New Roman" w:hAnsi="Times New Roman" w:cs="Times New Roman"/>
          <w:color w:val="auto"/>
          <w:spacing w:val="-6"/>
          <w:sz w:val="28"/>
          <w:szCs w:val="28"/>
          <w:vertAlign w:val="superscript"/>
          <w:lang w:val="zh-CN"/>
        </w:rPr>
        <w:t>3</w:t>
      </w:r>
      <w:r>
        <w:rPr>
          <w:rFonts w:ascii="Times New Roman" w:hAnsi="Times New Roman" w:cs="Times New Roman"/>
          <w:color w:val="auto"/>
          <w:spacing w:val="-6"/>
          <w:sz w:val="28"/>
          <w:szCs w:val="28"/>
          <w:lang w:val="zh-CN"/>
        </w:rPr>
        <w:t>，汽油的相对密度（水＝1）：0.70-0.79，以0.75算，</w:t>
      </w:r>
      <w:r>
        <w:rPr>
          <w:rFonts w:ascii="Times New Roman" w:hAnsi="Times New Roman" w:cs="Times New Roman"/>
          <w:color w:val="auto"/>
          <w:spacing w:val="-6"/>
          <w:sz w:val="28"/>
          <w:szCs w:val="28"/>
        </w:rPr>
        <w:t>最大量</w:t>
      </w:r>
      <w:r>
        <w:rPr>
          <w:rFonts w:ascii="Times New Roman" w:hAnsi="Times New Roman" w:cs="Times New Roman"/>
          <w:color w:val="auto"/>
          <w:spacing w:val="-6"/>
          <w:sz w:val="28"/>
          <w:szCs w:val="28"/>
          <w:lang w:val="zh-CN"/>
        </w:rPr>
        <w:t>为</w:t>
      </w:r>
      <w:r>
        <w:rPr>
          <w:rFonts w:hint="eastAsia" w:ascii="Times New Roman" w:hAnsi="Times New Roman" w:cs="Times New Roman"/>
          <w:color w:val="auto"/>
          <w:spacing w:val="-6"/>
          <w:sz w:val="28"/>
          <w:szCs w:val="28"/>
          <w:lang w:val="en-US" w:eastAsia="zh-CN"/>
        </w:rPr>
        <w:t>45</w:t>
      </w:r>
      <w:r>
        <w:rPr>
          <w:rFonts w:ascii="Times New Roman" w:hAnsi="Times New Roman" w:cs="Times New Roman"/>
          <w:color w:val="auto"/>
          <w:spacing w:val="-6"/>
          <w:sz w:val="28"/>
          <w:szCs w:val="28"/>
        </w:rPr>
        <w:t>t</w:t>
      </w:r>
      <w:r>
        <w:rPr>
          <w:rFonts w:ascii="Times New Roman" w:hAnsi="Times New Roman" w:cs="Times New Roman"/>
          <w:color w:val="auto"/>
          <w:spacing w:val="-6"/>
          <w:sz w:val="28"/>
          <w:szCs w:val="28"/>
          <w:lang w:val="zh-CN"/>
        </w:rPr>
        <w:t>；</w:t>
      </w:r>
      <w:r>
        <w:rPr>
          <w:rFonts w:hint="eastAsia" w:ascii="Times New Roman" w:hAnsi="Times New Roman" w:cs="Times New Roman"/>
          <w:color w:val="auto"/>
          <w:spacing w:val="-6"/>
          <w:sz w:val="28"/>
          <w:szCs w:val="28"/>
        </w:rPr>
        <w:t>1</w:t>
      </w:r>
      <w:r>
        <w:rPr>
          <w:rFonts w:ascii="Times New Roman" w:hAnsi="Times New Roman" w:cs="Times New Roman"/>
          <w:color w:val="auto"/>
          <w:spacing w:val="-6"/>
          <w:sz w:val="28"/>
          <w:szCs w:val="28"/>
          <w:lang w:val="zh-CN"/>
        </w:rPr>
        <w:t>个柴油储罐，柴油最大储存量为</w:t>
      </w:r>
      <w:r>
        <w:rPr>
          <w:rFonts w:hint="eastAsia" w:ascii="Times New Roman" w:hAnsi="Times New Roman" w:cs="Times New Roman"/>
          <w:color w:val="auto"/>
          <w:spacing w:val="-6"/>
          <w:sz w:val="28"/>
          <w:szCs w:val="28"/>
          <w:lang w:val="en-US" w:eastAsia="zh-CN"/>
        </w:rPr>
        <w:t>3</w:t>
      </w:r>
      <w:r>
        <w:rPr>
          <w:rFonts w:hint="eastAsia" w:ascii="Times New Roman" w:hAnsi="Times New Roman" w:cs="Times New Roman"/>
          <w:color w:val="auto"/>
          <w:spacing w:val="-6"/>
          <w:sz w:val="28"/>
          <w:szCs w:val="28"/>
        </w:rPr>
        <w:t>0</w:t>
      </w:r>
      <w:r>
        <w:rPr>
          <w:rFonts w:ascii="Times New Roman" w:hAnsi="Times New Roman" w:cs="Times New Roman"/>
          <w:color w:val="auto"/>
          <w:spacing w:val="-6"/>
          <w:sz w:val="28"/>
          <w:szCs w:val="28"/>
          <w:lang w:val="zh-CN"/>
        </w:rPr>
        <w:t>m</w:t>
      </w:r>
      <w:r>
        <w:rPr>
          <w:rFonts w:ascii="Times New Roman" w:hAnsi="Times New Roman" w:cs="Times New Roman"/>
          <w:color w:val="auto"/>
          <w:spacing w:val="-6"/>
          <w:sz w:val="28"/>
          <w:szCs w:val="28"/>
          <w:vertAlign w:val="superscript"/>
          <w:lang w:val="zh-CN"/>
        </w:rPr>
        <w:t>3</w:t>
      </w:r>
      <w:r>
        <w:rPr>
          <w:rFonts w:ascii="Times New Roman" w:hAnsi="Times New Roman" w:cs="Times New Roman"/>
          <w:color w:val="auto"/>
          <w:spacing w:val="-6"/>
          <w:sz w:val="28"/>
          <w:szCs w:val="28"/>
          <w:lang w:val="zh-CN"/>
        </w:rPr>
        <w:t>，柴油的相对密度（水＝1）：0.8-0.9，以0.8</w:t>
      </w:r>
      <w:r>
        <w:rPr>
          <w:rFonts w:ascii="Times New Roman" w:hAnsi="Times New Roman" w:cs="Times New Roman"/>
          <w:color w:val="auto"/>
          <w:spacing w:val="-6"/>
          <w:sz w:val="28"/>
          <w:szCs w:val="28"/>
        </w:rPr>
        <w:t>5</w:t>
      </w:r>
      <w:r>
        <w:rPr>
          <w:rFonts w:ascii="Times New Roman" w:hAnsi="Times New Roman" w:cs="Times New Roman"/>
          <w:color w:val="auto"/>
          <w:spacing w:val="-6"/>
          <w:sz w:val="28"/>
          <w:szCs w:val="28"/>
          <w:lang w:val="zh-CN"/>
        </w:rPr>
        <w:t>算，</w:t>
      </w:r>
      <w:r>
        <w:rPr>
          <w:rFonts w:ascii="Times New Roman" w:hAnsi="Times New Roman" w:cs="Times New Roman"/>
          <w:color w:val="auto"/>
          <w:spacing w:val="-6"/>
          <w:sz w:val="28"/>
          <w:szCs w:val="28"/>
        </w:rPr>
        <w:t>最大量</w:t>
      </w:r>
      <w:r>
        <w:rPr>
          <w:rFonts w:ascii="Times New Roman" w:hAnsi="Times New Roman" w:cs="Times New Roman"/>
          <w:color w:val="auto"/>
          <w:spacing w:val="-6"/>
          <w:sz w:val="28"/>
          <w:szCs w:val="28"/>
          <w:lang w:val="zh-CN"/>
        </w:rPr>
        <w:t>为</w:t>
      </w:r>
      <w:r>
        <w:rPr>
          <w:rFonts w:hint="eastAsia" w:ascii="Times New Roman" w:hAnsi="Times New Roman" w:cs="Times New Roman"/>
          <w:color w:val="auto"/>
          <w:spacing w:val="-6"/>
          <w:sz w:val="28"/>
          <w:szCs w:val="28"/>
          <w:lang w:val="en-US" w:eastAsia="zh-CN"/>
        </w:rPr>
        <w:t>25.5</w:t>
      </w:r>
      <w:r>
        <w:rPr>
          <w:rFonts w:ascii="Times New Roman" w:hAnsi="Times New Roman" w:cs="Times New Roman"/>
          <w:color w:val="auto"/>
          <w:spacing w:val="-6"/>
          <w:sz w:val="28"/>
          <w:szCs w:val="28"/>
        </w:rPr>
        <w:t>t</w:t>
      </w:r>
      <w:r>
        <w:rPr>
          <w:rFonts w:ascii="Times New Roman" w:hAnsi="Times New Roman" w:cs="Times New Roman"/>
          <w:color w:val="auto"/>
          <w:sz w:val="28"/>
          <w:szCs w:val="28"/>
          <w:lang w:val="zh-CN"/>
        </w:rPr>
        <w:t>。</w:t>
      </w:r>
    </w:p>
    <w:p w14:paraId="7D1044E5">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rPr>
        <w:t>（2）生产单元</w:t>
      </w:r>
      <w:r>
        <w:rPr>
          <w:rFonts w:hint="eastAsia" w:ascii="Times New Roman" w:hAnsi="Times New Roman" w:cs="宋体"/>
          <w:color w:val="auto"/>
          <w:sz w:val="28"/>
          <w:szCs w:val="28"/>
          <w:lang w:val="zh-CN"/>
        </w:rPr>
        <w:t>：</w:t>
      </w:r>
    </w:p>
    <w:p w14:paraId="3C425864">
      <w:pPr>
        <w:jc w:val="center"/>
        <w:rPr>
          <w:rFonts w:ascii="Times New Roman" w:hAnsi="Times New Roman" w:cs="宋体"/>
          <w:color w:val="auto"/>
          <w:sz w:val="24"/>
          <w:szCs w:val="24"/>
        </w:rPr>
      </w:pPr>
      <w:r>
        <w:rPr>
          <w:rFonts w:hint="eastAsia" w:ascii="Times New Roman" w:hAnsi="Times New Roman" w:cs="宋体"/>
          <w:color w:val="auto"/>
          <w:sz w:val="24"/>
          <w:szCs w:val="24"/>
        </w:rPr>
        <w:t>表3.3-5 生产单元划分表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2"/>
        <w:gridCol w:w="2089"/>
        <w:gridCol w:w="2620"/>
        <w:gridCol w:w="3157"/>
      </w:tblGrid>
      <w:tr w14:paraId="7D380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72" w:type="dxa"/>
            <w:vAlign w:val="center"/>
          </w:tcPr>
          <w:p w14:paraId="29ACB9D1">
            <w:pPr>
              <w:jc w:val="center"/>
              <w:rPr>
                <w:rFonts w:ascii="Times New Roman" w:hAnsi="Times New Roman" w:cs="Times New Roman"/>
                <w:b/>
                <w:bCs/>
                <w:color w:val="auto"/>
              </w:rPr>
            </w:pPr>
            <w:r>
              <w:rPr>
                <w:rFonts w:hint="eastAsia" w:ascii="Times New Roman" w:hAnsi="Times New Roman" w:cs="Times New Roman"/>
                <w:b/>
                <w:bCs/>
                <w:color w:val="auto"/>
              </w:rPr>
              <w:t>序号</w:t>
            </w:r>
          </w:p>
        </w:tc>
        <w:tc>
          <w:tcPr>
            <w:tcW w:w="2089" w:type="dxa"/>
            <w:vAlign w:val="center"/>
          </w:tcPr>
          <w:p w14:paraId="5392B81B">
            <w:pPr>
              <w:jc w:val="center"/>
              <w:rPr>
                <w:rFonts w:ascii="Times New Roman" w:hAnsi="Times New Roman" w:cs="Times New Roman"/>
                <w:b/>
                <w:bCs/>
                <w:color w:val="auto"/>
              </w:rPr>
            </w:pPr>
            <w:r>
              <w:rPr>
                <w:rFonts w:hint="eastAsia" w:ascii="Times New Roman" w:hAnsi="Times New Roman" w:cs="Times New Roman"/>
                <w:b/>
                <w:bCs/>
                <w:color w:val="auto"/>
              </w:rPr>
              <w:t>单元名称</w:t>
            </w:r>
          </w:p>
        </w:tc>
        <w:tc>
          <w:tcPr>
            <w:tcW w:w="2620" w:type="dxa"/>
            <w:vAlign w:val="center"/>
          </w:tcPr>
          <w:p w14:paraId="2695DDBF">
            <w:pPr>
              <w:jc w:val="center"/>
              <w:rPr>
                <w:rFonts w:ascii="Times New Roman" w:hAnsi="Times New Roman" w:cs="Times New Roman"/>
                <w:b/>
                <w:bCs/>
                <w:color w:val="auto"/>
              </w:rPr>
            </w:pPr>
            <w:r>
              <w:rPr>
                <w:rFonts w:hint="eastAsia" w:ascii="Times New Roman" w:hAnsi="Times New Roman" w:cs="Times New Roman"/>
                <w:b/>
                <w:bCs/>
                <w:color w:val="auto"/>
              </w:rPr>
              <w:t>基本情况</w:t>
            </w:r>
          </w:p>
        </w:tc>
        <w:tc>
          <w:tcPr>
            <w:tcW w:w="3157" w:type="dxa"/>
            <w:vAlign w:val="center"/>
          </w:tcPr>
          <w:p w14:paraId="19AD49E8">
            <w:pPr>
              <w:jc w:val="center"/>
              <w:rPr>
                <w:rFonts w:ascii="Times New Roman" w:hAnsi="Times New Roman" w:cs="Times New Roman"/>
                <w:b/>
                <w:bCs/>
                <w:color w:val="auto"/>
              </w:rPr>
            </w:pPr>
            <w:r>
              <w:rPr>
                <w:rFonts w:hint="eastAsia" w:ascii="Times New Roman" w:hAnsi="Times New Roman" w:cs="Times New Roman"/>
                <w:b/>
                <w:bCs/>
                <w:color w:val="auto"/>
              </w:rPr>
              <w:t>备注</w:t>
            </w:r>
          </w:p>
        </w:tc>
      </w:tr>
      <w:tr w14:paraId="02DD6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2" w:type="dxa"/>
            <w:vAlign w:val="center"/>
          </w:tcPr>
          <w:p w14:paraId="719542FC">
            <w:pPr>
              <w:jc w:val="center"/>
              <w:rPr>
                <w:rFonts w:ascii="Times New Roman" w:hAnsi="Times New Roman" w:cs="Times New Roman"/>
                <w:color w:val="auto"/>
              </w:rPr>
            </w:pPr>
            <w:r>
              <w:rPr>
                <w:rFonts w:hint="eastAsia" w:ascii="Times New Roman" w:hAnsi="Times New Roman" w:cs="Times New Roman"/>
                <w:color w:val="auto"/>
              </w:rPr>
              <w:t>1</w:t>
            </w:r>
          </w:p>
        </w:tc>
        <w:tc>
          <w:tcPr>
            <w:tcW w:w="2089" w:type="dxa"/>
            <w:vAlign w:val="center"/>
          </w:tcPr>
          <w:p w14:paraId="585EE412">
            <w:pPr>
              <w:jc w:val="center"/>
              <w:rPr>
                <w:rFonts w:ascii="Times New Roman" w:hAnsi="Times New Roman" w:cs="Times New Roman"/>
                <w:color w:val="auto"/>
              </w:rPr>
            </w:pPr>
            <w:r>
              <w:rPr>
                <w:rFonts w:hint="eastAsia" w:ascii="Times New Roman" w:hAnsi="Times New Roman" w:cs="Times New Roman"/>
                <w:color w:val="auto"/>
              </w:rPr>
              <w:t>加油作业区</w:t>
            </w:r>
          </w:p>
        </w:tc>
        <w:tc>
          <w:tcPr>
            <w:tcW w:w="2620" w:type="dxa"/>
            <w:vAlign w:val="center"/>
          </w:tcPr>
          <w:p w14:paraId="3C40737F">
            <w:pPr>
              <w:autoSpaceDE w:val="0"/>
              <w:autoSpaceDN w:val="0"/>
              <w:adjustRightInd w:val="0"/>
              <w:jc w:val="center"/>
              <w:rPr>
                <w:rFonts w:ascii="Times New Roman" w:hAnsi="Times New Roman" w:cs="Times New Roman"/>
                <w:color w:val="auto"/>
              </w:rPr>
            </w:pPr>
            <w:r>
              <w:rPr>
                <w:rFonts w:hint="eastAsia" w:ascii="Times New Roman" w:hAnsi="Times New Roman" w:cs="Times New Roman"/>
                <w:color w:val="auto"/>
                <w:lang w:val="en-US" w:eastAsia="zh-CN"/>
              </w:rPr>
              <w:t>1</w:t>
            </w:r>
            <w:r>
              <w:rPr>
                <w:rFonts w:ascii="Times New Roman" w:hAnsi="Times New Roman" w:cs="Times New Roman"/>
                <w:color w:val="auto"/>
              </w:rPr>
              <w:t>台</w:t>
            </w:r>
            <w:r>
              <w:rPr>
                <w:rFonts w:hint="eastAsia" w:ascii="Times New Roman" w:hAnsi="Times New Roman" w:cs="Times New Roman"/>
                <w:color w:val="auto"/>
                <w:lang w:val="en-US" w:eastAsia="zh-CN"/>
              </w:rPr>
              <w:t>四</w:t>
            </w:r>
            <w:r>
              <w:rPr>
                <w:rFonts w:ascii="Times New Roman" w:hAnsi="Times New Roman" w:cs="Times New Roman"/>
                <w:color w:val="auto"/>
              </w:rPr>
              <w:t>枪加油机</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1</w:t>
            </w:r>
            <w:r>
              <w:rPr>
                <w:rFonts w:ascii="Times New Roman" w:hAnsi="Times New Roman" w:cs="Times New Roman"/>
                <w:color w:val="auto"/>
              </w:rPr>
              <w:t>台</w:t>
            </w:r>
            <w:r>
              <w:rPr>
                <w:rFonts w:hint="eastAsia" w:ascii="Times New Roman" w:hAnsi="Times New Roman" w:cs="Times New Roman"/>
                <w:color w:val="auto"/>
                <w:lang w:val="en-US" w:eastAsia="zh-CN"/>
              </w:rPr>
              <w:t>双</w:t>
            </w:r>
            <w:r>
              <w:rPr>
                <w:rFonts w:ascii="Times New Roman" w:hAnsi="Times New Roman" w:cs="Times New Roman"/>
                <w:color w:val="auto"/>
              </w:rPr>
              <w:t>枪加油机</w:t>
            </w:r>
          </w:p>
        </w:tc>
        <w:tc>
          <w:tcPr>
            <w:tcW w:w="3157" w:type="dxa"/>
            <w:vAlign w:val="center"/>
          </w:tcPr>
          <w:p w14:paraId="7741A48B">
            <w:pPr>
              <w:jc w:val="center"/>
              <w:rPr>
                <w:rFonts w:ascii="Times New Roman" w:hAnsi="Times New Roman" w:cs="Times New Roman"/>
                <w:color w:val="auto"/>
                <w:szCs w:val="24"/>
              </w:rPr>
            </w:pPr>
            <w:r>
              <w:rPr>
                <w:rFonts w:hint="eastAsia" w:ascii="Times New Roman" w:hAnsi="Times New Roman" w:cs="Times New Roman"/>
                <w:color w:val="auto"/>
                <w:szCs w:val="24"/>
              </w:rPr>
              <w:t>汽油枪</w:t>
            </w:r>
            <w:r>
              <w:rPr>
                <w:rFonts w:hint="eastAsia" w:ascii="Times New Roman" w:hAnsi="Times New Roman" w:cs="Times New Roman"/>
                <w:color w:val="auto"/>
                <w:szCs w:val="24"/>
                <w:lang w:val="en-US" w:eastAsia="zh-CN"/>
              </w:rPr>
              <w:t>4</w:t>
            </w:r>
            <w:r>
              <w:rPr>
                <w:rFonts w:hint="eastAsia" w:ascii="Times New Roman" w:hAnsi="Times New Roman" w:cs="Times New Roman"/>
                <w:color w:val="auto"/>
                <w:szCs w:val="24"/>
              </w:rPr>
              <w:t>把</w:t>
            </w:r>
          </w:p>
          <w:p w14:paraId="2A0C6C3D">
            <w:pPr>
              <w:jc w:val="center"/>
              <w:rPr>
                <w:rFonts w:ascii="Times New Roman" w:hAnsi="Times New Roman" w:cs="Times New Roman"/>
                <w:color w:val="auto"/>
                <w:szCs w:val="24"/>
              </w:rPr>
            </w:pPr>
            <w:r>
              <w:rPr>
                <w:rFonts w:hint="eastAsia" w:ascii="Times New Roman" w:hAnsi="Times New Roman" w:cs="Times New Roman"/>
                <w:color w:val="auto"/>
                <w:szCs w:val="24"/>
              </w:rPr>
              <w:t>柴油枪</w:t>
            </w:r>
            <w:r>
              <w:rPr>
                <w:rFonts w:hint="eastAsia" w:ascii="Times New Roman" w:hAnsi="Times New Roman" w:cs="Times New Roman"/>
                <w:color w:val="auto"/>
                <w:szCs w:val="24"/>
                <w:lang w:val="en-US" w:eastAsia="zh-CN"/>
              </w:rPr>
              <w:t>2</w:t>
            </w:r>
            <w:r>
              <w:rPr>
                <w:rFonts w:hint="eastAsia" w:ascii="Times New Roman" w:hAnsi="Times New Roman" w:cs="Times New Roman"/>
                <w:color w:val="auto"/>
                <w:szCs w:val="24"/>
              </w:rPr>
              <w:t>把</w:t>
            </w:r>
          </w:p>
        </w:tc>
      </w:tr>
    </w:tbl>
    <w:p w14:paraId="572187C1">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rPr>
        <w:t>该站</w:t>
      </w:r>
      <w:r>
        <w:rPr>
          <w:rFonts w:hint="eastAsia" w:ascii="Times New Roman" w:hAnsi="Times New Roman" w:cs="宋体"/>
          <w:color w:val="auto"/>
          <w:sz w:val="28"/>
          <w:szCs w:val="28"/>
          <w:lang w:val="zh-CN"/>
        </w:rPr>
        <w:t>设汽油加油机最大加油量为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24</w:t>
      </w:r>
      <w:r>
        <w:rPr>
          <w:rFonts w:ascii="Times New Roman" w:hAnsi="Times New Roman" w:cs="宋体"/>
          <w:color w:val="auto"/>
          <w:sz w:val="28"/>
          <w:szCs w:val="28"/>
          <w:lang w:val="zh-CN"/>
        </w:rPr>
        <w:t>m</w:t>
      </w:r>
      <w:r>
        <w:rPr>
          <w:rFonts w:ascii="Times New Roman" w:hAnsi="Times New Roman" w:cs="宋体"/>
          <w:color w:val="auto"/>
          <w:sz w:val="28"/>
          <w:szCs w:val="28"/>
          <w:vertAlign w:val="superscript"/>
          <w:lang w:val="zh-CN"/>
        </w:rPr>
        <w:t>3</w:t>
      </w:r>
      <w:r>
        <w:rPr>
          <w:rFonts w:hint="eastAsia" w:ascii="Times New Roman" w:hAnsi="Times New Roman" w:cs="宋体"/>
          <w:color w:val="auto"/>
          <w:sz w:val="28"/>
          <w:szCs w:val="28"/>
          <w:lang w:val="zh-CN"/>
        </w:rPr>
        <w:t>（</w:t>
      </w:r>
      <w:r>
        <w:rPr>
          <w:rFonts w:hint="eastAsia" w:ascii="Times New Roman" w:hAnsi="Times New Roman" w:cs="宋体"/>
          <w:color w:val="auto"/>
          <w:sz w:val="28"/>
          <w:szCs w:val="28"/>
        </w:rPr>
        <w:t>按60L/枪计</w:t>
      </w:r>
      <w:r>
        <w:rPr>
          <w:rFonts w:hint="eastAsia" w:ascii="Times New Roman" w:hAnsi="Times New Roman" w:cs="宋体"/>
          <w:color w:val="auto"/>
          <w:sz w:val="28"/>
          <w:szCs w:val="28"/>
          <w:lang w:val="zh-CN"/>
        </w:rPr>
        <w:t>），折算质量单位约为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18</w:t>
      </w:r>
      <w:r>
        <w:rPr>
          <w:rFonts w:hint="eastAsia" w:ascii="Times New Roman" w:hAnsi="Times New Roman" w:cs="宋体"/>
          <w:color w:val="auto"/>
          <w:sz w:val="28"/>
          <w:szCs w:val="28"/>
        </w:rPr>
        <w:t>t</w:t>
      </w:r>
      <w:r>
        <w:rPr>
          <w:rFonts w:hint="eastAsia" w:ascii="Times New Roman" w:hAnsi="Times New Roman" w:cs="宋体"/>
          <w:color w:val="auto"/>
          <w:sz w:val="28"/>
          <w:szCs w:val="28"/>
          <w:lang w:val="zh-CN"/>
        </w:rPr>
        <w:t>，柴油加油机最大加油量为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2</w:t>
      </w:r>
      <w:r>
        <w:rPr>
          <w:rFonts w:ascii="Times New Roman" w:hAnsi="Times New Roman" w:cs="宋体"/>
          <w:color w:val="auto"/>
          <w:sz w:val="28"/>
          <w:szCs w:val="28"/>
          <w:lang w:val="zh-CN"/>
        </w:rPr>
        <w:t>m</w:t>
      </w:r>
      <w:r>
        <w:rPr>
          <w:rFonts w:ascii="Times New Roman" w:hAnsi="Times New Roman" w:cs="宋体"/>
          <w:color w:val="auto"/>
          <w:sz w:val="28"/>
          <w:szCs w:val="28"/>
          <w:vertAlign w:val="superscript"/>
          <w:lang w:val="zh-CN"/>
        </w:rPr>
        <w:t>3</w:t>
      </w:r>
      <w:r>
        <w:rPr>
          <w:rFonts w:hint="eastAsia" w:ascii="Times New Roman" w:hAnsi="Times New Roman" w:cs="宋体"/>
          <w:color w:val="auto"/>
          <w:sz w:val="28"/>
          <w:szCs w:val="28"/>
          <w:lang w:val="zh-CN"/>
        </w:rPr>
        <w:t>（</w:t>
      </w:r>
      <w:r>
        <w:rPr>
          <w:rFonts w:hint="eastAsia" w:ascii="Times New Roman" w:hAnsi="Times New Roman" w:cs="宋体"/>
          <w:color w:val="auto"/>
          <w:sz w:val="28"/>
          <w:szCs w:val="28"/>
        </w:rPr>
        <w:t>按100L/枪计</w:t>
      </w:r>
      <w:r>
        <w:rPr>
          <w:rFonts w:hint="eastAsia" w:ascii="Times New Roman" w:hAnsi="Times New Roman" w:cs="宋体"/>
          <w:color w:val="auto"/>
          <w:sz w:val="28"/>
          <w:szCs w:val="28"/>
          <w:lang w:val="zh-CN"/>
        </w:rPr>
        <w:t>），折算质量单位约为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17</w:t>
      </w:r>
      <w:r>
        <w:rPr>
          <w:rFonts w:hint="eastAsia" w:ascii="Times New Roman" w:hAnsi="Times New Roman" w:cs="宋体"/>
          <w:color w:val="auto"/>
          <w:sz w:val="28"/>
          <w:szCs w:val="28"/>
        </w:rPr>
        <w:t>t</w:t>
      </w:r>
      <w:r>
        <w:rPr>
          <w:rFonts w:hint="eastAsia" w:ascii="Times New Roman" w:hAnsi="Times New Roman" w:cs="宋体"/>
          <w:color w:val="auto"/>
          <w:sz w:val="28"/>
          <w:szCs w:val="28"/>
          <w:lang w:val="zh-CN"/>
        </w:rPr>
        <w:t>。</w:t>
      </w:r>
    </w:p>
    <w:p w14:paraId="73D85157">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4、重大危险源辨识过程</w:t>
      </w:r>
    </w:p>
    <w:p w14:paraId="0A882D0E">
      <w:pPr>
        <w:jc w:val="center"/>
        <w:rPr>
          <w:rFonts w:ascii="Times New Roman" w:hAnsi="Times New Roman" w:cs="宋体"/>
          <w:color w:val="auto"/>
          <w:sz w:val="24"/>
          <w:szCs w:val="24"/>
          <w:lang w:val="zh-CN"/>
        </w:rPr>
      </w:pPr>
      <w:r>
        <w:rPr>
          <w:rFonts w:hint="eastAsia" w:ascii="Times New Roman" w:hAnsi="Times New Roman" w:cs="宋体"/>
          <w:color w:val="auto"/>
          <w:sz w:val="24"/>
          <w:szCs w:val="24"/>
        </w:rPr>
        <w:t>表3.3-6 储存单元危险化学品重大危险源辨识表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2"/>
        <w:gridCol w:w="987"/>
        <w:gridCol w:w="2082"/>
        <w:gridCol w:w="1074"/>
        <w:gridCol w:w="1275"/>
        <w:gridCol w:w="1204"/>
        <w:gridCol w:w="1024"/>
        <w:gridCol w:w="957"/>
      </w:tblGrid>
      <w:tr w14:paraId="18F1F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4" w:hRule="atLeast"/>
          <w:jc w:val="center"/>
        </w:trPr>
        <w:tc>
          <w:tcPr>
            <w:tcW w:w="652" w:type="dxa"/>
            <w:vAlign w:val="center"/>
          </w:tcPr>
          <w:p w14:paraId="00C7972A">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lang w:val="zh-CN"/>
              </w:rPr>
              <w:t>序号</w:t>
            </w:r>
          </w:p>
        </w:tc>
        <w:tc>
          <w:tcPr>
            <w:tcW w:w="987" w:type="dxa"/>
            <w:vAlign w:val="center"/>
          </w:tcPr>
          <w:p w14:paraId="301ABD0B">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lang w:val="zh-CN"/>
              </w:rPr>
              <w:t>名称</w:t>
            </w:r>
          </w:p>
        </w:tc>
        <w:tc>
          <w:tcPr>
            <w:tcW w:w="2082" w:type="dxa"/>
            <w:vAlign w:val="center"/>
          </w:tcPr>
          <w:p w14:paraId="53B8DF10">
            <w:pPr>
              <w:autoSpaceDE w:val="0"/>
              <w:autoSpaceDN w:val="0"/>
              <w:adjustRightInd w:val="0"/>
              <w:ind w:firstLine="207" w:firstLineChars="98"/>
              <w:jc w:val="center"/>
              <w:rPr>
                <w:rFonts w:ascii="Times New Roman" w:hAnsi="Times New Roman" w:cs="Times New Roman"/>
                <w:b/>
                <w:bCs/>
                <w:color w:val="auto"/>
                <w:lang w:val="zh-CN"/>
              </w:rPr>
            </w:pPr>
            <w:r>
              <w:rPr>
                <w:rFonts w:ascii="Times New Roman" w:hAnsi="Times New Roman" w:cs="Times New Roman"/>
                <w:b/>
                <w:bCs/>
                <w:color w:val="auto"/>
                <w:lang w:val="zh-CN"/>
              </w:rPr>
              <w:t>危险性分类</w:t>
            </w:r>
          </w:p>
        </w:tc>
        <w:tc>
          <w:tcPr>
            <w:tcW w:w="1074" w:type="dxa"/>
            <w:vAlign w:val="center"/>
          </w:tcPr>
          <w:p w14:paraId="09E09A03">
            <w:pPr>
              <w:autoSpaceDE w:val="0"/>
              <w:autoSpaceDN w:val="0"/>
              <w:adjustRightInd w:val="0"/>
              <w:jc w:val="center"/>
              <w:rPr>
                <w:rFonts w:ascii="Times New Roman" w:hAnsi="Times New Roman" w:cs="Times New Roman"/>
                <w:b/>
                <w:bCs/>
                <w:color w:val="auto"/>
              </w:rPr>
            </w:pPr>
            <w:r>
              <w:rPr>
                <w:rFonts w:ascii="Times New Roman" w:hAnsi="Times New Roman" w:cs="Times New Roman"/>
                <w:b/>
                <w:bCs/>
                <w:color w:val="auto"/>
              </w:rPr>
              <w:t>特殊状态</w:t>
            </w:r>
          </w:p>
        </w:tc>
        <w:tc>
          <w:tcPr>
            <w:tcW w:w="1275" w:type="dxa"/>
            <w:vAlign w:val="center"/>
          </w:tcPr>
          <w:p w14:paraId="163E36A3">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rPr>
              <w:t>临界量（</w:t>
            </w:r>
            <w:r>
              <w:rPr>
                <w:rFonts w:ascii="Times New Roman" w:hAnsi="Times New Roman" w:cs="Times New Roman"/>
                <w:b/>
                <w:bCs/>
                <w:color w:val="auto"/>
                <w:lang w:val="zh-CN"/>
              </w:rPr>
              <w:t>t</w:t>
            </w:r>
            <w:r>
              <w:rPr>
                <w:rFonts w:ascii="Times New Roman" w:hAnsi="Times New Roman" w:cs="Times New Roman"/>
                <w:b/>
                <w:bCs/>
                <w:color w:val="auto"/>
              </w:rPr>
              <w:t>）</w:t>
            </w:r>
          </w:p>
        </w:tc>
        <w:tc>
          <w:tcPr>
            <w:tcW w:w="1204" w:type="dxa"/>
            <w:vAlign w:val="center"/>
          </w:tcPr>
          <w:p w14:paraId="1CD4196F">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lang w:val="zh-CN"/>
              </w:rPr>
              <w:t>存在量</w:t>
            </w:r>
            <w:r>
              <w:rPr>
                <w:rFonts w:ascii="Times New Roman" w:hAnsi="Times New Roman" w:cs="Times New Roman"/>
                <w:b/>
                <w:bCs/>
                <w:color w:val="auto"/>
              </w:rPr>
              <w:t>（</w:t>
            </w:r>
            <w:r>
              <w:rPr>
                <w:rFonts w:ascii="Times New Roman" w:hAnsi="Times New Roman" w:cs="Times New Roman"/>
                <w:b/>
                <w:bCs/>
                <w:color w:val="auto"/>
                <w:lang w:val="zh-CN"/>
              </w:rPr>
              <w:t>t</w:t>
            </w:r>
            <w:r>
              <w:rPr>
                <w:rFonts w:ascii="Times New Roman" w:hAnsi="Times New Roman" w:cs="Times New Roman"/>
                <w:b/>
                <w:bCs/>
                <w:color w:val="auto"/>
              </w:rPr>
              <w:t>）</w:t>
            </w:r>
          </w:p>
        </w:tc>
        <w:tc>
          <w:tcPr>
            <w:tcW w:w="1024" w:type="dxa"/>
            <w:vAlign w:val="center"/>
          </w:tcPr>
          <w:p w14:paraId="7ACE02C3">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kern w:val="0"/>
              </w:rPr>
              <w:t>qn/Qn</w:t>
            </w:r>
          </w:p>
        </w:tc>
        <w:tc>
          <w:tcPr>
            <w:tcW w:w="957" w:type="dxa"/>
            <w:vAlign w:val="center"/>
          </w:tcPr>
          <w:p w14:paraId="59A68A6C">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rPr>
              <w:t>辨识</w:t>
            </w:r>
          </w:p>
        </w:tc>
      </w:tr>
      <w:tr w14:paraId="7AA91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52" w:type="dxa"/>
            <w:vAlign w:val="center"/>
          </w:tcPr>
          <w:p w14:paraId="4D7B6DA6">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1</w:t>
            </w:r>
          </w:p>
        </w:tc>
        <w:tc>
          <w:tcPr>
            <w:tcW w:w="987" w:type="dxa"/>
            <w:vAlign w:val="center"/>
          </w:tcPr>
          <w:p w14:paraId="27F5DDAE">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汽油罐</w:t>
            </w:r>
          </w:p>
        </w:tc>
        <w:tc>
          <w:tcPr>
            <w:tcW w:w="2082" w:type="dxa"/>
            <w:vAlign w:val="center"/>
          </w:tcPr>
          <w:p w14:paraId="2B7BB245">
            <w:pPr>
              <w:autoSpaceDE w:val="0"/>
              <w:autoSpaceDN w:val="0"/>
              <w:adjustRightInd w:val="0"/>
              <w:ind w:firstLine="205" w:firstLineChars="98"/>
              <w:jc w:val="center"/>
              <w:rPr>
                <w:rFonts w:ascii="Times New Roman" w:hAnsi="Times New Roman" w:cs="Times New Roman"/>
                <w:color w:val="auto"/>
                <w:spacing w:val="-10"/>
                <w:kern w:val="0"/>
              </w:rPr>
            </w:pPr>
            <w:r>
              <w:rPr>
                <w:rFonts w:ascii="Times New Roman" w:hAnsi="Times New Roman" w:cs="Times New Roman"/>
                <w:color w:val="auto"/>
              </w:rPr>
              <w:t>表1（66）</w:t>
            </w:r>
          </w:p>
        </w:tc>
        <w:tc>
          <w:tcPr>
            <w:tcW w:w="1074" w:type="dxa"/>
            <w:vAlign w:val="center"/>
          </w:tcPr>
          <w:p w14:paraId="510FAF31">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275" w:type="dxa"/>
            <w:vAlign w:val="center"/>
          </w:tcPr>
          <w:p w14:paraId="65E88EA8">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200</w:t>
            </w:r>
          </w:p>
        </w:tc>
        <w:tc>
          <w:tcPr>
            <w:tcW w:w="1204" w:type="dxa"/>
            <w:vAlign w:val="center"/>
          </w:tcPr>
          <w:p w14:paraId="43D7CAE4">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45</w:t>
            </w:r>
          </w:p>
        </w:tc>
        <w:tc>
          <w:tcPr>
            <w:tcW w:w="1024" w:type="dxa"/>
            <w:vAlign w:val="center"/>
          </w:tcPr>
          <w:p w14:paraId="7C792C33">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0.225</w:t>
            </w:r>
          </w:p>
        </w:tc>
        <w:tc>
          <w:tcPr>
            <w:tcW w:w="957" w:type="dxa"/>
            <w:vAlign w:val="center"/>
          </w:tcPr>
          <w:p w14:paraId="65367821">
            <w:pPr>
              <w:autoSpaceDE w:val="0"/>
              <w:autoSpaceDN w:val="0"/>
              <w:adjustRightInd w:val="0"/>
              <w:jc w:val="center"/>
              <w:rPr>
                <w:rFonts w:ascii="Times New Roman" w:hAnsi="Times New Roman" w:cs="Times New Roman"/>
                <w:color w:val="auto"/>
                <w:lang w:val="zh-CN"/>
              </w:rPr>
            </w:pPr>
          </w:p>
        </w:tc>
      </w:tr>
      <w:tr w14:paraId="2E5C1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52" w:type="dxa"/>
            <w:vAlign w:val="center"/>
          </w:tcPr>
          <w:p w14:paraId="0918DAB1">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2</w:t>
            </w:r>
          </w:p>
        </w:tc>
        <w:tc>
          <w:tcPr>
            <w:tcW w:w="987" w:type="dxa"/>
            <w:vAlign w:val="center"/>
          </w:tcPr>
          <w:p w14:paraId="39F7EE7E">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柴油罐</w:t>
            </w:r>
          </w:p>
        </w:tc>
        <w:tc>
          <w:tcPr>
            <w:tcW w:w="2082" w:type="dxa"/>
            <w:vAlign w:val="center"/>
          </w:tcPr>
          <w:p w14:paraId="694773A6">
            <w:pPr>
              <w:autoSpaceDE w:val="0"/>
              <w:autoSpaceDN w:val="0"/>
              <w:adjustRightInd w:val="0"/>
              <w:ind w:firstLine="205" w:firstLineChars="98"/>
              <w:jc w:val="center"/>
              <w:rPr>
                <w:rFonts w:ascii="Times New Roman" w:hAnsi="Times New Roman" w:cs="Times New Roman"/>
                <w:color w:val="auto"/>
                <w:spacing w:val="-10"/>
                <w:kern w:val="0"/>
              </w:rPr>
            </w:pPr>
            <w:r>
              <w:rPr>
                <w:rFonts w:ascii="Times New Roman" w:hAnsi="Times New Roman" w:cs="Times New Roman"/>
                <w:color w:val="auto"/>
                <w:lang w:val="zh-CN"/>
              </w:rPr>
              <w:t>表</w:t>
            </w:r>
            <w:r>
              <w:rPr>
                <w:rFonts w:ascii="Times New Roman" w:hAnsi="Times New Roman" w:cs="Times New Roman"/>
                <w:color w:val="auto"/>
              </w:rPr>
              <w:t>2</w:t>
            </w:r>
            <w:r>
              <w:rPr>
                <w:rFonts w:ascii="Times New Roman" w:hAnsi="Times New Roman" w:cs="Times New Roman"/>
                <w:color w:val="auto"/>
                <w:lang w:val="zh-CN"/>
              </w:rPr>
              <w:t>易燃液体</w:t>
            </w:r>
            <w:r>
              <w:rPr>
                <w:rFonts w:ascii="Times New Roman" w:hAnsi="Times New Roman" w:cs="Times New Roman"/>
                <w:color w:val="auto"/>
              </w:rPr>
              <w:t>W5.4</w:t>
            </w:r>
          </w:p>
        </w:tc>
        <w:tc>
          <w:tcPr>
            <w:tcW w:w="1074" w:type="dxa"/>
            <w:vAlign w:val="center"/>
          </w:tcPr>
          <w:p w14:paraId="20B9C6FD">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275" w:type="dxa"/>
            <w:vAlign w:val="center"/>
          </w:tcPr>
          <w:p w14:paraId="4678225D">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5000</w:t>
            </w:r>
          </w:p>
        </w:tc>
        <w:tc>
          <w:tcPr>
            <w:tcW w:w="1204" w:type="dxa"/>
            <w:vAlign w:val="center"/>
          </w:tcPr>
          <w:p w14:paraId="732959BF">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25.5</w:t>
            </w:r>
          </w:p>
        </w:tc>
        <w:tc>
          <w:tcPr>
            <w:tcW w:w="1024" w:type="dxa"/>
            <w:vAlign w:val="center"/>
          </w:tcPr>
          <w:p w14:paraId="6E7AEB87">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0.0051</w:t>
            </w:r>
          </w:p>
        </w:tc>
        <w:tc>
          <w:tcPr>
            <w:tcW w:w="957" w:type="dxa"/>
            <w:vAlign w:val="center"/>
          </w:tcPr>
          <w:p w14:paraId="699306E4">
            <w:pPr>
              <w:autoSpaceDE w:val="0"/>
              <w:autoSpaceDN w:val="0"/>
              <w:adjustRightInd w:val="0"/>
              <w:jc w:val="center"/>
              <w:rPr>
                <w:rFonts w:ascii="Times New Roman" w:hAnsi="Times New Roman" w:cs="Times New Roman"/>
                <w:color w:val="auto"/>
                <w:lang w:val="zh-CN"/>
              </w:rPr>
            </w:pPr>
          </w:p>
        </w:tc>
      </w:tr>
      <w:tr w14:paraId="6D504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52" w:type="dxa"/>
            <w:vAlign w:val="center"/>
          </w:tcPr>
          <w:p w14:paraId="1CD71883">
            <w:pPr>
              <w:autoSpaceDE w:val="0"/>
              <w:autoSpaceDN w:val="0"/>
              <w:adjustRightInd w:val="0"/>
              <w:jc w:val="center"/>
              <w:rPr>
                <w:rFonts w:ascii="Times New Roman" w:hAnsi="Times New Roman" w:cs="Times New Roman"/>
                <w:color w:val="auto"/>
                <w:lang w:val="zh-CN"/>
              </w:rPr>
            </w:pPr>
          </w:p>
        </w:tc>
        <w:tc>
          <w:tcPr>
            <w:tcW w:w="6622" w:type="dxa"/>
            <w:gridSpan w:val="5"/>
            <w:vAlign w:val="center"/>
          </w:tcPr>
          <w:p w14:paraId="5C68DB33">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合计</w:t>
            </w:r>
          </w:p>
        </w:tc>
        <w:tc>
          <w:tcPr>
            <w:tcW w:w="1981" w:type="dxa"/>
            <w:gridSpan w:val="2"/>
            <w:vAlign w:val="center"/>
          </w:tcPr>
          <w:p w14:paraId="1DDB4675">
            <w:pPr>
              <w:autoSpaceDE w:val="0"/>
              <w:autoSpaceDN w:val="0"/>
              <w:adjustRightInd w:val="0"/>
              <w:ind w:firstLine="211" w:firstLineChars="100"/>
              <w:jc w:val="center"/>
              <w:rPr>
                <w:rFonts w:ascii="Times New Roman" w:hAnsi="Times New Roman" w:cs="Times New Roman"/>
                <w:b/>
                <w:bCs/>
                <w:color w:val="auto"/>
              </w:rPr>
            </w:pPr>
            <w:r>
              <w:rPr>
                <w:rFonts w:hint="eastAsia" w:ascii="Times New Roman" w:hAnsi="Times New Roman" w:cs="Times New Roman"/>
                <w:b/>
                <w:bCs/>
                <w:color w:val="auto"/>
              </w:rPr>
              <w:t>0.</w:t>
            </w:r>
            <w:r>
              <w:rPr>
                <w:rFonts w:hint="eastAsia" w:ascii="Times New Roman" w:hAnsi="Times New Roman" w:cs="Times New Roman"/>
                <w:b/>
                <w:bCs/>
                <w:color w:val="auto"/>
                <w:lang w:val="en-US" w:eastAsia="zh-CN"/>
              </w:rPr>
              <w:t>2301</w:t>
            </w:r>
            <w:r>
              <w:rPr>
                <w:rFonts w:hint="eastAsia" w:ascii="Times New Roman" w:hAnsi="Times New Roman" w:cs="Times New Roman"/>
                <w:b/>
                <w:bCs/>
                <w:color w:val="auto"/>
              </w:rPr>
              <w:t>＜1</w:t>
            </w:r>
          </w:p>
        </w:tc>
      </w:tr>
    </w:tbl>
    <w:p w14:paraId="2DD6E444">
      <w:pPr>
        <w:jc w:val="center"/>
        <w:rPr>
          <w:rFonts w:ascii="Times New Roman" w:hAnsi="Times New Roman" w:eastAsia="黑体" w:cs="黑体"/>
          <w:bCs/>
          <w:color w:val="auto"/>
          <w:sz w:val="24"/>
          <w:szCs w:val="24"/>
        </w:rPr>
      </w:pPr>
      <w:r>
        <w:rPr>
          <w:rFonts w:hint="eastAsia" w:ascii="Times New Roman" w:hAnsi="Times New Roman" w:cs="宋体"/>
          <w:color w:val="auto"/>
          <w:sz w:val="24"/>
          <w:szCs w:val="24"/>
        </w:rPr>
        <w:t>表3.3-7 生产单元危险化学品重大危险源辨识表</w:t>
      </w:r>
    </w:p>
    <w:tbl>
      <w:tblPr>
        <w:tblStyle w:val="25"/>
        <w:tblW w:w="93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67"/>
        <w:gridCol w:w="2017"/>
        <w:gridCol w:w="1097"/>
        <w:gridCol w:w="1300"/>
        <w:gridCol w:w="1299"/>
        <w:gridCol w:w="1188"/>
        <w:gridCol w:w="1073"/>
      </w:tblGrid>
      <w:tr w14:paraId="6027D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75" w:type="dxa"/>
            <w:vAlign w:val="center"/>
          </w:tcPr>
          <w:p w14:paraId="0E7C7EA5">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序号</w:t>
            </w:r>
          </w:p>
        </w:tc>
        <w:tc>
          <w:tcPr>
            <w:tcW w:w="667" w:type="dxa"/>
            <w:vAlign w:val="center"/>
          </w:tcPr>
          <w:p w14:paraId="66C1C9A7">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名称</w:t>
            </w:r>
          </w:p>
        </w:tc>
        <w:tc>
          <w:tcPr>
            <w:tcW w:w="2017" w:type="dxa"/>
            <w:vAlign w:val="center"/>
          </w:tcPr>
          <w:p w14:paraId="7998462B">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危险性分类</w:t>
            </w:r>
          </w:p>
        </w:tc>
        <w:tc>
          <w:tcPr>
            <w:tcW w:w="1097" w:type="dxa"/>
            <w:vAlign w:val="center"/>
          </w:tcPr>
          <w:p w14:paraId="602E1CDD">
            <w:pPr>
              <w:autoSpaceDE w:val="0"/>
              <w:autoSpaceDN w:val="0"/>
              <w:adjustRightInd w:val="0"/>
              <w:jc w:val="center"/>
              <w:rPr>
                <w:rFonts w:ascii="Times New Roman" w:hAnsi="Times New Roman" w:cs="Times New Roman"/>
                <w:b/>
                <w:color w:val="auto"/>
              </w:rPr>
            </w:pPr>
            <w:r>
              <w:rPr>
                <w:rFonts w:ascii="Times New Roman" w:hAnsi="Times New Roman" w:cs="Times New Roman"/>
                <w:b/>
                <w:color w:val="auto"/>
              </w:rPr>
              <w:t>特殊状态</w:t>
            </w:r>
          </w:p>
        </w:tc>
        <w:tc>
          <w:tcPr>
            <w:tcW w:w="1300" w:type="dxa"/>
            <w:vAlign w:val="center"/>
          </w:tcPr>
          <w:p w14:paraId="23B48CD3">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rPr>
              <w:t>临界量（</w:t>
            </w:r>
            <w:r>
              <w:rPr>
                <w:rFonts w:ascii="Times New Roman" w:hAnsi="Times New Roman" w:cs="Times New Roman"/>
                <w:b/>
                <w:color w:val="auto"/>
                <w:lang w:val="zh-CN"/>
              </w:rPr>
              <w:t>t</w:t>
            </w:r>
            <w:r>
              <w:rPr>
                <w:rFonts w:ascii="Times New Roman" w:hAnsi="Times New Roman" w:cs="Times New Roman"/>
                <w:b/>
                <w:color w:val="auto"/>
              </w:rPr>
              <w:t>）</w:t>
            </w:r>
          </w:p>
        </w:tc>
        <w:tc>
          <w:tcPr>
            <w:tcW w:w="1299" w:type="dxa"/>
            <w:vAlign w:val="center"/>
          </w:tcPr>
          <w:p w14:paraId="04A3C95B">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存在量</w:t>
            </w:r>
            <w:r>
              <w:rPr>
                <w:rFonts w:ascii="Times New Roman" w:hAnsi="Times New Roman" w:cs="Times New Roman"/>
                <w:b/>
                <w:color w:val="auto"/>
              </w:rPr>
              <w:t>（</w:t>
            </w:r>
            <w:r>
              <w:rPr>
                <w:rFonts w:ascii="Times New Roman" w:hAnsi="Times New Roman" w:cs="Times New Roman"/>
                <w:b/>
                <w:color w:val="auto"/>
                <w:lang w:val="zh-CN"/>
              </w:rPr>
              <w:t>t</w:t>
            </w:r>
            <w:r>
              <w:rPr>
                <w:rFonts w:ascii="Times New Roman" w:hAnsi="Times New Roman" w:cs="Times New Roman"/>
                <w:b/>
                <w:color w:val="auto"/>
              </w:rPr>
              <w:t>）</w:t>
            </w:r>
          </w:p>
        </w:tc>
        <w:tc>
          <w:tcPr>
            <w:tcW w:w="1188" w:type="dxa"/>
            <w:vAlign w:val="center"/>
          </w:tcPr>
          <w:p w14:paraId="53DAF666">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kern w:val="0"/>
              </w:rPr>
              <w:t>qn/Qn</w:t>
            </w:r>
          </w:p>
        </w:tc>
        <w:tc>
          <w:tcPr>
            <w:tcW w:w="1073" w:type="dxa"/>
            <w:vAlign w:val="center"/>
          </w:tcPr>
          <w:p w14:paraId="2738E098">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辨识</w:t>
            </w:r>
          </w:p>
        </w:tc>
      </w:tr>
      <w:tr w14:paraId="54F75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Align w:val="center"/>
          </w:tcPr>
          <w:p w14:paraId="3A9E77F6">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1</w:t>
            </w:r>
          </w:p>
        </w:tc>
        <w:tc>
          <w:tcPr>
            <w:tcW w:w="667" w:type="dxa"/>
            <w:vAlign w:val="center"/>
          </w:tcPr>
          <w:p w14:paraId="425958E5">
            <w:pPr>
              <w:autoSpaceDE w:val="0"/>
              <w:autoSpaceDN w:val="0"/>
              <w:adjustRightInd w:val="0"/>
              <w:jc w:val="center"/>
              <w:rPr>
                <w:rFonts w:ascii="Times New Roman" w:hAnsi="Times New Roman" w:cs="Times New Roman"/>
                <w:color w:val="auto"/>
              </w:rPr>
            </w:pPr>
            <w:r>
              <w:rPr>
                <w:rFonts w:ascii="Times New Roman" w:hAnsi="Times New Roman" w:cs="Times New Roman"/>
                <w:color w:val="auto"/>
                <w:lang w:val="zh-CN"/>
              </w:rPr>
              <w:t>汽油</w:t>
            </w:r>
          </w:p>
        </w:tc>
        <w:tc>
          <w:tcPr>
            <w:tcW w:w="2017" w:type="dxa"/>
            <w:vAlign w:val="center"/>
          </w:tcPr>
          <w:p w14:paraId="02B7E1BB">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表1（66）</w:t>
            </w:r>
          </w:p>
        </w:tc>
        <w:tc>
          <w:tcPr>
            <w:tcW w:w="1097" w:type="dxa"/>
            <w:vAlign w:val="center"/>
          </w:tcPr>
          <w:p w14:paraId="23B2D7FD">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300" w:type="dxa"/>
            <w:vAlign w:val="center"/>
          </w:tcPr>
          <w:p w14:paraId="26246696">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200</w:t>
            </w:r>
          </w:p>
        </w:tc>
        <w:tc>
          <w:tcPr>
            <w:tcW w:w="1299" w:type="dxa"/>
            <w:vAlign w:val="center"/>
          </w:tcPr>
          <w:p w14:paraId="7327517D">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rPr>
              <w:t>0.</w:t>
            </w:r>
            <w:r>
              <w:rPr>
                <w:rFonts w:hint="eastAsia" w:ascii="Times New Roman" w:hAnsi="Times New Roman" w:cs="Times New Roman"/>
                <w:color w:val="auto"/>
                <w:lang w:val="en-US" w:eastAsia="zh-CN"/>
              </w:rPr>
              <w:t>18</w:t>
            </w:r>
          </w:p>
        </w:tc>
        <w:tc>
          <w:tcPr>
            <w:tcW w:w="1188" w:type="dxa"/>
            <w:vAlign w:val="center"/>
          </w:tcPr>
          <w:p w14:paraId="399F1808">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rPr>
              <w:t>0.00</w:t>
            </w:r>
            <w:r>
              <w:rPr>
                <w:rFonts w:hint="eastAsia" w:ascii="Times New Roman" w:hAnsi="Times New Roman" w:cs="Times New Roman"/>
                <w:b/>
                <w:bCs/>
                <w:color w:val="auto"/>
                <w:lang w:val="en-US" w:eastAsia="zh-CN"/>
              </w:rPr>
              <w:t>09</w:t>
            </w:r>
          </w:p>
        </w:tc>
        <w:tc>
          <w:tcPr>
            <w:tcW w:w="1073" w:type="dxa"/>
            <w:vAlign w:val="center"/>
          </w:tcPr>
          <w:p w14:paraId="2DDE2523">
            <w:pPr>
              <w:autoSpaceDE w:val="0"/>
              <w:autoSpaceDN w:val="0"/>
              <w:adjustRightInd w:val="0"/>
              <w:jc w:val="center"/>
              <w:rPr>
                <w:rFonts w:ascii="Times New Roman" w:hAnsi="Times New Roman" w:cs="Times New Roman"/>
                <w:color w:val="auto"/>
              </w:rPr>
            </w:pPr>
          </w:p>
        </w:tc>
      </w:tr>
      <w:tr w14:paraId="64857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Align w:val="center"/>
          </w:tcPr>
          <w:p w14:paraId="4A8AA4E3">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2</w:t>
            </w:r>
          </w:p>
        </w:tc>
        <w:tc>
          <w:tcPr>
            <w:tcW w:w="667" w:type="dxa"/>
            <w:vAlign w:val="center"/>
          </w:tcPr>
          <w:p w14:paraId="45BB47D0">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柴油</w:t>
            </w:r>
          </w:p>
        </w:tc>
        <w:tc>
          <w:tcPr>
            <w:tcW w:w="2017" w:type="dxa"/>
            <w:vAlign w:val="center"/>
          </w:tcPr>
          <w:p w14:paraId="057C5E06">
            <w:pPr>
              <w:autoSpaceDE w:val="0"/>
              <w:autoSpaceDN w:val="0"/>
              <w:adjustRightInd w:val="0"/>
              <w:jc w:val="center"/>
              <w:rPr>
                <w:rFonts w:ascii="Times New Roman" w:hAnsi="Times New Roman" w:cs="Times New Roman"/>
                <w:color w:val="auto"/>
              </w:rPr>
            </w:pPr>
            <w:r>
              <w:rPr>
                <w:rFonts w:ascii="Times New Roman" w:hAnsi="Times New Roman" w:cs="Times New Roman"/>
                <w:color w:val="auto"/>
                <w:lang w:val="zh-CN"/>
              </w:rPr>
              <w:t>表</w:t>
            </w:r>
            <w:r>
              <w:rPr>
                <w:rFonts w:ascii="Times New Roman" w:hAnsi="Times New Roman" w:cs="Times New Roman"/>
                <w:color w:val="auto"/>
              </w:rPr>
              <w:t>2</w:t>
            </w:r>
            <w:r>
              <w:rPr>
                <w:rFonts w:ascii="Times New Roman" w:hAnsi="Times New Roman" w:cs="Times New Roman"/>
                <w:color w:val="auto"/>
                <w:lang w:val="zh-CN"/>
              </w:rPr>
              <w:t>易燃液体</w:t>
            </w:r>
            <w:r>
              <w:rPr>
                <w:rFonts w:ascii="Times New Roman" w:hAnsi="Times New Roman" w:cs="Times New Roman"/>
                <w:color w:val="auto"/>
              </w:rPr>
              <w:t>W5.4</w:t>
            </w:r>
          </w:p>
        </w:tc>
        <w:tc>
          <w:tcPr>
            <w:tcW w:w="1097" w:type="dxa"/>
            <w:vAlign w:val="center"/>
          </w:tcPr>
          <w:p w14:paraId="32374346">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300" w:type="dxa"/>
            <w:vAlign w:val="center"/>
          </w:tcPr>
          <w:p w14:paraId="458D6990">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5000</w:t>
            </w:r>
          </w:p>
        </w:tc>
        <w:tc>
          <w:tcPr>
            <w:tcW w:w="1299" w:type="dxa"/>
            <w:vAlign w:val="center"/>
          </w:tcPr>
          <w:p w14:paraId="187EBA55">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rPr>
              <w:t>0.</w:t>
            </w:r>
            <w:r>
              <w:rPr>
                <w:rFonts w:hint="eastAsia" w:ascii="Times New Roman" w:hAnsi="Times New Roman" w:cs="Times New Roman"/>
                <w:color w:val="auto"/>
                <w:lang w:val="en-US" w:eastAsia="zh-CN"/>
              </w:rPr>
              <w:t>17</w:t>
            </w:r>
          </w:p>
        </w:tc>
        <w:tc>
          <w:tcPr>
            <w:tcW w:w="1188" w:type="dxa"/>
            <w:vAlign w:val="center"/>
          </w:tcPr>
          <w:p w14:paraId="0E060CD1">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rPr>
              <w:t>0.0000</w:t>
            </w:r>
            <w:r>
              <w:rPr>
                <w:rFonts w:hint="eastAsia" w:ascii="Times New Roman" w:hAnsi="Times New Roman" w:cs="Times New Roman"/>
                <w:b/>
                <w:bCs/>
                <w:color w:val="auto"/>
                <w:lang w:val="en-US" w:eastAsia="zh-CN"/>
              </w:rPr>
              <w:t>34</w:t>
            </w:r>
          </w:p>
        </w:tc>
        <w:tc>
          <w:tcPr>
            <w:tcW w:w="1073" w:type="dxa"/>
            <w:vAlign w:val="center"/>
          </w:tcPr>
          <w:p w14:paraId="15CFCB92">
            <w:pPr>
              <w:autoSpaceDE w:val="0"/>
              <w:autoSpaceDN w:val="0"/>
              <w:adjustRightInd w:val="0"/>
              <w:jc w:val="center"/>
              <w:rPr>
                <w:rFonts w:ascii="Times New Roman" w:hAnsi="Times New Roman" w:cs="Times New Roman"/>
                <w:color w:val="auto"/>
              </w:rPr>
            </w:pPr>
          </w:p>
        </w:tc>
      </w:tr>
      <w:tr w14:paraId="70DC8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75" w:type="dxa"/>
            <w:vAlign w:val="center"/>
          </w:tcPr>
          <w:p w14:paraId="30BF3B02">
            <w:pPr>
              <w:autoSpaceDE w:val="0"/>
              <w:autoSpaceDN w:val="0"/>
              <w:adjustRightInd w:val="0"/>
              <w:jc w:val="center"/>
              <w:rPr>
                <w:rFonts w:ascii="Times New Roman" w:hAnsi="Times New Roman" w:cs="Times New Roman"/>
                <w:color w:val="auto"/>
                <w:lang w:val="zh-CN"/>
              </w:rPr>
            </w:pPr>
          </w:p>
        </w:tc>
        <w:tc>
          <w:tcPr>
            <w:tcW w:w="6380" w:type="dxa"/>
            <w:gridSpan w:val="5"/>
            <w:vAlign w:val="center"/>
          </w:tcPr>
          <w:p w14:paraId="3EC21160">
            <w:pPr>
              <w:autoSpaceDE w:val="0"/>
              <w:autoSpaceDN w:val="0"/>
              <w:adjustRightInd w:val="0"/>
              <w:jc w:val="center"/>
              <w:rPr>
                <w:rFonts w:ascii="Times New Roman" w:hAnsi="Times New Roman" w:cs="Times New Roman"/>
                <w:color w:val="auto"/>
              </w:rPr>
            </w:pPr>
            <w:r>
              <w:rPr>
                <w:rFonts w:ascii="Times New Roman" w:hAnsi="Times New Roman" w:cs="Times New Roman"/>
                <w:color w:val="auto"/>
                <w:lang w:val="zh-CN"/>
              </w:rPr>
              <w:t>合计</w:t>
            </w:r>
          </w:p>
        </w:tc>
        <w:tc>
          <w:tcPr>
            <w:tcW w:w="2261" w:type="dxa"/>
            <w:gridSpan w:val="2"/>
            <w:vAlign w:val="center"/>
          </w:tcPr>
          <w:p w14:paraId="68E19096">
            <w:pPr>
              <w:autoSpaceDE w:val="0"/>
              <w:autoSpaceDN w:val="0"/>
              <w:adjustRightInd w:val="0"/>
              <w:jc w:val="center"/>
              <w:rPr>
                <w:rFonts w:ascii="Times New Roman" w:hAnsi="Times New Roman" w:cs="Times New Roman"/>
                <w:color w:val="auto"/>
              </w:rPr>
            </w:pPr>
            <w:r>
              <w:rPr>
                <w:rFonts w:ascii="Times New Roman" w:hAnsi="Times New Roman" w:cs="Times New Roman"/>
                <w:b/>
                <w:bCs/>
                <w:color w:val="auto"/>
              </w:rPr>
              <w:t>0.00</w:t>
            </w:r>
            <w:r>
              <w:rPr>
                <w:rFonts w:hint="eastAsia" w:ascii="Times New Roman" w:hAnsi="Times New Roman" w:cs="Times New Roman"/>
                <w:b/>
                <w:bCs/>
                <w:color w:val="auto"/>
                <w:lang w:val="en-US" w:eastAsia="zh-CN"/>
              </w:rPr>
              <w:t>0934</w:t>
            </w:r>
            <w:r>
              <w:rPr>
                <w:rFonts w:ascii="Times New Roman" w:hAnsi="Times New Roman" w:cs="Times New Roman"/>
                <w:b/>
                <w:bCs/>
                <w:color w:val="auto"/>
              </w:rPr>
              <w:t>＜1</w:t>
            </w:r>
          </w:p>
        </w:tc>
      </w:tr>
    </w:tbl>
    <w:p w14:paraId="5F319625">
      <w:pPr>
        <w:spacing w:line="240" w:lineRule="atLeast"/>
        <w:ind w:firstLine="560" w:firstLineChars="200"/>
        <w:jc w:val="left"/>
        <w:rPr>
          <w:rFonts w:ascii="Times New Roman" w:hAnsi="Times New Roman" w:eastAsia="黑体" w:cs="黑体"/>
          <w:bCs/>
          <w:color w:val="auto"/>
        </w:rPr>
      </w:pPr>
      <w:r>
        <w:rPr>
          <w:rFonts w:hint="eastAsia" w:ascii="Times New Roman" w:hAnsi="Times New Roman" w:cs="Times New Roman"/>
          <w:color w:val="auto"/>
          <w:sz w:val="28"/>
          <w:szCs w:val="28"/>
        </w:rPr>
        <w:t>从上述重大危险源辨识过程得知</w:t>
      </w:r>
      <w:r>
        <w:rPr>
          <w:rFonts w:hint="eastAsia" w:ascii="Times New Roman" w:hAnsi="Times New Roman" w:cs="Times New Roman"/>
          <w:bCs/>
          <w:color w:val="auto"/>
          <w:kern w:val="24"/>
          <w:sz w:val="28"/>
          <w:szCs w:val="28"/>
        </w:rPr>
        <w:t>：</w:t>
      </w:r>
      <w:r>
        <w:rPr>
          <w:rFonts w:hint="eastAsia" w:ascii="Times New Roman" w:hAnsi="Times New Roman" w:cs="Times New Roman"/>
          <w:b/>
          <w:color w:val="auto"/>
          <w:kern w:val="24"/>
          <w:sz w:val="28"/>
          <w:szCs w:val="28"/>
        </w:rPr>
        <w:t>该加油站</w:t>
      </w:r>
      <w:r>
        <w:rPr>
          <w:rFonts w:hint="eastAsia" w:ascii="Times New Roman" w:hAnsi="Times New Roman" w:cs="宋体"/>
          <w:b/>
          <w:color w:val="auto"/>
          <w:sz w:val="28"/>
          <w:szCs w:val="28"/>
        </w:rPr>
        <w:t>生产单元和储存单元</w:t>
      </w:r>
      <w:r>
        <w:rPr>
          <w:rFonts w:hint="eastAsia" w:ascii="Times New Roman" w:hAnsi="Times New Roman" w:cs="宋体"/>
          <w:b/>
          <w:color w:val="auto"/>
          <w:sz w:val="28"/>
          <w:szCs w:val="28"/>
          <w:lang w:val="zh-CN"/>
        </w:rPr>
        <w:t>均未</w:t>
      </w:r>
      <w:r>
        <w:rPr>
          <w:rFonts w:hint="eastAsia" w:ascii="Times New Roman" w:hAnsi="Times New Roman" w:cs="宋体"/>
          <w:b/>
          <w:bCs/>
          <w:color w:val="auto"/>
          <w:sz w:val="28"/>
          <w:szCs w:val="28"/>
          <w:lang w:val="zh-CN"/>
        </w:rPr>
        <w:t>构成重大危险源</w:t>
      </w:r>
      <w:r>
        <w:rPr>
          <w:rFonts w:hint="eastAsia" w:ascii="Times New Roman" w:hAnsi="Times New Roman" w:cs="宋体"/>
          <w:b/>
          <w:color w:val="auto"/>
          <w:sz w:val="28"/>
          <w:szCs w:val="28"/>
          <w:lang w:val="zh-CN"/>
        </w:rPr>
        <w:t>。</w:t>
      </w:r>
    </w:p>
    <w:p w14:paraId="2D01C5E7">
      <w:pPr>
        <w:keepNext/>
        <w:keepLines/>
        <w:spacing w:line="600" w:lineRule="exact"/>
        <w:outlineLvl w:val="1"/>
        <w:rPr>
          <w:rFonts w:ascii="Times New Roman" w:hAnsi="Times New Roman" w:cs="Times New Roman"/>
          <w:b/>
          <w:bCs/>
          <w:color w:val="auto"/>
          <w:sz w:val="28"/>
          <w:szCs w:val="28"/>
        </w:rPr>
      </w:pPr>
      <w:bookmarkStart w:id="63" w:name="_Toc5487"/>
      <w:r>
        <w:rPr>
          <w:rFonts w:ascii="Times New Roman" w:hAnsi="Times New Roman" w:cs="Times New Roman"/>
          <w:b/>
          <w:bCs/>
          <w:color w:val="auto"/>
          <w:sz w:val="28"/>
          <w:szCs w:val="28"/>
        </w:rPr>
        <w:t>3.4</w:t>
      </w:r>
      <w:r>
        <w:rPr>
          <w:rFonts w:hint="eastAsia" w:ascii="Times New Roman" w:hAnsi="Times New Roman" w:cs="宋体"/>
          <w:b/>
          <w:bCs/>
          <w:color w:val="auto"/>
          <w:sz w:val="28"/>
          <w:szCs w:val="28"/>
        </w:rPr>
        <w:t>加油站主要危险因素分析</w:t>
      </w:r>
      <w:bookmarkEnd w:id="55"/>
      <w:bookmarkEnd w:id="56"/>
      <w:bookmarkEnd w:id="63"/>
    </w:p>
    <w:p w14:paraId="2AACE357">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是指可能造成人员伤害、职业病、财产损失、作业环境破坏的根源或状态。危害是指特定危险事件发生的可能性与后果的结合。危害因素是指能对人造成伤亡或对物造成突发性损坏的因素，强调突发性和瞬间作用。从其产生的</w:t>
      </w:r>
      <w:r>
        <w:rPr>
          <w:rFonts w:hint="eastAsia" w:ascii="Times New Roman" w:hAnsi="Times New Roman" w:cs="宋体"/>
          <w:color w:val="auto"/>
          <w:sz w:val="28"/>
          <w:szCs w:val="28"/>
          <w:lang w:eastAsia="zh-CN"/>
        </w:rPr>
        <w:t>种类</w:t>
      </w:r>
      <w:r>
        <w:rPr>
          <w:rFonts w:hint="eastAsia" w:ascii="Times New Roman" w:hAnsi="Times New Roman" w:cs="宋体"/>
          <w:color w:val="auto"/>
          <w:sz w:val="28"/>
          <w:szCs w:val="28"/>
        </w:rPr>
        <w:t>及形式看，主要有火灾、爆炸、电气事故以及中毒等。</w:t>
      </w:r>
    </w:p>
    <w:p w14:paraId="318A2670">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有害因素是指能影响人的身体健康，导致疾病，或对物造成慢性损坏的因素，强调在一定范围内的积累作用。主要有生产性粉尘、毒物、噪声与振动、辐射、高温、低温等。</w:t>
      </w:r>
    </w:p>
    <w:p w14:paraId="2D4606BD">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按导致事故的直接原因进行分析，根据《生产过程危险和有害因素分类与代码》（</w:t>
      </w:r>
      <w:r>
        <w:rPr>
          <w:rFonts w:hint="eastAsia" w:ascii="Times New Roman" w:hAnsi="Times New Roman" w:cs="Times New Roman"/>
          <w:color w:val="auto"/>
          <w:spacing w:val="-4"/>
          <w:sz w:val="28"/>
          <w:szCs w:val="28"/>
        </w:rPr>
        <w:t>GB/T13861-2022</w:t>
      </w:r>
      <w:r>
        <w:rPr>
          <w:rFonts w:hint="eastAsia" w:ascii="Times New Roman" w:hAnsi="Times New Roman" w:cs="宋体"/>
          <w:color w:val="auto"/>
          <w:spacing w:val="-4"/>
          <w:sz w:val="28"/>
          <w:szCs w:val="28"/>
        </w:rPr>
        <w:t>）的规定，本项目存在以下四类危险、有害因素。</w:t>
      </w:r>
    </w:p>
    <w:p w14:paraId="2F354ED3">
      <w:pPr>
        <w:numPr>
          <w:ilvl w:val="0"/>
          <w:numId w:val="4"/>
        </w:num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人的因素</w:t>
      </w:r>
    </w:p>
    <w:p w14:paraId="39E88E4B">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、心理、生理性危险、有害因素</w:t>
      </w:r>
    </w:p>
    <w:p w14:paraId="25F523E8">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本项目中职工可能存在年龄、体质、受教育程度、操作熟练程度、心理承受能力、对事物的反应速度、休息好坏等差异。在生产过程中，存在过度疲劳、健康异常、心理异常（如情绪异常、过度紧张等）或有职业禁忌症，反应迟钝等，从而不能及时判断处理故障发生事故或引发事故。</w:t>
      </w:r>
    </w:p>
    <w:p w14:paraId="15C68838">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、行为性危险、有害因素</w:t>
      </w:r>
    </w:p>
    <w:p w14:paraId="3280462E">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行为性危险、有害因素主要表现为操作错误（如误操作、违章操作）或监护错误（如作业人员脱离岗位等）。</w:t>
      </w:r>
    </w:p>
    <w:p w14:paraId="52C3288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由于加油站是一个开放的经营场所，来往车辆多，车辆带来的是流动的外来人员，常有不明白加油站安全要求的人员进入加油站，并有点火吸烟、在加油区打手机、摩托车进站不熄火、用塑料桶装汽油等行为出现，这些人员的行为性危险有害因素需要加油站工作人员的安全引导和及时</w:t>
      </w:r>
      <w:r>
        <w:rPr>
          <w:rFonts w:hint="eastAsia" w:ascii="Times New Roman" w:hAnsi="Times New Roman" w:cs="宋体"/>
          <w:color w:val="auto"/>
          <w:sz w:val="28"/>
          <w:szCs w:val="28"/>
          <w:lang w:eastAsia="zh-CN"/>
        </w:rPr>
        <w:t>地</w:t>
      </w:r>
      <w:r>
        <w:rPr>
          <w:rFonts w:hint="eastAsia" w:ascii="Times New Roman" w:hAnsi="Times New Roman" w:cs="宋体"/>
          <w:color w:val="auto"/>
          <w:sz w:val="28"/>
          <w:szCs w:val="28"/>
        </w:rPr>
        <w:t>制止。因此，加油站的行为性危险、有害因素多表现在外来人员中。</w:t>
      </w:r>
    </w:p>
    <w:p w14:paraId="1FF5DC3C">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二、物的因素</w:t>
      </w:r>
    </w:p>
    <w:p w14:paraId="742643CF">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、物理性危险和有害因素</w:t>
      </w:r>
    </w:p>
    <w:p w14:paraId="1B891C9D">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）设备、设施缺陷</w:t>
      </w:r>
    </w:p>
    <w:p w14:paraId="14B64E19">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本项目中存在储罐、泵等设备、设施，如因设备基础、本体腐蚀、强度不够、安装质量低、管道密封不良、运动件损坏等可能引发各类事故。</w:t>
      </w:r>
    </w:p>
    <w:p w14:paraId="4706B4AE">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）电气危害</w:t>
      </w:r>
    </w:p>
    <w:p w14:paraId="1E5FE68A">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本项目中使用电气设备、设施，可能发生带电部位裸露、漏电、雷电、静电、电火花等电危害。</w:t>
      </w:r>
    </w:p>
    <w:p w14:paraId="5DA09C45">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3</w:t>
      </w:r>
      <w:r>
        <w:rPr>
          <w:rFonts w:hint="eastAsia" w:ascii="Times New Roman" w:hAnsi="Times New Roman" w:cs="宋体"/>
          <w:color w:val="auto"/>
          <w:sz w:val="28"/>
          <w:szCs w:val="28"/>
        </w:rPr>
        <w:t>）运动物危害</w:t>
      </w:r>
    </w:p>
    <w:p w14:paraId="7ED6B241">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本项目中的机泵在工作时可能发生机械伤人，另外，高处未固定好的物体或检修工具、器落下、飞出等。运输车辆可能因各种原因发生撞击设备或人员等。</w:t>
      </w:r>
    </w:p>
    <w:p w14:paraId="2E4D28B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4</w:t>
      </w:r>
      <w:r>
        <w:rPr>
          <w:rFonts w:hint="eastAsia" w:ascii="Times New Roman" w:hAnsi="Times New Roman" w:cs="宋体"/>
          <w:color w:val="auto"/>
          <w:sz w:val="28"/>
          <w:szCs w:val="28"/>
        </w:rPr>
        <w:t>）明火</w:t>
      </w:r>
    </w:p>
    <w:p w14:paraId="6076DA71">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包括检修动火，违章吸烟及汽车排气管尾气带火等。</w:t>
      </w:r>
    </w:p>
    <w:p w14:paraId="0D531B37">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5</w:t>
      </w:r>
      <w:r>
        <w:rPr>
          <w:rFonts w:hint="eastAsia" w:ascii="Times New Roman" w:hAnsi="Times New Roman" w:cs="宋体"/>
          <w:color w:val="auto"/>
          <w:sz w:val="28"/>
          <w:szCs w:val="28"/>
        </w:rPr>
        <w:t>）标志缺陷</w:t>
      </w:r>
    </w:p>
    <w:p w14:paraId="70A93CD3">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本项目标志缺陷主要可能在于未设置警示标志或标志不规范等。</w:t>
      </w:r>
    </w:p>
    <w:p w14:paraId="60AAB9DF">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（6）受限空间</w:t>
      </w:r>
    </w:p>
    <w:p w14:paraId="71FCC992">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该项目设置埋地油罐、地下人孔井，需要定期进入进行维护、清理和定检，由于其作业条件复杂等特点，在作业过程中极易发生人身伤害事故。</w:t>
      </w:r>
    </w:p>
    <w:p w14:paraId="0A800C66">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本项目设备油罐、地下人孔井属封闭空间作业，此空间存在通风不良，易造成易燃易爆、有毒有害等物质积聚或者氧含量不足。当作业人员对有限空间概念的陌生，</w:t>
      </w:r>
      <w:r>
        <w:rPr>
          <w:rFonts w:hint="eastAsia" w:ascii="Times New Roman" w:hAnsi="Times New Roman" w:cs="宋体"/>
          <w:color w:val="auto"/>
          <w:sz w:val="28"/>
          <w:szCs w:val="28"/>
          <w:lang w:eastAsia="zh-CN"/>
        </w:rPr>
        <w:t>以至于</w:t>
      </w:r>
      <w:r>
        <w:rPr>
          <w:rFonts w:hint="eastAsia" w:ascii="Times New Roman" w:hAnsi="Times New Roman" w:cs="宋体"/>
          <w:color w:val="auto"/>
          <w:sz w:val="28"/>
          <w:szCs w:val="28"/>
        </w:rPr>
        <w:t>根本无法认清相应空间存在的危害性；监护、救援人员相关知识的匮乏及救援设备的缺失可能发生有限空间作业事故。</w:t>
      </w:r>
    </w:p>
    <w:p w14:paraId="11F66573">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清理隔油池不按规程作业，可能发生有限空间作业事故。</w:t>
      </w:r>
    </w:p>
    <w:p w14:paraId="4D311562">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、化学性危险、有害因素</w:t>
      </w:r>
    </w:p>
    <w:p w14:paraId="637ECF6F">
      <w:pPr>
        <w:snapToGrid w:val="0"/>
        <w:spacing w:line="600" w:lineRule="exact"/>
        <w:ind w:firstLine="536" w:firstLineChars="200"/>
        <w:rPr>
          <w:rFonts w:ascii="Times New Roman" w:hAnsi="Times New Roman" w:cs="Times New Roman"/>
          <w:color w:val="auto"/>
          <w:spacing w:val="-6"/>
          <w:sz w:val="28"/>
          <w:szCs w:val="28"/>
        </w:rPr>
      </w:pPr>
      <w:r>
        <w:rPr>
          <w:rFonts w:hint="eastAsia" w:ascii="Times New Roman" w:hAnsi="Times New Roman" w:cs="宋体"/>
          <w:color w:val="auto"/>
          <w:spacing w:val="-6"/>
          <w:sz w:val="28"/>
          <w:szCs w:val="28"/>
        </w:rPr>
        <w:t>汽油危险性类别：生殖细胞致突变性，类别</w:t>
      </w:r>
      <w:r>
        <w:rPr>
          <w:rFonts w:ascii="Times New Roman" w:hAnsi="Times New Roman" w:cs="Times New Roman"/>
          <w:color w:val="auto"/>
          <w:spacing w:val="-6"/>
          <w:sz w:val="28"/>
          <w:szCs w:val="28"/>
        </w:rPr>
        <w:t>1B</w:t>
      </w:r>
      <w:r>
        <w:rPr>
          <w:rFonts w:hint="eastAsia" w:ascii="Times New Roman" w:hAnsi="Times New Roman" w:cs="宋体"/>
          <w:color w:val="auto"/>
          <w:spacing w:val="-6"/>
          <w:sz w:val="28"/>
          <w:szCs w:val="28"/>
        </w:rPr>
        <w:t>；致癌性，类别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；吸入危害，类别</w:t>
      </w:r>
      <w:r>
        <w:rPr>
          <w:rFonts w:ascii="Times New Roman" w:hAnsi="Times New Roman" w:cs="Times New Roman"/>
          <w:color w:val="auto"/>
          <w:spacing w:val="-6"/>
          <w:sz w:val="28"/>
          <w:szCs w:val="28"/>
        </w:rPr>
        <w:t>1</w:t>
      </w:r>
      <w:r>
        <w:rPr>
          <w:rFonts w:hint="eastAsia" w:ascii="Times New Roman" w:hAnsi="Times New Roman" w:cs="宋体"/>
          <w:color w:val="auto"/>
          <w:spacing w:val="-6"/>
          <w:sz w:val="28"/>
          <w:szCs w:val="28"/>
        </w:rPr>
        <w:t>；危害水生环境</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急性危害</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；危害水生环境</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长期危害</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w:t>
      </w:r>
    </w:p>
    <w:p w14:paraId="6103B808">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）易燃易爆性物质</w:t>
      </w:r>
    </w:p>
    <w:p w14:paraId="60E8C4D1">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本项目中汽油和柴油均是化学品液体。汽油为易燃液体（类别</w:t>
      </w:r>
      <w:r>
        <w:rPr>
          <w:rFonts w:ascii="Times New Roman" w:hAnsi="Times New Roman" w:cs="Times New Roman"/>
          <w:color w:val="auto"/>
          <w:sz w:val="28"/>
          <w:szCs w:val="28"/>
        </w:rPr>
        <w:t xml:space="preserve">2* </w:t>
      </w:r>
      <w:r>
        <w:rPr>
          <w:rFonts w:hint="eastAsia" w:ascii="Times New Roman" w:hAnsi="Times New Roman" w:cs="宋体"/>
          <w:color w:val="auto"/>
          <w:sz w:val="28"/>
          <w:szCs w:val="28"/>
        </w:rPr>
        <w:t>），其蒸汽与空气形成爆炸性气体，遇明火、高热易燃烧爆炸；柴油为易燃液体（类别</w:t>
      </w:r>
      <w:r>
        <w:rPr>
          <w:rFonts w:ascii="Times New Roman" w:hAnsi="Times New Roman" w:cs="Times New Roman"/>
          <w:color w:val="auto"/>
          <w:sz w:val="28"/>
          <w:szCs w:val="28"/>
        </w:rPr>
        <w:t>3</w:t>
      </w:r>
      <w:r>
        <w:rPr>
          <w:rFonts w:hint="eastAsia" w:ascii="Times New Roman" w:hAnsi="Times New Roman" w:cs="宋体"/>
          <w:color w:val="auto"/>
          <w:sz w:val="28"/>
          <w:szCs w:val="28"/>
        </w:rPr>
        <w:t>），遇明火、高热或与氧化剂接触，有引起燃烧爆炸的危险。</w:t>
      </w:r>
    </w:p>
    <w:p w14:paraId="539B8E54">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）有毒物质</w:t>
      </w:r>
    </w:p>
    <w:p w14:paraId="794E30E8">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汽油及柴油经口、鼻进入人体的呼吸系统，能使人体器官损害而产生急性或慢性中毒。当空气中油气含量为</w:t>
      </w:r>
      <w:r>
        <w:rPr>
          <w:rFonts w:ascii="Times New Roman" w:hAnsi="Times New Roman" w:cs="Times New Roman"/>
          <w:color w:val="auto"/>
          <w:sz w:val="28"/>
          <w:szCs w:val="28"/>
        </w:rPr>
        <w:t>0.28%</w:t>
      </w:r>
      <w:r>
        <w:rPr>
          <w:rFonts w:hint="eastAsia" w:ascii="Times New Roman" w:hAnsi="Times New Roman" w:cs="宋体"/>
          <w:color w:val="auto"/>
          <w:sz w:val="28"/>
          <w:szCs w:val="28"/>
        </w:rPr>
        <w:t>，人在该环境中经过</w:t>
      </w:r>
      <w:r>
        <w:rPr>
          <w:rFonts w:ascii="Times New Roman" w:hAnsi="Times New Roman" w:cs="Times New Roman"/>
          <w:color w:val="auto"/>
          <w:sz w:val="28"/>
          <w:szCs w:val="28"/>
        </w:rPr>
        <w:t>12</w:t>
      </w:r>
      <w:r>
        <w:rPr>
          <w:rFonts w:hint="eastAsia" w:ascii="Times New Roman" w:hAnsi="Times New Roman" w:cs="宋体"/>
          <w:color w:val="auto"/>
          <w:sz w:val="28"/>
          <w:szCs w:val="28"/>
        </w:rPr>
        <w:t>～</w:t>
      </w:r>
      <w:r>
        <w:rPr>
          <w:rFonts w:ascii="Times New Roman" w:hAnsi="Times New Roman" w:cs="Times New Roman"/>
          <w:color w:val="auto"/>
          <w:sz w:val="28"/>
          <w:szCs w:val="28"/>
        </w:rPr>
        <w:t>14min</w:t>
      </w:r>
      <w:r>
        <w:rPr>
          <w:rFonts w:hint="eastAsia" w:ascii="Times New Roman" w:hAnsi="Times New Roman" w:cs="宋体"/>
          <w:color w:val="auto"/>
          <w:sz w:val="28"/>
          <w:szCs w:val="28"/>
        </w:rPr>
        <w:t>便会有头晕感；如含量达到</w:t>
      </w:r>
      <w:r>
        <w:rPr>
          <w:rFonts w:ascii="Times New Roman" w:hAnsi="Times New Roman" w:cs="Times New Roman"/>
          <w:color w:val="auto"/>
          <w:sz w:val="28"/>
          <w:szCs w:val="28"/>
        </w:rPr>
        <w:t>1.13%</w:t>
      </w:r>
      <w:r>
        <w:rPr>
          <w:rFonts w:hint="eastAsia" w:ascii="Times New Roman" w:hAnsi="Times New Roman" w:cs="宋体"/>
          <w:color w:val="auto"/>
          <w:sz w:val="28"/>
          <w:szCs w:val="28"/>
        </w:rPr>
        <w:t>～</w:t>
      </w:r>
      <w:r>
        <w:rPr>
          <w:rFonts w:ascii="Times New Roman" w:hAnsi="Times New Roman" w:cs="Times New Roman"/>
          <w:color w:val="auto"/>
          <w:sz w:val="28"/>
          <w:szCs w:val="28"/>
        </w:rPr>
        <w:t>2.22%</w:t>
      </w:r>
      <w:r>
        <w:rPr>
          <w:rFonts w:hint="eastAsia" w:ascii="Times New Roman" w:hAnsi="Times New Roman" w:cs="宋体"/>
          <w:color w:val="auto"/>
          <w:sz w:val="28"/>
          <w:szCs w:val="28"/>
        </w:rPr>
        <w:t>，将会使人难以支持；含量更高时，则会使人立即晕倒，失去知觉，造成急性中毒。若皮肤经常与油品接触，则会产生脱脂、干燥、裂口、皮炎或局部神经麻木等症状；油品进入口腔、眼睛时，会使黏膜枯萎，有时还会引起局部充血。</w:t>
      </w:r>
    </w:p>
    <w:p w14:paraId="01CE9275">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三、环境因素</w:t>
      </w:r>
    </w:p>
    <w:p w14:paraId="2870F75C">
      <w:pPr>
        <w:spacing w:line="600" w:lineRule="exact"/>
        <w:ind w:firstLine="560" w:firstLineChars="200"/>
        <w:rPr>
          <w:rFonts w:ascii="Times New Roman" w:hAnsi="Times New Roman" w:cs="Times New Roman"/>
          <w:color w:val="auto"/>
        </w:rPr>
      </w:pPr>
      <w:r>
        <w:rPr>
          <w:rFonts w:hint="eastAsia" w:ascii="Times New Roman" w:hAnsi="Times New Roman" w:cs="宋体"/>
          <w:color w:val="auto"/>
          <w:sz w:val="28"/>
          <w:szCs w:val="28"/>
        </w:rPr>
        <w:t>本项目作业环境不良主要包括高温高湿环境、雷雨天气、夜间作业采光照明不良、作业场所地面不平整及台风等自然灾害。</w:t>
      </w:r>
    </w:p>
    <w:p w14:paraId="04FBB637">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本项目中其他危险、有害因素主要表现为周边环境、公用辅助设施的保证等。</w:t>
      </w:r>
    </w:p>
    <w:p w14:paraId="28D7085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四、管理因素</w:t>
      </w:r>
    </w:p>
    <w:p w14:paraId="0C0DEB9E">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本项目管理缺陷主要为安全教育培训、职业健康管理不完善，包括安全教育培训、人员持证、职业健康体检及其档案管理等不完善。</w:t>
      </w:r>
    </w:p>
    <w:p w14:paraId="375CF18E">
      <w:pPr>
        <w:keepNext/>
        <w:keepLines/>
        <w:spacing w:line="600" w:lineRule="exact"/>
        <w:outlineLvl w:val="1"/>
        <w:rPr>
          <w:rFonts w:ascii="Times New Roman" w:hAnsi="Times New Roman" w:cs="Times New Roman"/>
          <w:b/>
          <w:bCs/>
          <w:color w:val="auto"/>
          <w:sz w:val="28"/>
          <w:szCs w:val="28"/>
        </w:rPr>
      </w:pPr>
      <w:bookmarkStart w:id="64" w:name="_Toc2908"/>
      <w:bookmarkStart w:id="65" w:name="_Toc20706"/>
      <w:bookmarkStart w:id="66" w:name="_Toc16859"/>
      <w:bookmarkStart w:id="67" w:name="_Toc17404"/>
      <w:r>
        <w:rPr>
          <w:rFonts w:ascii="Times New Roman" w:hAnsi="Times New Roman" w:cs="Times New Roman"/>
          <w:b/>
          <w:bCs/>
          <w:color w:val="auto"/>
          <w:sz w:val="28"/>
          <w:szCs w:val="28"/>
        </w:rPr>
        <w:t>3.5</w:t>
      </w:r>
      <w:r>
        <w:rPr>
          <w:rFonts w:hint="eastAsia" w:ascii="Times New Roman" w:hAnsi="Times New Roman" w:cs="宋体"/>
          <w:b/>
          <w:bCs/>
          <w:color w:val="auto"/>
          <w:sz w:val="28"/>
          <w:szCs w:val="28"/>
        </w:rPr>
        <w:t>经营过程中的危险辨识</w:t>
      </w:r>
      <w:bookmarkEnd w:id="64"/>
      <w:bookmarkEnd w:id="65"/>
      <w:bookmarkEnd w:id="66"/>
      <w:bookmarkEnd w:id="67"/>
    </w:p>
    <w:p w14:paraId="7037C5C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由于能量的积聚和有害物质的存在是危险、有害因素产生的根源，系统具有的能量越大，存在的有害物质的数量越多，系统的潜在危险性和危害性也越大。能量和有害物质的失控是危险，有害因素产生的条件，失控主要体现在设备故障，人为失误，管理缺陷，环境因素四个方面。</w:t>
      </w:r>
    </w:p>
    <w:p w14:paraId="14958A7D">
      <w:pPr>
        <w:spacing w:line="600" w:lineRule="exact"/>
        <w:ind w:firstLine="516" w:firstLineChars="200"/>
        <w:rPr>
          <w:rFonts w:ascii="Times New Roman" w:hAnsi="Times New Roman" w:cs="Times New Roman"/>
          <w:color w:val="auto"/>
          <w:spacing w:val="-8"/>
          <w:sz w:val="28"/>
          <w:szCs w:val="28"/>
        </w:rPr>
      </w:pPr>
      <w:r>
        <w:rPr>
          <w:rFonts w:hint="eastAsia" w:ascii="Times New Roman" w:hAnsi="Times New Roman" w:cs="宋体"/>
          <w:color w:val="auto"/>
          <w:spacing w:val="-11"/>
          <w:sz w:val="28"/>
          <w:szCs w:val="28"/>
        </w:rPr>
        <w:t>通过对该企业提供的有关资料的分析，结合现场调研和类比企业装置现场调查、了解的资料分析，按照《生产安全事故分类与编码》</w:t>
      </w:r>
      <w:r>
        <w:rPr>
          <w:rFonts w:ascii="Times New Roman" w:hAnsi="Times New Roman" w:cs="Times New Roman"/>
          <w:color w:val="auto"/>
          <w:spacing w:val="-11"/>
          <w:sz w:val="28"/>
          <w:szCs w:val="28"/>
        </w:rPr>
        <w:t>GB6441-</w:t>
      </w:r>
      <w:r>
        <w:rPr>
          <w:rFonts w:hint="eastAsia" w:ascii="Times New Roman" w:hAnsi="Times New Roman" w:cs="Times New Roman"/>
          <w:color w:val="auto"/>
          <w:spacing w:val="-11"/>
          <w:sz w:val="28"/>
          <w:szCs w:val="28"/>
          <w:lang w:val="en-US" w:eastAsia="zh-CN"/>
        </w:rPr>
        <w:t>2025</w:t>
      </w:r>
      <w:r>
        <w:rPr>
          <w:rFonts w:hint="eastAsia" w:ascii="Times New Roman" w:hAnsi="Times New Roman" w:cs="宋体"/>
          <w:color w:val="auto"/>
          <w:spacing w:val="-11"/>
          <w:sz w:val="28"/>
          <w:szCs w:val="28"/>
        </w:rPr>
        <w:t>的规定，对本项目存在危险因素归纳汇总。各单元危险性具体分析见危险性分析评价。</w:t>
      </w:r>
    </w:p>
    <w:p w14:paraId="575FAEB9">
      <w:pPr>
        <w:widowControl/>
        <w:spacing w:line="600" w:lineRule="exact"/>
        <w:outlineLvl w:val="2"/>
        <w:rPr>
          <w:rFonts w:hint="eastAsia" w:ascii="Times New Roman" w:hAnsi="Times New Roman" w:eastAsia="宋体" w:cs="Times New Roman"/>
          <w:b/>
          <w:bCs/>
          <w:color w:val="auto"/>
          <w:kern w:val="0"/>
          <w:sz w:val="28"/>
          <w:szCs w:val="28"/>
          <w:lang w:val="en-US" w:eastAsia="zh-CN"/>
        </w:rPr>
      </w:pPr>
      <w:bookmarkStart w:id="68" w:name="_Toc9570"/>
      <w:bookmarkStart w:id="69" w:name="_Toc12873"/>
      <w:bookmarkStart w:id="70" w:name="_Toc16083"/>
      <w:r>
        <w:rPr>
          <w:rFonts w:ascii="Times New Roman" w:hAnsi="Times New Roman" w:cs="Times New Roman"/>
          <w:b/>
          <w:bCs/>
          <w:color w:val="auto"/>
          <w:kern w:val="0"/>
          <w:sz w:val="28"/>
          <w:szCs w:val="28"/>
        </w:rPr>
        <w:t>3.5.1</w:t>
      </w:r>
      <w:bookmarkEnd w:id="68"/>
      <w:bookmarkEnd w:id="69"/>
      <w:bookmarkEnd w:id="70"/>
      <w:r>
        <w:rPr>
          <w:rFonts w:hint="eastAsia" w:ascii="Times New Roman" w:hAnsi="Times New Roman" w:cs="宋体"/>
          <w:b/>
          <w:bCs/>
          <w:color w:val="auto"/>
          <w:kern w:val="0"/>
          <w:sz w:val="28"/>
          <w:szCs w:val="28"/>
        </w:rPr>
        <w:t>火灾、可燃液体蒸汽爆炸、容器爆</w:t>
      </w:r>
      <w:r>
        <w:rPr>
          <w:rFonts w:hint="eastAsia" w:ascii="Times New Roman" w:hAnsi="Times New Roman" w:cs="宋体"/>
          <w:b/>
          <w:bCs/>
          <w:color w:val="auto"/>
          <w:kern w:val="0"/>
          <w:sz w:val="28"/>
          <w:szCs w:val="28"/>
          <w:lang w:val="en-US" w:eastAsia="zh-CN"/>
        </w:rPr>
        <w:t>炸</w:t>
      </w:r>
    </w:p>
    <w:p w14:paraId="444E075E">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(1)项目涉及的汽油蒸气与空气形成爆炸性混合物，遇明火、高热极易</w:t>
      </w:r>
      <w:r>
        <w:rPr>
          <w:rFonts w:hint="eastAsia" w:ascii="Times New Roman" w:hAnsi="Times New Roman" w:cs="宋体"/>
          <w:color w:val="auto"/>
          <w:spacing w:val="-11"/>
          <w:sz w:val="28"/>
          <w:szCs w:val="28"/>
        </w:rPr>
        <w:t>燃烧爆炸。与氧化剂能发生强烈反应。其蒸气比空气重，能在较低处扩散到相当远的地方，遇明火会引着回燃，引发火灾、爆炸事故。柴油蒸气与空气形成可燃混合气，达到爆炸极限范围后，再遇到点火源后火灾、爆炸</w:t>
      </w:r>
      <w:r>
        <w:rPr>
          <w:rFonts w:hint="eastAsia" w:ascii="Times New Roman" w:hAnsi="Times New Roman" w:cs="宋体"/>
          <w:color w:val="auto"/>
          <w:sz w:val="28"/>
          <w:szCs w:val="28"/>
        </w:rPr>
        <w:t>事故。</w:t>
      </w:r>
    </w:p>
    <w:p w14:paraId="0E9B78E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(2)汽油、柴油在装卸、输送过程中流速过快，或者贮罐、管道等无导静电措施，可能产生静电积聚，由静电火花而引起火灾、爆炸事故。</w:t>
      </w:r>
    </w:p>
    <w:p w14:paraId="07D3309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(3)汽油、柴油贮罐无高液位控制措施，卸油时造成满溢泄漏，遇火源，可引发发生火灾、爆炸事故。</w:t>
      </w:r>
    </w:p>
    <w:p w14:paraId="302DADEC">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(4)汽油、柴油贮罐设置为地下式贮罐，埋地贮罐未设置相应的防腐措施，或焊接质量不合格，长年使用，发生罐体腐蚀引发油品泄漏，若遇点火源，可引发火灾、爆炸事故。</w:t>
      </w:r>
    </w:p>
    <w:p w14:paraId="7F233E9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(5)地下输油管道未设置相应的防腐措施，或焊接质量不合格，使用时间过长易造成管道腐蚀穿孔，导致油品泄漏，若遇点火源，可引发火灾、爆炸事故。</w:t>
      </w:r>
    </w:p>
    <w:p w14:paraId="353F1AEB">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(6)地下输油管线的地沟未用沙填实，油气积聚达到爆炸极限浓度，可引发火灾、爆炸事故。</w:t>
      </w:r>
    </w:p>
    <w:p w14:paraId="2A2E2565">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(7)油罐通气管、呼吸阀维护不当等原因，不能正常关闭，易导致油品大量挥发，当浓度到达爆炸极限，若遇点火源，可引发火灾、爆炸事故。</w:t>
      </w:r>
    </w:p>
    <w:p w14:paraId="088C5235">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(8)卸完油如果立即启动油罐车，油罐车周围的油气未消散，可能会引起油气燃烧、爆炸。</w:t>
      </w:r>
    </w:p>
    <w:p w14:paraId="446BEE90">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(9)在加油过程中，进站加油车辆未熄火、或者有人员在加油作业区违章用火，可能使挥发的油气与火源接触后闪燃，引发火灾事故。</w:t>
      </w:r>
    </w:p>
    <w:p w14:paraId="4C1B23D3">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(10)加油员若违反规程向塑料容器加注油品，易造成静电积聚放电，会引起油品或油气燃烧，发生火灾。</w:t>
      </w:r>
    </w:p>
    <w:p w14:paraId="3D8D846C">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(11)加油过程，洒在地上的汽油不及时处理或处理不当，会引起地面汽油燃烧，发生火灾危险。</w:t>
      </w:r>
    </w:p>
    <w:p w14:paraId="2CD1FD3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(12)站区内建构筑物未设置防雷设施、防雷设施失效，可能因雷电造成火灾、爆炸事故。</w:t>
      </w:r>
    </w:p>
    <w:p w14:paraId="22CCE4E0">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(13)项目设有一定量的电力电缆，这些电缆分别连接着各个电气设备。电缆自身故障产生的电弧、附近发生着火、短路或超负荷等可引起电力电缆火灾。线路因绝缘下降导致短路，存在着火灾、爆炸的危险。</w:t>
      </w:r>
    </w:p>
    <w:p w14:paraId="7991F8F5">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(14)加油区、油罐区等爆炸危险区域的电气设备若未按防爆要求设置，易产生电火花，引起火灾、爆炸事故。</w:t>
      </w:r>
    </w:p>
    <w:p w14:paraId="01366DD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(15)加油区、油罐区、站房等建构筑物、设备、管道未设置静电接地或静电接地设施失效，可能导致火灾、爆炸事故。</w:t>
      </w:r>
    </w:p>
    <w:p w14:paraId="0CD82C9C">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(16)在对油罐区、加油区等爆炸危险区域的汽油贮罐、输油管线、加油机等进行检修时，如设备、管道未置换或未完全置换，导致空气进入与汽油蒸汽爆炸性混合物，遇明火、高热能等，可引起火灾、爆炸事故。</w:t>
      </w:r>
    </w:p>
    <w:p w14:paraId="0A04C9E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(17)卸油车卸油时未做好静电接地，可能引起火灾爆炸事故。</w:t>
      </w:r>
    </w:p>
    <w:p w14:paraId="5528760B">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(18)进油管伸至罐内距罐底深度不够，可能在罐内产生油品喷溅，引发静电火灾事故。</w:t>
      </w:r>
    </w:p>
    <w:p w14:paraId="08762E0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(19)车辆碰撞事故、加油车辆带枪启动、卸油车辆滑行、使用手机等造成火灾爆炸事故。</w:t>
      </w:r>
    </w:p>
    <w:p w14:paraId="16DDB462">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(20)当罐池受地下水或雨水作用，油罐基础不均匀下沉或地下水浮力大，防上浮措施失效造成油罐发生倾斜，拉断油品管道，造成油品泄漏引发爆炸事故。</w:t>
      </w:r>
    </w:p>
    <w:p w14:paraId="5199F5D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(21)拆除油罐管线操作不当，未穿戴劳保工具。</w:t>
      </w:r>
    </w:p>
    <w:p w14:paraId="1699788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(22)人员违章动火，产生火花引起爆炸事故。</w:t>
      </w:r>
    </w:p>
    <w:p w14:paraId="615305EE">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(23)手机，电脑等电子产品充电或使用过程产生电火花引起爆炸事故。</w:t>
      </w:r>
    </w:p>
    <w:p w14:paraId="625E302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(24)卸油车与加油车辆发生碰撞引发火灾爆炸事故。</w:t>
      </w:r>
    </w:p>
    <w:p w14:paraId="6CEEE8C6">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(25)卸油车辆冲撞加油机导致起火引发火灾爆炸。</w:t>
      </w:r>
    </w:p>
    <w:p w14:paraId="08DEBBDA">
      <w:pPr>
        <w:widowControl/>
        <w:spacing w:line="600" w:lineRule="exact"/>
        <w:outlineLvl w:val="2"/>
        <w:rPr>
          <w:rFonts w:hint="eastAsia" w:ascii="Times New Roman" w:hAnsi="Times New Roman" w:cs="Times New Roman"/>
          <w:b/>
          <w:bCs/>
          <w:color w:val="auto"/>
          <w:kern w:val="0"/>
          <w:sz w:val="28"/>
          <w:szCs w:val="28"/>
        </w:rPr>
      </w:pPr>
      <w:r>
        <w:rPr>
          <w:rFonts w:hint="eastAsia" w:ascii="Times New Roman" w:hAnsi="Times New Roman" w:cs="Times New Roman"/>
          <w:b/>
          <w:bCs/>
          <w:color w:val="auto"/>
          <w:kern w:val="0"/>
          <w:sz w:val="28"/>
          <w:szCs w:val="28"/>
          <w:lang w:val="en-US" w:eastAsia="zh-CN"/>
        </w:rPr>
        <w:t>3.5.</w:t>
      </w:r>
      <w:r>
        <w:rPr>
          <w:rFonts w:hint="eastAsia" w:ascii="Times New Roman" w:hAnsi="Times New Roman" w:cs="Times New Roman"/>
          <w:b/>
          <w:bCs/>
          <w:color w:val="auto"/>
          <w:kern w:val="0"/>
          <w:sz w:val="28"/>
          <w:szCs w:val="28"/>
        </w:rPr>
        <w:t>2中毒</w:t>
      </w:r>
      <w:r>
        <w:rPr>
          <w:rFonts w:hint="eastAsia" w:ascii="Times New Roman" w:hAnsi="Times New Roman" w:cs="Times New Roman"/>
          <w:b/>
          <w:bCs/>
          <w:color w:val="auto"/>
          <w:kern w:val="0"/>
          <w:sz w:val="28"/>
          <w:szCs w:val="28"/>
          <w:lang w:eastAsia="zh-CN"/>
        </w:rPr>
        <w:t>、</w:t>
      </w:r>
      <w:r>
        <w:rPr>
          <w:rFonts w:hint="eastAsia" w:ascii="Times New Roman" w:hAnsi="Times New Roman" w:cs="Times New Roman"/>
          <w:b/>
          <w:bCs/>
          <w:color w:val="auto"/>
          <w:kern w:val="0"/>
          <w:sz w:val="28"/>
          <w:szCs w:val="28"/>
        </w:rPr>
        <w:t>窒息</w:t>
      </w:r>
    </w:p>
    <w:p w14:paraId="4D0D275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汽油、柴油对人体均有一定的危害性，人体接触或吸入可引发中毒事故，具体危害如下。</w:t>
      </w:r>
    </w:p>
    <w:p w14:paraId="625B83D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(1)汽油是一种有机溶剂，对神经系统具有较高的亲和力和毒害作用，人体经呼吸道长期吸入一定浓度的汽油后，可引起慢性中毒。</w:t>
      </w:r>
    </w:p>
    <w:p w14:paraId="5EC54A7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汽油急性中毒对中枢神经系统有麻醉作用，出现意识丧失，反射性呼吸停止;中毒性脑病、化学性肺炎等;慢性中毒则出现神经衰弱、植物神经功能紊乱等。溅入眼内可致角膜损害，甚至失明。皮肤接触致接触性皮炎或灼伤。吞咽引起急性胃肠炎，重者出现类似急性吸入中毒症状，并可引起肝、肾损害。</w:t>
      </w:r>
    </w:p>
    <w:p w14:paraId="07F6674B">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(3)皮肤接触为主要吸收途径。柴油可引起接触性皮炎、油性痤疮。吸入其雾滴或液体呛入可引起吸入性肺炎。柴油废气可引起眼、鼻刺激症状，头晕及头痛。</w:t>
      </w:r>
    </w:p>
    <w:p w14:paraId="3D9FD60A">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(4)进入贮罐内检修时，因设备内未置换合格或未采取有效的隔绝措施，进入设备前或作业期间未按规定取样分析合格，可能造成人员中毒或窒息。</w:t>
      </w:r>
    </w:p>
    <w:p w14:paraId="746F7489">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(5)油罐超装溢料、加油枪自封装置失效、辆碰撞事故、加油车辆带枪启动、卸油车辆滑行等导致泄漏，火灾爆炸，造成中毒</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rPr>
        <w:t>窒息。</w:t>
      </w:r>
    </w:p>
    <w:p w14:paraId="6D669001">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(6)拆除油罐管线操作不当，未穿戴劳保工具。</w:t>
      </w:r>
    </w:p>
    <w:p w14:paraId="2DEE023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(7)汽油火灾爆炸后所产生的化学物质和燃烧过程会释放出大量的有毒气体，这些有毒气体进入呼吸道后，会引起咳嗽、喘息、剧痛等症状，严重时甚至会导致窒息。</w:t>
      </w:r>
    </w:p>
    <w:p w14:paraId="5E39C365">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(8)在卸油、加油过程如有大量汽油、柴油泄漏就易造成作业人员窒息。</w:t>
      </w:r>
    </w:p>
    <w:p w14:paraId="6D004C5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(9)加油区、油罐区和载油设施维修时，特别是进入罐内作业时，违章操作，未严格执行检修作业规定，如未进行置换、未佩戴防护用品、无人监护时进入罐内作业等，均有可能导致工作人员发生窒息事故。</w:t>
      </w:r>
    </w:p>
    <w:p w14:paraId="42A198C8">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rPr>
        <w:t>(10)站房发生火灾，可燃物质燃烧的烟气可能会导致工作人员窒息死</w:t>
      </w:r>
      <w:r>
        <w:rPr>
          <w:rFonts w:hint="eastAsia" w:ascii="Times New Roman" w:hAnsi="Times New Roman" w:cs="宋体"/>
          <w:color w:val="auto"/>
          <w:sz w:val="28"/>
          <w:szCs w:val="28"/>
          <w:lang w:val="en-US" w:eastAsia="zh-CN"/>
        </w:rPr>
        <w:t>。</w:t>
      </w:r>
    </w:p>
    <w:p w14:paraId="7D424F46">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3.5.3泄漏</w:t>
      </w:r>
    </w:p>
    <w:p w14:paraId="6F2238DA">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(1)卸油过程油品泄漏</w:t>
      </w:r>
    </w:p>
    <w:p w14:paraId="6F4FC905">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潜在危险源形成条件:1)快速接头未卡紧或接头损坏。2)接头内部密封垫片损坏。3)卸油车辆滑行使得卸油管接口断开。</w:t>
      </w:r>
    </w:p>
    <w:p w14:paraId="0E300E79">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(2)储罐泄漏</w:t>
      </w:r>
    </w:p>
    <w:p w14:paraId="3B1DC1A1">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潜在危险源形成条件:超过设计使用年限、受到腐蚀性介质侵蚀穿孔、卸油时超装溢料、雨水漫灌使得储罐漂浮及管道断裂等。</w:t>
      </w:r>
    </w:p>
    <w:p w14:paraId="09BB2A53">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(3)加油机、管道泄漏</w:t>
      </w:r>
    </w:p>
    <w:p w14:paraId="38D017B6">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设备超过设计使用年限、阀门、密封、软管、加油枪等处密封损坏，管道受到腐蚀介质侵蚀导致穿孔、自封式加油枪失效、防溢阀失效导致油罐溢料。车辆碰撞加油机，导致加油机内部管道破裂油品泄漏。</w:t>
      </w:r>
    </w:p>
    <w:p w14:paraId="68FC8742">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(4)加油机的加油软管泄漏</w:t>
      </w:r>
    </w:p>
    <w:p w14:paraId="189399AB">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潜在危险源形成条件:加油汽车忘记将加油枪从油箱口移开就开车，而导致加油软管被拉断或加油机被拉到。</w:t>
      </w:r>
    </w:p>
    <w:p w14:paraId="69B16B90">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(5)汽车油箱、储罐加满溢漏</w:t>
      </w:r>
    </w:p>
    <w:p w14:paraId="48EF1A65">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潜在危险源形成条件:汽车油箱、储罐加满、卸油车辆发生意外碰撞。</w:t>
      </w:r>
    </w:p>
    <w:p w14:paraId="3AC288A5">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（6）油罐池</w:t>
      </w:r>
    </w:p>
    <w:p w14:paraId="54D5CF28">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潜在危险源形成条件:油罐池防渗漏质量差和施工质量差。罐池雨水排放不顺畅或不及时，导致油罐漂浮管道松动油品泄漏。</w:t>
      </w:r>
    </w:p>
    <w:p w14:paraId="013D054F">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(7)油罐车</w:t>
      </w:r>
    </w:p>
    <w:p w14:paraId="5A857DC0">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潜在危险源形成条件:油罐车超过使用年限、受到外力作用发生破坏。</w:t>
      </w:r>
    </w:p>
    <w:p w14:paraId="2403560D">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(8)卸油软管</w:t>
      </w:r>
    </w:p>
    <w:p w14:paraId="07022BB1">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潜在危险源形成条件:软管超过使用年限、受到外力作用发生破坏。</w:t>
      </w:r>
    </w:p>
    <w:p w14:paraId="17A90DA9">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3.5.4触电</w:t>
      </w:r>
    </w:p>
    <w:p w14:paraId="0EAC8B1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站内有动力、照明配电屏(柜)等电气设备，在春夏季节多雨、潮湿、高温，由于电器绝缘不好，引起漏电，电线裸露、短路、作业人员违反操作规程、设备缺陷、防护设施不到位、防护措施不落实、不正确佩戴劳动保护用品，可能发生触电。</w:t>
      </w:r>
    </w:p>
    <w:p w14:paraId="5E17F1D1">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3.5.5厂(场)内车辆致害</w:t>
      </w:r>
    </w:p>
    <w:p w14:paraId="77C27F4C">
      <w:pPr>
        <w:spacing w:line="600" w:lineRule="exact"/>
        <w:ind w:firstLine="560" w:firstLineChars="200"/>
        <w:rPr>
          <w:rFonts w:hint="eastAsia" w:ascii="Times New Roman" w:hAnsi="Times New Roman" w:cs="宋体"/>
          <w:color w:val="auto"/>
          <w:spacing w:val="-11"/>
          <w:sz w:val="28"/>
          <w:szCs w:val="28"/>
        </w:rPr>
      </w:pPr>
      <w:r>
        <w:rPr>
          <w:rFonts w:hint="eastAsia" w:ascii="Times New Roman" w:hAnsi="Times New Roman" w:cs="宋体"/>
          <w:color w:val="auto"/>
          <w:sz w:val="28"/>
          <w:szCs w:val="28"/>
        </w:rPr>
        <w:t>加油车辆频繁出入，并且成品油是通过汽车运输来完成的。站区内部的生产设施和生活设施的平面布置、内部道路的设计、交通标志和安全标志设置、照明的质量、绿化的规划、车辆的管理、交通指挥等方面的缺陷、人员违反操作规程，精力不集中，疲劳过度、酒后驾车均可能引发车辆交通事故。车辆碰撞事故、加油车辆带枪启动、卸油车辆滑行等事故。在成</w:t>
      </w:r>
      <w:r>
        <w:rPr>
          <w:rFonts w:hint="eastAsia" w:ascii="Times New Roman" w:hAnsi="Times New Roman" w:cs="宋体"/>
          <w:color w:val="auto"/>
          <w:spacing w:val="-11"/>
          <w:sz w:val="28"/>
          <w:szCs w:val="28"/>
        </w:rPr>
        <w:t>品油运输装卸过程由于违规或管理缺陷、使用不当有可能发生运输交通事故。</w:t>
      </w:r>
    </w:p>
    <w:p w14:paraId="7C5110BE">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3.5.6高处坠落</w:t>
      </w:r>
    </w:p>
    <w:p w14:paraId="674C754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在对罩棚顶部的照明或其他设施进行检查、更换或其他作业，属高空作业，按高空作业安全操作规程执行，应有专人监护，有牢固的防护用品。站房及罩棚顶维修或更换照明灯作业，其高度超过2m，当扶梯打滑或无人监护导致滑倒属于高处坠落。</w:t>
      </w:r>
    </w:p>
    <w:p w14:paraId="70549518">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3.5.7噪声</w:t>
      </w:r>
    </w:p>
    <w:p w14:paraId="7696F56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本加油站的噪音源主要为进入站内的汽车发动机和汽车喇叭产生的噪声，但没有长时间连续产生噪音，不会给现场作业人员的健康带来危害。</w:t>
      </w:r>
    </w:p>
    <w:p w14:paraId="02CA6E15">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3.5.8物体打击</w:t>
      </w:r>
    </w:p>
    <w:p w14:paraId="615348C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站房屋顶以及加油区罩棚在维修、更换照明灯等操作时，如有不慎可能发生高空落物的伤害事故。</w:t>
      </w:r>
    </w:p>
    <w:p w14:paraId="69BF465C">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3.5.9跌落</w:t>
      </w:r>
    </w:p>
    <w:p w14:paraId="1F7013F3">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未按规范放坡或支护不足，员工、顾客注意力分散、夜间光线差、身体重心不稳，穿拖鞋、高跟鞋、鞋底沾油，雨天油污导致岛面湿滑，易踩空或滑倒，容易脚踝扭伤、骨折、头部撞击加油机、地面。</w:t>
      </w:r>
    </w:p>
    <w:p w14:paraId="4970CF6E">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3.5.10机械致害</w:t>
      </w:r>
    </w:p>
    <w:p w14:paraId="305F162E">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设备老化和磨损:设备长期使用后，设备的某些部件会出现老化和磨损，导致设备运行不稳定，容易出现机械故障。操作不当:操作人员对设备的使用方法和操作规程不熟悉，容易导致操作不当，从而导致机械伤害。外部因素:加油站周围环境不良，如风沙、雨水、灰尘等，会影响加油机的工作效率，增加机械故障的风险。</w:t>
      </w:r>
    </w:p>
    <w:p w14:paraId="67B48B1A">
      <w:pPr>
        <w:widowControl/>
        <w:spacing w:line="600" w:lineRule="exact"/>
        <w:outlineLvl w:val="2"/>
        <w:rPr>
          <w:rFonts w:hint="eastAsia" w:ascii="Times New Roman" w:hAnsi="Times New Roman" w:eastAsia="宋体" w:cs="Times New Roman"/>
          <w:b/>
          <w:bCs/>
          <w:color w:val="auto"/>
          <w:kern w:val="0"/>
          <w:sz w:val="28"/>
          <w:szCs w:val="28"/>
          <w:lang w:val="en-US" w:eastAsia="zh-CN"/>
        </w:rPr>
      </w:pPr>
      <w:r>
        <w:rPr>
          <w:rFonts w:hint="eastAsia" w:ascii="Times New Roman" w:hAnsi="Times New Roman" w:eastAsia="宋体" w:cs="Times New Roman"/>
          <w:b/>
          <w:bCs/>
          <w:color w:val="auto"/>
          <w:kern w:val="0"/>
          <w:sz w:val="28"/>
          <w:szCs w:val="28"/>
          <w:lang w:val="en-US" w:eastAsia="zh-CN"/>
        </w:rPr>
        <w:t>3.5.11 坍塌</w:t>
      </w:r>
    </w:p>
    <w:p w14:paraId="5DD1F7F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建筑如果构件荷载设计不够，结构方案布置不合理、构件之间连接不可靠等问题，一旦发生火灾、爆炸或其他灾害，高温造成构件损坏，极易造成建筑整体坍塌。</w:t>
      </w:r>
    </w:p>
    <w:p w14:paraId="116765B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建筑在爆炸、地震、撞击等外力作用下，对建筑结构造成破坏，使建筑发生坍塌。</w:t>
      </w:r>
    </w:p>
    <w:p w14:paraId="275C2162">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加油站涉及罩棚、站房及其他建筑，如果安装质量不符合要求，可能会发生坍塌事故。</w:t>
      </w:r>
    </w:p>
    <w:p w14:paraId="7C9006E2">
      <w:pPr>
        <w:keepNext/>
        <w:keepLines/>
        <w:spacing w:line="600" w:lineRule="exact"/>
        <w:outlineLvl w:val="1"/>
        <w:rPr>
          <w:rFonts w:ascii="Times New Roman" w:hAnsi="Times New Roman" w:cs="Times New Roman"/>
          <w:b/>
          <w:bCs/>
          <w:color w:val="auto"/>
          <w:sz w:val="28"/>
          <w:szCs w:val="28"/>
        </w:rPr>
      </w:pPr>
      <w:bookmarkStart w:id="71" w:name="_Toc258"/>
      <w:bookmarkStart w:id="72" w:name="_Toc3570"/>
      <w:bookmarkStart w:id="73" w:name="_Toc20804"/>
      <w:bookmarkStart w:id="74" w:name="_Toc24976"/>
      <w:r>
        <w:rPr>
          <w:rFonts w:ascii="Times New Roman" w:hAnsi="Times New Roman" w:cs="Times New Roman"/>
          <w:b/>
          <w:bCs/>
          <w:color w:val="auto"/>
          <w:sz w:val="28"/>
          <w:szCs w:val="28"/>
        </w:rPr>
        <w:t>3.6</w:t>
      </w:r>
      <w:r>
        <w:rPr>
          <w:rFonts w:hint="eastAsia" w:ascii="Times New Roman" w:hAnsi="Times New Roman" w:cs="宋体"/>
          <w:b/>
          <w:bCs/>
          <w:color w:val="auto"/>
          <w:sz w:val="28"/>
          <w:szCs w:val="28"/>
        </w:rPr>
        <w:t>环境、自然危害因素分析</w:t>
      </w:r>
      <w:bookmarkEnd w:id="71"/>
      <w:bookmarkEnd w:id="72"/>
      <w:bookmarkEnd w:id="73"/>
      <w:bookmarkEnd w:id="74"/>
    </w:p>
    <w:p w14:paraId="5A569475">
      <w:pPr>
        <w:spacing w:line="600" w:lineRule="exact"/>
        <w:ind w:firstLine="560" w:firstLineChars="200"/>
        <w:rPr>
          <w:rFonts w:ascii="Times New Roman" w:hAnsi="Times New Roman" w:cs="Times New Roman"/>
          <w:color w:val="auto"/>
          <w:sz w:val="28"/>
          <w:szCs w:val="28"/>
        </w:rPr>
      </w:pPr>
      <w:bookmarkStart w:id="75" w:name="_Toc10194"/>
      <w:bookmarkStart w:id="76" w:name="_Toc31394"/>
      <w:r>
        <w:rPr>
          <w:rFonts w:ascii="Times New Roman" w:hAnsi="Times New Roman" w:cs="Times New Roman"/>
          <w:color w:val="auto"/>
          <w:sz w:val="28"/>
          <w:szCs w:val="28"/>
        </w:rPr>
        <w:t>1、地震</w:t>
      </w:r>
    </w:p>
    <w:p w14:paraId="5BC74571">
      <w:pPr>
        <w:tabs>
          <w:tab w:val="left" w:pos="1050"/>
        </w:tabs>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lang w:val="zh-CN"/>
        </w:rPr>
        <w:t>地震可能造成建（构）筑物、设备设施、电力设施等的破坏，严重时</w:t>
      </w:r>
      <w:r>
        <w:rPr>
          <w:rFonts w:hint="eastAsia" w:ascii="Times New Roman" w:hAnsi="Times New Roman" w:cs="Times New Roman"/>
          <w:color w:val="auto"/>
          <w:sz w:val="28"/>
          <w:szCs w:val="28"/>
          <w:lang w:val="zh-CN"/>
        </w:rPr>
        <w:t>可能</w:t>
      </w:r>
      <w:r>
        <w:rPr>
          <w:rFonts w:ascii="Times New Roman" w:hAnsi="Times New Roman" w:cs="Times New Roman"/>
          <w:color w:val="auto"/>
          <w:sz w:val="28"/>
          <w:szCs w:val="28"/>
          <w:lang w:val="zh-CN"/>
        </w:rPr>
        <w:t>导致次生灾害</w:t>
      </w: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lang w:val="zh-CN"/>
        </w:rPr>
        <w:t>所在区域地震烈度为Ⅵ度，地震的威胁较小。</w:t>
      </w:r>
    </w:p>
    <w:p w14:paraId="6DA4404C">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2、雷击</w:t>
      </w:r>
    </w:p>
    <w:p w14:paraId="0602CDB7">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rPr>
        <w:t>位于雷击多发区，</w:t>
      </w:r>
      <w:r>
        <w:rPr>
          <w:rFonts w:ascii="Times New Roman" w:hAnsi="Times New Roman" w:cs="Times New Roman"/>
          <w:color w:val="auto"/>
          <w:sz w:val="28"/>
          <w:szCs w:val="28"/>
          <w:lang w:val="zh-CN"/>
        </w:rPr>
        <w:t>建（构）筑物容易遭受雷击，造成建（构）筑物、设备等</w:t>
      </w:r>
      <w:r>
        <w:rPr>
          <w:rFonts w:hint="eastAsia" w:ascii="Times New Roman" w:hAnsi="Times New Roman" w:cs="Times New Roman"/>
          <w:color w:val="auto"/>
          <w:sz w:val="28"/>
          <w:szCs w:val="28"/>
          <w:lang w:val="zh-CN"/>
        </w:rPr>
        <w:t>的</w:t>
      </w:r>
      <w:r>
        <w:rPr>
          <w:rFonts w:ascii="Times New Roman" w:hAnsi="Times New Roman" w:cs="Times New Roman"/>
          <w:color w:val="auto"/>
          <w:sz w:val="28"/>
          <w:szCs w:val="28"/>
          <w:lang w:val="zh-CN"/>
        </w:rPr>
        <w:t>损坏。</w:t>
      </w:r>
    </w:p>
    <w:p w14:paraId="2180898C">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3、暴雨、洪水</w:t>
      </w:r>
    </w:p>
    <w:p w14:paraId="0204D925">
      <w:pPr>
        <w:widowControl/>
        <w:spacing w:line="600" w:lineRule="exact"/>
        <w:ind w:firstLine="552" w:firstLineChars="200"/>
        <w:rPr>
          <w:rFonts w:ascii="Times New Roman" w:hAnsi="Times New Roman" w:cs="Times New Roman"/>
          <w:color w:val="auto"/>
          <w:spacing w:val="-2"/>
          <w:kern w:val="0"/>
          <w:sz w:val="28"/>
          <w:szCs w:val="28"/>
        </w:rPr>
      </w:pPr>
      <w:r>
        <w:rPr>
          <w:rFonts w:ascii="Times New Roman" w:hAnsi="Times New Roman" w:cs="Times New Roman"/>
          <w:color w:val="auto"/>
          <w:spacing w:val="-2"/>
          <w:kern w:val="0"/>
          <w:sz w:val="28"/>
          <w:szCs w:val="28"/>
        </w:rPr>
        <w:t>突然的大规模降水可能导致排水不畅，油罐固定不牢暴雨可能造成浮罐，拉断管线。</w:t>
      </w:r>
    </w:p>
    <w:p w14:paraId="1FF98D18">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4、高</w:t>
      </w:r>
      <w:r>
        <w:rPr>
          <w:rFonts w:hint="eastAsia" w:ascii="Times New Roman" w:hAnsi="Times New Roman" w:cs="Times New Roman"/>
          <w:color w:val="auto"/>
          <w:sz w:val="28"/>
          <w:szCs w:val="28"/>
        </w:rPr>
        <w:t>气</w:t>
      </w:r>
      <w:r>
        <w:rPr>
          <w:rFonts w:ascii="Times New Roman" w:hAnsi="Times New Roman" w:cs="Times New Roman"/>
          <w:color w:val="auto"/>
          <w:sz w:val="28"/>
          <w:szCs w:val="28"/>
        </w:rPr>
        <w:t>温</w:t>
      </w:r>
    </w:p>
    <w:p w14:paraId="780853D4">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lang w:val="zh-CN"/>
        </w:rPr>
        <w:t>所在区域极端最高气温</w:t>
      </w:r>
      <w:r>
        <w:rPr>
          <w:rFonts w:hint="eastAsia" w:ascii="Times New Roman" w:hAnsi="Times New Roman" w:cs="Times New Roman"/>
          <w:color w:val="auto"/>
          <w:sz w:val="28"/>
          <w:szCs w:val="28"/>
        </w:rPr>
        <w:t>高于40℃</w:t>
      </w:r>
      <w:r>
        <w:rPr>
          <w:rFonts w:hint="eastAsia" w:ascii="Times New Roman" w:hAnsi="Times New Roman" w:cs="Times New Roman"/>
          <w:color w:val="auto"/>
          <w:sz w:val="28"/>
          <w:szCs w:val="28"/>
          <w:lang w:val="zh-CN"/>
        </w:rPr>
        <w:t>，</w:t>
      </w:r>
      <w:r>
        <w:rPr>
          <w:rFonts w:ascii="Times New Roman" w:hAnsi="Times New Roman" w:cs="Times New Roman"/>
          <w:color w:val="auto"/>
          <w:sz w:val="28"/>
          <w:szCs w:val="28"/>
          <w:lang w:val="zh-CN"/>
        </w:rPr>
        <w:t>高</w:t>
      </w:r>
      <w:r>
        <w:rPr>
          <w:rFonts w:hint="eastAsia" w:ascii="Times New Roman" w:hAnsi="Times New Roman" w:cs="Times New Roman"/>
          <w:color w:val="auto"/>
          <w:sz w:val="28"/>
          <w:szCs w:val="28"/>
          <w:lang w:val="zh-CN"/>
        </w:rPr>
        <w:t>气</w:t>
      </w:r>
      <w:r>
        <w:rPr>
          <w:rFonts w:ascii="Times New Roman" w:hAnsi="Times New Roman" w:cs="Times New Roman"/>
          <w:color w:val="auto"/>
          <w:sz w:val="28"/>
          <w:szCs w:val="28"/>
          <w:lang w:val="zh-CN"/>
        </w:rPr>
        <w:t>温可能导致人员中暑。</w:t>
      </w:r>
    </w:p>
    <w:p w14:paraId="427B81BC">
      <w:pPr>
        <w:spacing w:line="600" w:lineRule="exact"/>
        <w:ind w:firstLine="560" w:firstLineChars="200"/>
        <w:rPr>
          <w:rFonts w:ascii="Times New Roman" w:hAnsi="Times New Roman" w:cs="Times New Roman"/>
          <w:color w:val="auto"/>
          <w:sz w:val="28"/>
          <w:szCs w:val="24"/>
        </w:rPr>
      </w:pPr>
      <w:r>
        <w:rPr>
          <w:rFonts w:ascii="Times New Roman" w:hAnsi="Times New Roman" w:cs="Times New Roman"/>
          <w:color w:val="auto"/>
          <w:sz w:val="28"/>
          <w:szCs w:val="28"/>
        </w:rPr>
        <w:t>5、低气温</w:t>
      </w:r>
    </w:p>
    <w:p w14:paraId="103E4B9D">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lang w:val="zh-CN"/>
        </w:rPr>
        <w:t>所在区域极端最低气温</w:t>
      </w:r>
      <w:r>
        <w:rPr>
          <w:rFonts w:hint="eastAsia" w:ascii="Times New Roman" w:hAnsi="Times New Roman" w:cs="Times New Roman"/>
          <w:color w:val="auto"/>
          <w:sz w:val="28"/>
          <w:szCs w:val="28"/>
          <w:lang w:val="zh-CN"/>
        </w:rPr>
        <w:t>低于</w:t>
      </w:r>
      <w:r>
        <w:rPr>
          <w:rFonts w:hint="eastAsia" w:ascii="Times New Roman" w:hAnsi="Times New Roman" w:cs="Times New Roman"/>
          <w:color w:val="auto"/>
          <w:sz w:val="28"/>
          <w:szCs w:val="28"/>
        </w:rPr>
        <w:t>0</w:t>
      </w:r>
      <w:r>
        <w:rPr>
          <w:rFonts w:ascii="Times New Roman" w:hAnsi="Times New Roman" w:cs="Times New Roman"/>
          <w:color w:val="auto"/>
          <w:sz w:val="28"/>
          <w:szCs w:val="28"/>
          <w:lang w:val="zh-CN"/>
        </w:rPr>
        <w:t>℃。低气温和潮湿空气可能造成</w:t>
      </w:r>
      <w:r>
        <w:rPr>
          <w:rFonts w:hint="eastAsia" w:ascii="Times New Roman" w:hAnsi="Times New Roman" w:cs="Times New Roman"/>
          <w:color w:val="auto"/>
          <w:sz w:val="28"/>
          <w:szCs w:val="28"/>
        </w:rPr>
        <w:t>罩棚</w:t>
      </w:r>
      <w:r>
        <w:rPr>
          <w:rFonts w:hint="eastAsia" w:ascii="Times New Roman" w:hAnsi="Times New Roman" w:cs="Times New Roman"/>
          <w:color w:val="auto"/>
          <w:spacing w:val="-11"/>
          <w:sz w:val="28"/>
          <w:szCs w:val="28"/>
        </w:rPr>
        <w:t>、</w:t>
      </w:r>
      <w:r>
        <w:rPr>
          <w:rFonts w:ascii="Times New Roman" w:hAnsi="Times New Roman" w:cs="Times New Roman"/>
          <w:color w:val="auto"/>
          <w:spacing w:val="-11"/>
          <w:sz w:val="28"/>
          <w:szCs w:val="28"/>
          <w:lang w:val="zh-CN"/>
        </w:rPr>
        <w:t>屋顶结冰压塌建筑，造成事故；同时，地面结冰，容易造成人员滑倒跌伤等</w:t>
      </w:r>
      <w:r>
        <w:rPr>
          <w:rFonts w:hint="eastAsia" w:ascii="Times New Roman" w:hAnsi="Times New Roman" w:cs="宋体"/>
          <w:color w:val="auto"/>
          <w:spacing w:val="-11"/>
          <w:sz w:val="28"/>
          <w:szCs w:val="28"/>
          <w:lang w:val="zh-CN"/>
        </w:rPr>
        <w:t>。</w:t>
      </w:r>
    </w:p>
    <w:p w14:paraId="049EA00C">
      <w:pPr>
        <w:keepNext/>
        <w:keepLines/>
        <w:spacing w:line="600" w:lineRule="exact"/>
        <w:outlineLvl w:val="1"/>
        <w:rPr>
          <w:rFonts w:ascii="Times New Roman" w:hAnsi="Times New Roman" w:cs="Times New Roman"/>
          <w:b/>
          <w:bCs/>
          <w:color w:val="auto"/>
          <w:sz w:val="28"/>
          <w:szCs w:val="28"/>
        </w:rPr>
      </w:pPr>
      <w:bookmarkStart w:id="77" w:name="_Toc5009"/>
      <w:bookmarkStart w:id="78" w:name="_Toc21872"/>
      <w:r>
        <w:rPr>
          <w:rFonts w:ascii="Times New Roman" w:hAnsi="Times New Roman" w:cs="Times New Roman"/>
          <w:b/>
          <w:bCs/>
          <w:color w:val="auto"/>
          <w:sz w:val="28"/>
          <w:szCs w:val="28"/>
        </w:rPr>
        <w:t>3.7</w:t>
      </w:r>
      <w:r>
        <w:rPr>
          <w:rFonts w:hint="eastAsia" w:ascii="Times New Roman" w:hAnsi="Times New Roman" w:cs="宋体"/>
          <w:b/>
          <w:bCs/>
          <w:color w:val="auto"/>
          <w:sz w:val="28"/>
          <w:szCs w:val="28"/>
        </w:rPr>
        <w:t>有害因素分析</w:t>
      </w:r>
      <w:bookmarkEnd w:id="75"/>
      <w:bookmarkEnd w:id="76"/>
      <w:bookmarkEnd w:id="77"/>
      <w:bookmarkEnd w:id="78"/>
    </w:p>
    <w:p w14:paraId="6361A5AE">
      <w:pPr>
        <w:keepNext/>
        <w:keepLines/>
        <w:spacing w:line="600" w:lineRule="exact"/>
        <w:outlineLvl w:val="2"/>
        <w:rPr>
          <w:rFonts w:ascii="Times New Roman" w:hAnsi="Times New Roman" w:cs="Times New Roman"/>
          <w:b/>
          <w:bCs/>
          <w:color w:val="auto"/>
          <w:sz w:val="28"/>
          <w:szCs w:val="28"/>
        </w:rPr>
      </w:pPr>
      <w:bookmarkStart w:id="79" w:name="_Toc14200"/>
      <w:bookmarkStart w:id="80" w:name="_Toc28615"/>
      <w:bookmarkStart w:id="81" w:name="_Toc14090"/>
      <w:r>
        <w:rPr>
          <w:rFonts w:ascii="Times New Roman" w:hAnsi="Times New Roman" w:cs="Times New Roman"/>
          <w:b/>
          <w:bCs/>
          <w:color w:val="auto"/>
          <w:sz w:val="28"/>
          <w:szCs w:val="28"/>
        </w:rPr>
        <w:t>3.7.1</w:t>
      </w:r>
      <w:r>
        <w:rPr>
          <w:rFonts w:hint="eastAsia" w:ascii="Times New Roman" w:hAnsi="Times New Roman" w:cs="宋体"/>
          <w:b/>
          <w:bCs/>
          <w:color w:val="auto"/>
          <w:sz w:val="28"/>
          <w:szCs w:val="28"/>
        </w:rPr>
        <w:t>有害物质</w:t>
      </w:r>
      <w:bookmarkEnd w:id="79"/>
      <w:bookmarkEnd w:id="80"/>
      <w:bookmarkEnd w:id="81"/>
    </w:p>
    <w:p w14:paraId="539F95E3">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经营、储存的汽油、柴油等物质即使在正常的生产过程中也会有微量的泄漏</w:t>
      </w:r>
      <w:r>
        <w:rPr>
          <w:rFonts w:hint="eastAsia" w:ascii="Times New Roman" w:hAnsi="Times New Roman" w:cs="宋体"/>
          <w:color w:val="auto"/>
          <w:sz w:val="28"/>
          <w:szCs w:val="28"/>
          <w:lang w:val="zh-CN"/>
        </w:rPr>
        <w:t>，汽车尾气中有燃烧不充分的一氧化碳等</w:t>
      </w:r>
      <w:r>
        <w:rPr>
          <w:rFonts w:hint="eastAsia" w:ascii="Times New Roman" w:hAnsi="Times New Roman" w:cs="宋体"/>
          <w:color w:val="auto"/>
          <w:sz w:val="28"/>
          <w:szCs w:val="28"/>
        </w:rPr>
        <w:t>，长期低浓度接触这些物质可能对人体造成不良影响，可能导致神经衰弱综合征、皮肤过敏、损害。</w:t>
      </w:r>
    </w:p>
    <w:p w14:paraId="0517C73C">
      <w:pPr>
        <w:keepNext/>
        <w:keepLines/>
        <w:spacing w:line="600" w:lineRule="exact"/>
        <w:outlineLvl w:val="2"/>
        <w:rPr>
          <w:rFonts w:ascii="Times New Roman" w:hAnsi="Times New Roman" w:cs="Times New Roman"/>
          <w:b/>
          <w:bCs/>
          <w:color w:val="auto"/>
          <w:sz w:val="28"/>
          <w:szCs w:val="28"/>
        </w:rPr>
      </w:pPr>
      <w:bookmarkStart w:id="82" w:name="_Toc5946"/>
      <w:bookmarkStart w:id="83" w:name="_Toc13751"/>
      <w:bookmarkStart w:id="84" w:name="_Toc19293"/>
      <w:bookmarkStart w:id="85" w:name="_Toc20651"/>
      <w:r>
        <w:rPr>
          <w:rFonts w:ascii="Times New Roman" w:hAnsi="Times New Roman" w:cs="Times New Roman"/>
          <w:b/>
          <w:bCs/>
          <w:color w:val="auto"/>
          <w:sz w:val="28"/>
          <w:szCs w:val="28"/>
        </w:rPr>
        <w:t>3.7.2</w:t>
      </w:r>
      <w:r>
        <w:rPr>
          <w:rFonts w:hint="eastAsia" w:ascii="Times New Roman" w:hAnsi="Times New Roman" w:cs="宋体"/>
          <w:b/>
          <w:bCs/>
          <w:color w:val="auto"/>
          <w:sz w:val="28"/>
          <w:szCs w:val="28"/>
        </w:rPr>
        <w:t>噪声危害</w:t>
      </w:r>
      <w:bookmarkEnd w:id="82"/>
      <w:bookmarkEnd w:id="83"/>
      <w:bookmarkEnd w:id="84"/>
      <w:bookmarkEnd w:id="85"/>
    </w:p>
    <w:p w14:paraId="3A42FF68">
      <w:pPr>
        <w:spacing w:line="600" w:lineRule="exact"/>
        <w:ind w:firstLine="570"/>
        <w:rPr>
          <w:rFonts w:ascii="Times New Roman" w:hAnsi="Times New Roman" w:cs="Times New Roman"/>
          <w:color w:val="auto"/>
          <w:sz w:val="28"/>
          <w:szCs w:val="28"/>
        </w:rPr>
      </w:pPr>
      <w:r>
        <w:rPr>
          <w:rFonts w:hint="eastAsia" w:ascii="Times New Roman" w:hAnsi="Times New Roman" w:cs="宋体"/>
          <w:color w:val="auto"/>
          <w:sz w:val="28"/>
          <w:szCs w:val="28"/>
        </w:rPr>
        <w:t>加油站经营中的噪声一般</w:t>
      </w:r>
      <w:r>
        <w:rPr>
          <w:rFonts w:hint="eastAsia" w:ascii="Times New Roman" w:hAnsi="Times New Roman" w:cs="宋体"/>
          <w:color w:val="auto"/>
          <w:sz w:val="28"/>
          <w:szCs w:val="28"/>
          <w:lang w:eastAsia="zh-CN"/>
        </w:rPr>
        <w:t>来自</w:t>
      </w:r>
      <w:r>
        <w:rPr>
          <w:rFonts w:hint="eastAsia" w:ascii="Times New Roman" w:hAnsi="Times New Roman" w:cs="宋体"/>
          <w:color w:val="auto"/>
          <w:sz w:val="28"/>
          <w:szCs w:val="28"/>
        </w:rPr>
        <w:t>大型车辆的启动、运行的噪声。</w:t>
      </w:r>
    </w:p>
    <w:p w14:paraId="6458AD9B">
      <w:pPr>
        <w:spacing w:line="600" w:lineRule="exact"/>
        <w:ind w:firstLine="570"/>
        <w:rPr>
          <w:rFonts w:ascii="Times New Roman" w:hAnsi="Times New Roman" w:cs="Times New Roman"/>
          <w:color w:val="auto"/>
        </w:rPr>
      </w:pPr>
      <w:r>
        <w:rPr>
          <w:rFonts w:hint="eastAsia" w:ascii="Times New Roman" w:hAnsi="Times New Roman" w:cs="宋体"/>
          <w:color w:val="auto"/>
          <w:sz w:val="28"/>
          <w:szCs w:val="28"/>
        </w:rPr>
        <w:t>此外机械运转部件发生故障也会产生较大的机械噪声。</w:t>
      </w:r>
    </w:p>
    <w:bookmarkEnd w:id="57"/>
    <w:bookmarkEnd w:id="58"/>
    <w:p w14:paraId="024A0E2A">
      <w:pPr>
        <w:keepNext/>
        <w:keepLines/>
        <w:spacing w:line="580" w:lineRule="exact"/>
        <w:outlineLvl w:val="1"/>
        <w:rPr>
          <w:rFonts w:ascii="Times New Roman" w:hAnsi="Times New Roman" w:cs="Times New Roman"/>
          <w:b/>
          <w:bCs/>
          <w:color w:val="auto"/>
          <w:sz w:val="28"/>
          <w:szCs w:val="28"/>
        </w:rPr>
      </w:pPr>
      <w:bookmarkStart w:id="86" w:name="_Toc8607"/>
      <w:bookmarkStart w:id="87" w:name="_Toc31633"/>
      <w:bookmarkStart w:id="88" w:name="_Toc8303"/>
      <w:bookmarkStart w:id="89" w:name="_Toc18812"/>
      <w:bookmarkStart w:id="90" w:name="_Toc22089"/>
      <w:bookmarkStart w:id="91" w:name="_Toc343692256"/>
      <w:r>
        <w:rPr>
          <w:rFonts w:ascii="Times New Roman" w:hAnsi="Times New Roman" w:cs="Times New Roman"/>
          <w:b/>
          <w:bCs/>
          <w:color w:val="auto"/>
          <w:sz w:val="28"/>
          <w:szCs w:val="28"/>
        </w:rPr>
        <w:t>3.8</w:t>
      </w:r>
      <w:r>
        <w:rPr>
          <w:rFonts w:hint="eastAsia" w:ascii="Times New Roman" w:hAnsi="Times New Roman" w:cs="宋体"/>
          <w:b/>
          <w:bCs/>
          <w:color w:val="auto"/>
          <w:sz w:val="28"/>
          <w:szCs w:val="28"/>
        </w:rPr>
        <w:t>危险和有害因素分析总结</w:t>
      </w:r>
      <w:bookmarkEnd w:id="86"/>
      <w:bookmarkEnd w:id="87"/>
      <w:bookmarkEnd w:id="88"/>
      <w:bookmarkEnd w:id="89"/>
    </w:p>
    <w:p w14:paraId="50879D84">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通过上述危险、有害因素的分析以及案例分析，项目的主要危险和有害因素列表见表</w:t>
      </w:r>
      <w:r>
        <w:rPr>
          <w:rFonts w:ascii="Times New Roman" w:hAnsi="Times New Roman" w:cs="Times New Roman"/>
          <w:color w:val="auto"/>
          <w:sz w:val="28"/>
          <w:szCs w:val="28"/>
        </w:rPr>
        <w:t>3</w:t>
      </w:r>
      <w:r>
        <w:rPr>
          <w:rFonts w:hint="eastAsia" w:ascii="Times New Roman" w:hAnsi="Times New Roman" w:cs="Times New Roman"/>
          <w:color w:val="auto"/>
          <w:sz w:val="28"/>
          <w:szCs w:val="28"/>
        </w:rPr>
        <w:t>.8-1</w:t>
      </w:r>
      <w:r>
        <w:rPr>
          <w:rFonts w:hint="eastAsia" w:ascii="Times New Roman" w:hAnsi="Times New Roman" w:cs="宋体"/>
          <w:color w:val="auto"/>
          <w:sz w:val="28"/>
          <w:szCs w:val="28"/>
        </w:rPr>
        <w:t>。</w:t>
      </w:r>
    </w:p>
    <w:p w14:paraId="28992B03">
      <w:pPr>
        <w:jc w:val="center"/>
        <w:rPr>
          <w:rFonts w:ascii="Times New Roman" w:hAnsi="Times New Roman" w:cs="宋体"/>
          <w:color w:val="auto"/>
          <w:sz w:val="24"/>
          <w:szCs w:val="24"/>
        </w:rPr>
      </w:pPr>
      <w:r>
        <w:rPr>
          <w:rFonts w:hint="eastAsia" w:ascii="Times New Roman" w:hAnsi="Times New Roman" w:cs="宋体"/>
          <w:color w:val="auto"/>
          <w:sz w:val="24"/>
          <w:szCs w:val="24"/>
        </w:rPr>
        <w:t>表3.8-1  主要危险和有害因素</w:t>
      </w:r>
    </w:p>
    <w:tbl>
      <w:tblPr>
        <w:tblStyle w:val="25"/>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882"/>
        <w:gridCol w:w="2502"/>
        <w:gridCol w:w="3916"/>
      </w:tblGrid>
      <w:tr w14:paraId="4FD9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38" w:type="dxa"/>
            <w:vAlign w:val="center"/>
          </w:tcPr>
          <w:p w14:paraId="2FF18D33">
            <w:pPr>
              <w:spacing w:line="320" w:lineRule="exact"/>
              <w:jc w:val="center"/>
              <w:rPr>
                <w:rFonts w:ascii="Times New Roman" w:hAnsi="Times New Roman" w:cs="Times New Roman"/>
                <w:color w:val="auto"/>
              </w:rPr>
            </w:pPr>
            <w:r>
              <w:rPr>
                <w:rFonts w:hint="eastAsia" w:ascii="Times New Roman" w:hAnsi="Times New Roman" w:cs="宋体"/>
                <w:color w:val="auto"/>
              </w:rPr>
              <w:t>序号</w:t>
            </w:r>
          </w:p>
        </w:tc>
        <w:tc>
          <w:tcPr>
            <w:tcW w:w="1882" w:type="dxa"/>
            <w:vAlign w:val="center"/>
          </w:tcPr>
          <w:p w14:paraId="25509D25">
            <w:pPr>
              <w:spacing w:line="320" w:lineRule="exact"/>
              <w:jc w:val="center"/>
              <w:rPr>
                <w:rFonts w:ascii="Times New Roman" w:hAnsi="Times New Roman" w:cs="Times New Roman"/>
                <w:color w:val="auto"/>
              </w:rPr>
            </w:pPr>
            <w:r>
              <w:rPr>
                <w:rFonts w:hint="eastAsia" w:ascii="Times New Roman" w:hAnsi="Times New Roman" w:cs="宋体"/>
                <w:color w:val="auto"/>
              </w:rPr>
              <w:t>危险危害因素</w:t>
            </w:r>
          </w:p>
        </w:tc>
        <w:tc>
          <w:tcPr>
            <w:tcW w:w="2502" w:type="dxa"/>
            <w:vAlign w:val="center"/>
          </w:tcPr>
          <w:p w14:paraId="6F9EAC19">
            <w:pPr>
              <w:spacing w:line="320" w:lineRule="exact"/>
              <w:jc w:val="center"/>
              <w:rPr>
                <w:rFonts w:ascii="Times New Roman" w:hAnsi="Times New Roman" w:cs="Times New Roman"/>
                <w:color w:val="auto"/>
              </w:rPr>
            </w:pPr>
            <w:r>
              <w:rPr>
                <w:rFonts w:hint="eastAsia" w:ascii="Times New Roman" w:hAnsi="Times New Roman" w:cs="宋体"/>
                <w:color w:val="auto"/>
              </w:rPr>
              <w:t>造成后果</w:t>
            </w:r>
          </w:p>
        </w:tc>
        <w:tc>
          <w:tcPr>
            <w:tcW w:w="3916" w:type="dxa"/>
            <w:vAlign w:val="center"/>
          </w:tcPr>
          <w:p w14:paraId="7E67D28D">
            <w:pPr>
              <w:spacing w:line="320" w:lineRule="exact"/>
              <w:jc w:val="center"/>
              <w:rPr>
                <w:rFonts w:ascii="Times New Roman" w:hAnsi="Times New Roman" w:cs="Times New Roman"/>
                <w:color w:val="auto"/>
              </w:rPr>
            </w:pPr>
            <w:r>
              <w:rPr>
                <w:rFonts w:hint="eastAsia" w:ascii="Times New Roman" w:hAnsi="Times New Roman" w:cs="宋体"/>
                <w:color w:val="auto"/>
              </w:rPr>
              <w:t>所在部位</w:t>
            </w:r>
          </w:p>
        </w:tc>
      </w:tr>
      <w:tr w14:paraId="740C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38" w:type="dxa"/>
            <w:vAlign w:val="center"/>
          </w:tcPr>
          <w:p w14:paraId="4AC948C7">
            <w:pPr>
              <w:spacing w:line="320" w:lineRule="exact"/>
              <w:jc w:val="center"/>
              <w:rPr>
                <w:rFonts w:ascii="Times New Roman" w:hAnsi="Times New Roman" w:cs="Times New Roman"/>
                <w:color w:val="auto"/>
              </w:rPr>
            </w:pPr>
            <w:r>
              <w:rPr>
                <w:rFonts w:ascii="Times New Roman" w:hAnsi="Times New Roman" w:cs="Times New Roman"/>
                <w:color w:val="auto"/>
              </w:rPr>
              <w:t>1</w:t>
            </w:r>
          </w:p>
        </w:tc>
        <w:tc>
          <w:tcPr>
            <w:tcW w:w="1882" w:type="dxa"/>
            <w:vAlign w:val="center"/>
          </w:tcPr>
          <w:p w14:paraId="3B049B99">
            <w:pPr>
              <w:spacing w:line="320" w:lineRule="exact"/>
              <w:jc w:val="center"/>
              <w:rPr>
                <w:rFonts w:ascii="Times New Roman" w:hAnsi="Times New Roman" w:cs="Times New Roman"/>
                <w:color w:val="auto"/>
              </w:rPr>
            </w:pPr>
            <w:r>
              <w:rPr>
                <w:rFonts w:hint="eastAsia" w:ascii="Times New Roman" w:hAnsi="Times New Roman" w:cs="宋体"/>
                <w:color w:val="auto"/>
              </w:rPr>
              <w:t>火灾</w:t>
            </w:r>
          </w:p>
        </w:tc>
        <w:tc>
          <w:tcPr>
            <w:tcW w:w="2502" w:type="dxa"/>
            <w:vAlign w:val="center"/>
          </w:tcPr>
          <w:p w14:paraId="39C6EEF7">
            <w:pPr>
              <w:spacing w:line="320" w:lineRule="exact"/>
              <w:jc w:val="center"/>
              <w:rPr>
                <w:rFonts w:ascii="Times New Roman" w:hAnsi="Times New Roman" w:cs="Times New Roman"/>
                <w:color w:val="auto"/>
              </w:rPr>
            </w:pPr>
            <w:r>
              <w:rPr>
                <w:rFonts w:hint="eastAsia" w:ascii="Times New Roman" w:hAnsi="Times New Roman" w:cs="宋体"/>
                <w:color w:val="auto"/>
              </w:rPr>
              <w:t>人员伤亡、财产损失</w:t>
            </w:r>
          </w:p>
        </w:tc>
        <w:tc>
          <w:tcPr>
            <w:tcW w:w="3916" w:type="dxa"/>
            <w:vAlign w:val="center"/>
          </w:tcPr>
          <w:p w14:paraId="25727ED0">
            <w:pPr>
              <w:spacing w:line="320" w:lineRule="exact"/>
              <w:jc w:val="center"/>
              <w:rPr>
                <w:rFonts w:ascii="Times New Roman" w:hAnsi="Times New Roman" w:cs="Times New Roman"/>
                <w:color w:val="auto"/>
              </w:rPr>
            </w:pPr>
            <w:r>
              <w:rPr>
                <w:rFonts w:hint="eastAsia" w:ascii="Times New Roman" w:hAnsi="Times New Roman" w:cs="宋体"/>
                <w:color w:val="auto"/>
              </w:rPr>
              <w:t>加油罩棚区、油罐区、卸油区、</w:t>
            </w:r>
            <w:r>
              <w:rPr>
                <w:rFonts w:hint="eastAsia" w:ascii="Times New Roman" w:hAnsi="Times New Roman" w:cs="宋体"/>
                <w:color w:val="auto"/>
                <w:lang w:val="en-US" w:eastAsia="zh-CN"/>
              </w:rPr>
              <w:t>站房、</w:t>
            </w:r>
            <w:r>
              <w:rPr>
                <w:rFonts w:hint="eastAsia" w:ascii="Times New Roman" w:hAnsi="Times New Roman" w:cs="宋体"/>
                <w:color w:val="auto"/>
              </w:rPr>
              <w:t>配电间</w:t>
            </w:r>
          </w:p>
        </w:tc>
      </w:tr>
      <w:tr w14:paraId="5F22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38" w:type="dxa"/>
            <w:vAlign w:val="center"/>
          </w:tcPr>
          <w:p w14:paraId="3C3488F4">
            <w:pPr>
              <w:spacing w:line="320" w:lineRule="exact"/>
              <w:jc w:val="center"/>
              <w:rPr>
                <w:rFonts w:ascii="Times New Roman" w:hAnsi="Times New Roman" w:cs="Times New Roman"/>
                <w:color w:val="auto"/>
              </w:rPr>
            </w:pPr>
            <w:r>
              <w:rPr>
                <w:rFonts w:ascii="Times New Roman" w:hAnsi="Times New Roman" w:cs="Times New Roman"/>
                <w:color w:val="auto"/>
              </w:rPr>
              <w:t>2</w:t>
            </w:r>
          </w:p>
        </w:tc>
        <w:tc>
          <w:tcPr>
            <w:tcW w:w="1882" w:type="dxa"/>
            <w:vAlign w:val="center"/>
          </w:tcPr>
          <w:p w14:paraId="253E85E2">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可燃液体蒸汽爆炸</w:t>
            </w:r>
          </w:p>
        </w:tc>
        <w:tc>
          <w:tcPr>
            <w:tcW w:w="2502" w:type="dxa"/>
            <w:vAlign w:val="center"/>
          </w:tcPr>
          <w:p w14:paraId="5EC5F8B5">
            <w:pPr>
              <w:spacing w:line="320" w:lineRule="exact"/>
              <w:jc w:val="center"/>
              <w:rPr>
                <w:rFonts w:ascii="Times New Roman" w:hAnsi="Times New Roman" w:cs="Times New Roman"/>
                <w:color w:val="auto"/>
              </w:rPr>
            </w:pPr>
            <w:r>
              <w:rPr>
                <w:rFonts w:hint="eastAsia" w:ascii="Times New Roman" w:hAnsi="Times New Roman" w:cs="宋体"/>
                <w:color w:val="auto"/>
              </w:rPr>
              <w:t>人员伤亡、财产损失</w:t>
            </w:r>
          </w:p>
        </w:tc>
        <w:tc>
          <w:tcPr>
            <w:tcW w:w="3916" w:type="dxa"/>
            <w:vAlign w:val="center"/>
          </w:tcPr>
          <w:p w14:paraId="6BB76FF5">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油罐区、卸油作业区、加油作业区</w:t>
            </w:r>
          </w:p>
        </w:tc>
      </w:tr>
      <w:tr w14:paraId="041F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38" w:type="dxa"/>
            <w:shd w:val="clear" w:color="auto" w:fill="auto"/>
            <w:vAlign w:val="center"/>
          </w:tcPr>
          <w:p w14:paraId="269DC4DC">
            <w:pPr>
              <w:spacing w:line="320" w:lineRule="exact"/>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rPr>
              <w:t>3</w:t>
            </w:r>
          </w:p>
        </w:tc>
        <w:tc>
          <w:tcPr>
            <w:tcW w:w="1882" w:type="dxa"/>
            <w:vAlign w:val="center"/>
          </w:tcPr>
          <w:p w14:paraId="7E362E1C">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容器爆炸</w:t>
            </w:r>
          </w:p>
        </w:tc>
        <w:tc>
          <w:tcPr>
            <w:tcW w:w="2502" w:type="dxa"/>
            <w:vAlign w:val="center"/>
          </w:tcPr>
          <w:p w14:paraId="278276B2">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人员伤亡、财产损失</w:t>
            </w:r>
          </w:p>
        </w:tc>
        <w:tc>
          <w:tcPr>
            <w:tcW w:w="3916" w:type="dxa"/>
            <w:vAlign w:val="center"/>
          </w:tcPr>
          <w:p w14:paraId="5CEDC814">
            <w:pPr>
              <w:spacing w:line="320" w:lineRule="exact"/>
              <w:jc w:val="center"/>
              <w:rPr>
                <w:rFonts w:hint="eastAsia" w:ascii="Times New Roman" w:hAnsi="Times New Roman" w:cs="宋体"/>
                <w:color w:val="auto"/>
              </w:rPr>
            </w:pPr>
            <w:r>
              <w:rPr>
                <w:rFonts w:hint="eastAsia" w:ascii="Times New Roman" w:hAnsi="Times New Roman" w:cs="宋体"/>
                <w:color w:val="auto"/>
                <w:lang w:val="en-US" w:eastAsia="zh-CN"/>
              </w:rPr>
              <w:t>油罐区、卸油作业区、加油作业区</w:t>
            </w:r>
          </w:p>
        </w:tc>
      </w:tr>
      <w:tr w14:paraId="253A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38" w:type="dxa"/>
            <w:shd w:val="clear" w:color="auto" w:fill="auto"/>
            <w:vAlign w:val="center"/>
          </w:tcPr>
          <w:p w14:paraId="6DDDE86B">
            <w:pPr>
              <w:spacing w:line="320" w:lineRule="exact"/>
              <w:jc w:val="center"/>
              <w:rPr>
                <w:rFonts w:ascii="Times New Roman" w:hAnsi="Times New Roman" w:eastAsia="Times New Roman" w:cs="Times New Roman"/>
                <w:color w:val="auto"/>
                <w:kern w:val="2"/>
                <w:sz w:val="21"/>
                <w:szCs w:val="21"/>
                <w:lang w:val="en-US" w:eastAsia="zh-CN" w:bidi="ar-SA"/>
              </w:rPr>
            </w:pPr>
            <w:r>
              <w:rPr>
                <w:rFonts w:ascii="Times New Roman" w:hAnsi="Times New Roman" w:cs="Times New Roman"/>
                <w:color w:val="auto"/>
              </w:rPr>
              <w:t>4</w:t>
            </w:r>
          </w:p>
        </w:tc>
        <w:tc>
          <w:tcPr>
            <w:tcW w:w="1882" w:type="dxa"/>
            <w:vAlign w:val="center"/>
          </w:tcPr>
          <w:p w14:paraId="3D5DA509">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泄漏</w:t>
            </w:r>
          </w:p>
        </w:tc>
        <w:tc>
          <w:tcPr>
            <w:tcW w:w="2502" w:type="dxa"/>
            <w:vAlign w:val="center"/>
          </w:tcPr>
          <w:p w14:paraId="46093D6E">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人员伤亡、财产损失</w:t>
            </w:r>
          </w:p>
        </w:tc>
        <w:tc>
          <w:tcPr>
            <w:tcW w:w="3916" w:type="dxa"/>
            <w:vAlign w:val="center"/>
          </w:tcPr>
          <w:p w14:paraId="70965A00">
            <w:pPr>
              <w:spacing w:line="320" w:lineRule="exact"/>
              <w:jc w:val="center"/>
              <w:rPr>
                <w:rFonts w:hint="eastAsia" w:ascii="Times New Roman" w:hAnsi="Times New Roman" w:cs="宋体"/>
                <w:color w:val="auto"/>
              </w:rPr>
            </w:pPr>
            <w:r>
              <w:rPr>
                <w:rFonts w:hint="eastAsia" w:ascii="Times New Roman" w:hAnsi="Times New Roman" w:cs="宋体"/>
                <w:color w:val="auto"/>
                <w:lang w:val="en-US" w:eastAsia="zh-CN"/>
              </w:rPr>
              <w:t>油罐区、卸油作业区、加油作业区</w:t>
            </w:r>
          </w:p>
        </w:tc>
      </w:tr>
      <w:tr w14:paraId="0727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38" w:type="dxa"/>
            <w:shd w:val="clear" w:color="auto" w:fill="auto"/>
            <w:vAlign w:val="center"/>
          </w:tcPr>
          <w:p w14:paraId="15C27FF8">
            <w:pPr>
              <w:spacing w:line="320" w:lineRule="exact"/>
              <w:jc w:val="center"/>
              <w:rPr>
                <w:rFonts w:ascii="Times New Roman" w:hAnsi="Times New Roman" w:eastAsia="Times New Roman" w:cs="Times New Roman"/>
                <w:color w:val="auto"/>
                <w:kern w:val="2"/>
                <w:sz w:val="21"/>
                <w:szCs w:val="21"/>
                <w:lang w:val="en-US" w:eastAsia="zh-CN" w:bidi="ar-SA"/>
              </w:rPr>
            </w:pPr>
            <w:r>
              <w:rPr>
                <w:rFonts w:ascii="Times New Roman" w:hAnsi="Times New Roman" w:cs="Times New Roman"/>
                <w:color w:val="auto"/>
              </w:rPr>
              <w:t>5</w:t>
            </w:r>
          </w:p>
        </w:tc>
        <w:tc>
          <w:tcPr>
            <w:tcW w:w="1882" w:type="dxa"/>
            <w:vAlign w:val="center"/>
          </w:tcPr>
          <w:p w14:paraId="2CDCAC8B">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触电</w:t>
            </w:r>
          </w:p>
        </w:tc>
        <w:tc>
          <w:tcPr>
            <w:tcW w:w="2502" w:type="dxa"/>
            <w:vAlign w:val="center"/>
          </w:tcPr>
          <w:p w14:paraId="2F6959B3">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w:t>
            </w:r>
          </w:p>
        </w:tc>
        <w:tc>
          <w:tcPr>
            <w:tcW w:w="3916" w:type="dxa"/>
            <w:vAlign w:val="center"/>
          </w:tcPr>
          <w:p w14:paraId="61304B73">
            <w:pPr>
              <w:spacing w:line="320" w:lineRule="exact"/>
              <w:jc w:val="center"/>
              <w:rPr>
                <w:rFonts w:hint="eastAsia" w:ascii="Times New Roman" w:hAnsi="Times New Roman" w:cs="宋体"/>
                <w:color w:val="auto"/>
              </w:rPr>
            </w:pPr>
            <w:r>
              <w:rPr>
                <w:rFonts w:hint="eastAsia" w:ascii="Times New Roman" w:hAnsi="Times New Roman" w:cs="宋体"/>
                <w:color w:val="auto"/>
              </w:rPr>
              <w:t>经营作业场所</w:t>
            </w:r>
          </w:p>
        </w:tc>
      </w:tr>
      <w:tr w14:paraId="1D17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38" w:type="dxa"/>
            <w:shd w:val="clear" w:color="auto" w:fill="auto"/>
            <w:vAlign w:val="center"/>
          </w:tcPr>
          <w:p w14:paraId="4668335B">
            <w:pPr>
              <w:spacing w:line="320" w:lineRule="exact"/>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rPr>
              <w:t>6</w:t>
            </w:r>
          </w:p>
        </w:tc>
        <w:tc>
          <w:tcPr>
            <w:tcW w:w="1882" w:type="dxa"/>
            <w:vAlign w:val="center"/>
          </w:tcPr>
          <w:p w14:paraId="2D8D2BF5">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高处坠落</w:t>
            </w:r>
          </w:p>
        </w:tc>
        <w:tc>
          <w:tcPr>
            <w:tcW w:w="2502" w:type="dxa"/>
            <w:vAlign w:val="center"/>
          </w:tcPr>
          <w:p w14:paraId="741768E9">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16" w:type="dxa"/>
            <w:vAlign w:val="center"/>
          </w:tcPr>
          <w:p w14:paraId="6783D6FA">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站房、配电间、罩棚</w:t>
            </w:r>
          </w:p>
        </w:tc>
      </w:tr>
      <w:tr w14:paraId="3DEB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38" w:type="dxa"/>
            <w:vAlign w:val="center"/>
          </w:tcPr>
          <w:p w14:paraId="269F7606">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1882" w:type="dxa"/>
            <w:vAlign w:val="center"/>
          </w:tcPr>
          <w:p w14:paraId="7A7D748B">
            <w:pPr>
              <w:spacing w:line="320" w:lineRule="exact"/>
              <w:jc w:val="center"/>
              <w:rPr>
                <w:rFonts w:ascii="Times New Roman" w:hAnsi="Times New Roman" w:cs="Times New Roman"/>
                <w:color w:val="auto"/>
              </w:rPr>
            </w:pPr>
            <w:r>
              <w:rPr>
                <w:rFonts w:hint="eastAsia" w:ascii="Times New Roman" w:hAnsi="Times New Roman" w:cs="Times New Roman"/>
                <w:color w:val="auto"/>
              </w:rPr>
              <w:t>厂(场)内车辆致害</w:t>
            </w:r>
          </w:p>
        </w:tc>
        <w:tc>
          <w:tcPr>
            <w:tcW w:w="2502" w:type="dxa"/>
            <w:vAlign w:val="center"/>
          </w:tcPr>
          <w:p w14:paraId="2A097239">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16" w:type="dxa"/>
            <w:vAlign w:val="center"/>
          </w:tcPr>
          <w:p w14:paraId="39CF8934">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加油作业区</w:t>
            </w:r>
            <w:r>
              <w:rPr>
                <w:rFonts w:hint="eastAsia" w:ascii="Times New Roman" w:hAnsi="Times New Roman" w:cs="宋体"/>
                <w:color w:val="auto"/>
              </w:rPr>
              <w:t>、卸</w:t>
            </w:r>
            <w:r>
              <w:rPr>
                <w:rFonts w:hint="eastAsia" w:ascii="Times New Roman" w:hAnsi="Times New Roman" w:cs="宋体"/>
                <w:color w:val="auto"/>
                <w:lang w:val="en-US" w:eastAsia="zh-CN"/>
              </w:rPr>
              <w:t>作业区</w:t>
            </w:r>
            <w:r>
              <w:rPr>
                <w:rFonts w:hint="eastAsia" w:ascii="Times New Roman" w:hAnsi="Times New Roman" w:cs="宋体"/>
                <w:color w:val="auto"/>
              </w:rPr>
              <w:t>口</w:t>
            </w:r>
          </w:p>
        </w:tc>
      </w:tr>
      <w:tr w14:paraId="3B51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38" w:type="dxa"/>
            <w:vAlign w:val="center"/>
          </w:tcPr>
          <w:p w14:paraId="5294DFC3">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w:t>
            </w:r>
          </w:p>
        </w:tc>
        <w:tc>
          <w:tcPr>
            <w:tcW w:w="1882" w:type="dxa"/>
            <w:vAlign w:val="center"/>
          </w:tcPr>
          <w:p w14:paraId="0C6F3D8E">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中毒</w:t>
            </w:r>
          </w:p>
        </w:tc>
        <w:tc>
          <w:tcPr>
            <w:tcW w:w="2502" w:type="dxa"/>
            <w:vAlign w:val="center"/>
          </w:tcPr>
          <w:p w14:paraId="1D108ADB">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16" w:type="dxa"/>
            <w:vAlign w:val="center"/>
          </w:tcPr>
          <w:p w14:paraId="3D085B18">
            <w:pPr>
              <w:spacing w:line="320" w:lineRule="exact"/>
              <w:jc w:val="center"/>
              <w:rPr>
                <w:rFonts w:hint="eastAsia" w:ascii="Times New Roman" w:hAnsi="Times New Roman" w:eastAsia="宋体" w:cs="Times New Roman"/>
                <w:color w:val="auto"/>
                <w:lang w:eastAsia="zh-CN"/>
              </w:rPr>
            </w:pPr>
            <w:r>
              <w:rPr>
                <w:rFonts w:hint="eastAsia" w:ascii="Times New Roman" w:hAnsi="Times New Roman" w:cs="宋体"/>
                <w:color w:val="auto"/>
                <w:lang w:val="en-US" w:eastAsia="zh-CN"/>
              </w:rPr>
              <w:t>油罐区、卸油作业区、加油作业区</w:t>
            </w:r>
          </w:p>
        </w:tc>
      </w:tr>
      <w:tr w14:paraId="1965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8" w:type="dxa"/>
            <w:shd w:val="clear" w:color="auto" w:fill="auto"/>
            <w:vAlign w:val="center"/>
          </w:tcPr>
          <w:p w14:paraId="5630C2B5">
            <w:pPr>
              <w:spacing w:line="320" w:lineRule="exact"/>
              <w:jc w:val="center"/>
              <w:rPr>
                <w:rFonts w:hint="eastAsia" w:ascii="Times New Roman" w:hAnsi="Times New Roman" w:eastAsia="宋体" w:cs="Times New Roman"/>
                <w:color w:val="auto"/>
                <w:lang w:val="en-US" w:eastAsia="zh-CN"/>
              </w:rPr>
            </w:pPr>
            <w:bookmarkStart w:id="92" w:name="_Toc30431"/>
            <w:bookmarkStart w:id="93" w:name="_Toc28553"/>
            <w:bookmarkStart w:id="94" w:name="_Toc1204"/>
            <w:bookmarkStart w:id="95" w:name="_Toc7354"/>
            <w:bookmarkStart w:id="96" w:name="_Toc30502"/>
            <w:r>
              <w:rPr>
                <w:rFonts w:hint="eastAsia" w:ascii="Times New Roman" w:hAnsi="Times New Roman" w:cs="Times New Roman"/>
                <w:color w:val="auto"/>
                <w:lang w:val="en-US" w:eastAsia="zh-CN"/>
              </w:rPr>
              <w:t>9</w:t>
            </w:r>
          </w:p>
        </w:tc>
        <w:tc>
          <w:tcPr>
            <w:tcW w:w="1882" w:type="dxa"/>
            <w:shd w:val="clear" w:color="auto" w:fill="auto"/>
            <w:vAlign w:val="center"/>
          </w:tcPr>
          <w:p w14:paraId="5CB75E76">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窒息</w:t>
            </w:r>
          </w:p>
        </w:tc>
        <w:tc>
          <w:tcPr>
            <w:tcW w:w="2502" w:type="dxa"/>
            <w:shd w:val="clear" w:color="auto" w:fill="auto"/>
            <w:vAlign w:val="center"/>
          </w:tcPr>
          <w:p w14:paraId="0CA6B461">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16" w:type="dxa"/>
            <w:shd w:val="clear" w:color="auto" w:fill="auto"/>
            <w:vAlign w:val="center"/>
          </w:tcPr>
          <w:p w14:paraId="71ACC797">
            <w:pPr>
              <w:spacing w:line="320" w:lineRule="exact"/>
              <w:jc w:val="center"/>
              <w:rPr>
                <w:rFonts w:ascii="Times New Roman" w:hAnsi="Times New Roman" w:cs="Times New Roman"/>
                <w:color w:val="auto"/>
              </w:rPr>
            </w:pPr>
            <w:r>
              <w:rPr>
                <w:rFonts w:hint="eastAsia" w:ascii="Times New Roman" w:hAnsi="Times New Roman" w:cs="宋体"/>
                <w:color w:val="auto"/>
                <w:lang w:val="en-US" w:eastAsia="zh-CN"/>
              </w:rPr>
              <w:t>油罐区、卸油作业区、加油作业区</w:t>
            </w:r>
          </w:p>
        </w:tc>
      </w:tr>
      <w:tr w14:paraId="505C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8" w:type="dxa"/>
            <w:shd w:val="clear" w:color="auto" w:fill="auto"/>
            <w:vAlign w:val="center"/>
          </w:tcPr>
          <w:p w14:paraId="57FF02FA">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c>
          <w:tcPr>
            <w:tcW w:w="1882" w:type="dxa"/>
            <w:shd w:val="clear" w:color="auto" w:fill="auto"/>
            <w:vAlign w:val="center"/>
          </w:tcPr>
          <w:p w14:paraId="3FE1F1AB">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物体打击</w:t>
            </w:r>
          </w:p>
        </w:tc>
        <w:tc>
          <w:tcPr>
            <w:tcW w:w="2502" w:type="dxa"/>
            <w:shd w:val="clear" w:color="auto" w:fill="auto"/>
            <w:vAlign w:val="center"/>
          </w:tcPr>
          <w:p w14:paraId="301ABBC0">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人员伤亡、财产损失</w:t>
            </w:r>
          </w:p>
        </w:tc>
        <w:tc>
          <w:tcPr>
            <w:tcW w:w="3916" w:type="dxa"/>
            <w:shd w:val="clear" w:color="auto" w:fill="auto"/>
            <w:vAlign w:val="center"/>
          </w:tcPr>
          <w:p w14:paraId="1EB915BC">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加油作业区、站房、罩棚</w:t>
            </w:r>
          </w:p>
        </w:tc>
      </w:tr>
      <w:tr w14:paraId="379D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8" w:type="dxa"/>
            <w:shd w:val="clear" w:color="auto" w:fill="auto"/>
            <w:vAlign w:val="center"/>
          </w:tcPr>
          <w:p w14:paraId="5C34A3C1">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11</w:t>
            </w:r>
          </w:p>
        </w:tc>
        <w:tc>
          <w:tcPr>
            <w:tcW w:w="1882" w:type="dxa"/>
            <w:shd w:val="clear" w:color="auto" w:fill="auto"/>
            <w:vAlign w:val="center"/>
          </w:tcPr>
          <w:p w14:paraId="26691506">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跌落</w:t>
            </w:r>
          </w:p>
        </w:tc>
        <w:tc>
          <w:tcPr>
            <w:tcW w:w="2502" w:type="dxa"/>
            <w:shd w:val="clear" w:color="auto" w:fill="auto"/>
            <w:vAlign w:val="center"/>
          </w:tcPr>
          <w:p w14:paraId="0C369FEE">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w:t>
            </w:r>
          </w:p>
        </w:tc>
        <w:tc>
          <w:tcPr>
            <w:tcW w:w="3916" w:type="dxa"/>
            <w:shd w:val="clear" w:color="auto" w:fill="auto"/>
            <w:vAlign w:val="center"/>
          </w:tcPr>
          <w:p w14:paraId="063527C9">
            <w:pPr>
              <w:spacing w:line="320" w:lineRule="exact"/>
              <w:jc w:val="center"/>
              <w:rPr>
                <w:rFonts w:hint="eastAsia" w:ascii="Times New Roman" w:hAnsi="Times New Roman" w:cs="宋体"/>
                <w:color w:val="auto"/>
              </w:rPr>
            </w:pPr>
            <w:r>
              <w:rPr>
                <w:rFonts w:hint="eastAsia" w:ascii="Times New Roman" w:hAnsi="Times New Roman" w:cs="宋体"/>
                <w:color w:val="auto"/>
              </w:rPr>
              <w:t>经营作业场所</w:t>
            </w:r>
          </w:p>
        </w:tc>
      </w:tr>
      <w:tr w14:paraId="17EC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8" w:type="dxa"/>
            <w:shd w:val="clear" w:color="auto" w:fill="auto"/>
            <w:vAlign w:val="center"/>
          </w:tcPr>
          <w:p w14:paraId="75E7AAA7">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12</w:t>
            </w:r>
          </w:p>
        </w:tc>
        <w:tc>
          <w:tcPr>
            <w:tcW w:w="1882" w:type="dxa"/>
            <w:shd w:val="clear" w:color="auto" w:fill="auto"/>
            <w:vAlign w:val="center"/>
          </w:tcPr>
          <w:p w14:paraId="0386D3CF">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机械致害</w:t>
            </w:r>
          </w:p>
        </w:tc>
        <w:tc>
          <w:tcPr>
            <w:tcW w:w="2502" w:type="dxa"/>
            <w:shd w:val="clear" w:color="auto" w:fill="auto"/>
            <w:vAlign w:val="center"/>
          </w:tcPr>
          <w:p w14:paraId="4CDEE3AC">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rPr>
              <w:t>人员伤亡、</w:t>
            </w:r>
            <w:r>
              <w:rPr>
                <w:rFonts w:hint="eastAsia" w:ascii="Times New Roman" w:hAnsi="Times New Roman" w:cs="宋体"/>
                <w:color w:val="auto"/>
                <w:lang w:val="en-US" w:eastAsia="zh-CN"/>
              </w:rPr>
              <w:t>设备损坏</w:t>
            </w:r>
          </w:p>
        </w:tc>
        <w:tc>
          <w:tcPr>
            <w:tcW w:w="3916" w:type="dxa"/>
            <w:shd w:val="clear" w:color="auto" w:fill="auto"/>
            <w:vAlign w:val="center"/>
          </w:tcPr>
          <w:p w14:paraId="0FDF10ED">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加油作业区</w:t>
            </w:r>
          </w:p>
        </w:tc>
      </w:tr>
      <w:tr w14:paraId="3021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8" w:type="dxa"/>
            <w:shd w:val="clear" w:color="auto" w:fill="auto"/>
            <w:vAlign w:val="center"/>
          </w:tcPr>
          <w:p w14:paraId="2BB7F51E">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13</w:t>
            </w:r>
          </w:p>
        </w:tc>
        <w:tc>
          <w:tcPr>
            <w:tcW w:w="1882" w:type="dxa"/>
            <w:shd w:val="clear" w:color="auto" w:fill="auto"/>
            <w:vAlign w:val="center"/>
          </w:tcPr>
          <w:p w14:paraId="30E74473">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坍塌</w:t>
            </w:r>
          </w:p>
        </w:tc>
        <w:tc>
          <w:tcPr>
            <w:tcW w:w="2502" w:type="dxa"/>
            <w:shd w:val="clear" w:color="auto" w:fill="auto"/>
            <w:vAlign w:val="center"/>
          </w:tcPr>
          <w:p w14:paraId="341C0DC8">
            <w:pPr>
              <w:spacing w:line="32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rPr>
              <w:t>人员伤亡、</w:t>
            </w:r>
            <w:r>
              <w:rPr>
                <w:rFonts w:hint="eastAsia" w:ascii="Times New Roman" w:hAnsi="Times New Roman" w:cs="宋体"/>
                <w:color w:val="auto"/>
                <w:lang w:val="en-US" w:eastAsia="zh-CN"/>
              </w:rPr>
              <w:t>设备损坏</w:t>
            </w:r>
          </w:p>
        </w:tc>
        <w:tc>
          <w:tcPr>
            <w:tcW w:w="3916" w:type="dxa"/>
            <w:shd w:val="clear" w:color="auto" w:fill="auto"/>
            <w:vAlign w:val="center"/>
          </w:tcPr>
          <w:p w14:paraId="7F3BF0E7">
            <w:pPr>
              <w:spacing w:line="32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lang w:val="en-US" w:eastAsia="zh-CN"/>
              </w:rPr>
              <w:t>罩棚、站房</w:t>
            </w:r>
          </w:p>
        </w:tc>
      </w:tr>
      <w:tr w14:paraId="0A84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38" w:type="dxa"/>
            <w:shd w:val="clear" w:color="auto" w:fill="auto"/>
            <w:vAlign w:val="center"/>
          </w:tcPr>
          <w:p w14:paraId="13394D75">
            <w:pPr>
              <w:spacing w:line="320" w:lineRule="exact"/>
              <w:jc w:val="center"/>
              <w:rPr>
                <w:rFonts w:hint="default" w:ascii="Times New Roman" w:hAnsi="Times New Roman" w:cs="Times New Roman"/>
                <w:color w:val="auto"/>
                <w:lang w:val="en-US" w:eastAsia="zh-CN"/>
              </w:rPr>
            </w:pPr>
            <w:bookmarkStart w:id="97" w:name="_Toc27996"/>
            <w:r>
              <w:rPr>
                <w:rFonts w:hint="eastAsia" w:ascii="Times New Roman" w:hAnsi="Times New Roman" w:cs="Times New Roman"/>
                <w:color w:val="auto"/>
                <w:lang w:val="en-US" w:eastAsia="zh-CN"/>
              </w:rPr>
              <w:t>14</w:t>
            </w:r>
          </w:p>
        </w:tc>
        <w:tc>
          <w:tcPr>
            <w:tcW w:w="1882" w:type="dxa"/>
            <w:shd w:val="clear" w:color="auto" w:fill="auto"/>
            <w:vAlign w:val="center"/>
          </w:tcPr>
          <w:p w14:paraId="345555EC">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环境、自然因素</w:t>
            </w:r>
          </w:p>
        </w:tc>
        <w:tc>
          <w:tcPr>
            <w:tcW w:w="2502" w:type="dxa"/>
            <w:shd w:val="clear" w:color="auto" w:fill="auto"/>
            <w:vAlign w:val="center"/>
          </w:tcPr>
          <w:p w14:paraId="59C87910">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人员伤亡、财产损失</w:t>
            </w:r>
          </w:p>
        </w:tc>
        <w:tc>
          <w:tcPr>
            <w:tcW w:w="3916" w:type="dxa"/>
            <w:shd w:val="clear" w:color="auto" w:fill="auto"/>
            <w:vAlign w:val="center"/>
          </w:tcPr>
          <w:p w14:paraId="0F466F34">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经营作业场所</w:t>
            </w:r>
          </w:p>
        </w:tc>
      </w:tr>
    </w:tbl>
    <w:p w14:paraId="5B83E1AE">
      <w:pPr>
        <w:keepNext/>
        <w:keepLines/>
        <w:spacing w:line="600" w:lineRule="exact"/>
        <w:outlineLvl w:val="1"/>
        <w:rPr>
          <w:rFonts w:ascii="Times New Roman" w:hAnsi="Times New Roman" w:cs="Times New Roman"/>
          <w:b/>
          <w:bCs/>
          <w:color w:val="auto"/>
          <w:sz w:val="28"/>
          <w:szCs w:val="28"/>
        </w:rPr>
      </w:pPr>
      <w:r>
        <w:rPr>
          <w:rFonts w:ascii="Times New Roman" w:hAnsi="Times New Roman" w:cs="Times New Roman"/>
          <w:b/>
          <w:bCs/>
          <w:color w:val="auto"/>
          <w:sz w:val="28"/>
          <w:szCs w:val="28"/>
        </w:rPr>
        <w:t>3.9</w:t>
      </w:r>
      <w:r>
        <w:rPr>
          <w:rFonts w:hint="eastAsia" w:ascii="Times New Roman" w:hAnsi="Times New Roman" w:cs="宋体"/>
          <w:b/>
          <w:bCs/>
          <w:color w:val="auto"/>
          <w:sz w:val="28"/>
          <w:szCs w:val="28"/>
        </w:rPr>
        <w:t>爆炸危险区域划分</w:t>
      </w:r>
      <w:bookmarkEnd w:id="92"/>
      <w:bookmarkEnd w:id="93"/>
      <w:bookmarkEnd w:id="94"/>
      <w:bookmarkEnd w:id="95"/>
      <w:bookmarkEnd w:id="96"/>
      <w:bookmarkEnd w:id="97"/>
    </w:p>
    <w:p w14:paraId="3F102F20">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本项目采用油气回收系统，根据《汽车加油加气加氢站技术标准》</w:t>
      </w:r>
      <w:r>
        <w:rPr>
          <w:rFonts w:ascii="Times New Roman" w:hAnsi="Times New Roman" w:cs="Times New Roman"/>
          <w:color w:val="auto"/>
          <w:sz w:val="28"/>
          <w:szCs w:val="28"/>
        </w:rPr>
        <w:t>GB50156-2021</w:t>
      </w:r>
      <w:r>
        <w:rPr>
          <w:rFonts w:hint="eastAsia" w:ascii="Times New Roman" w:hAnsi="Times New Roman" w:cs="宋体"/>
          <w:color w:val="auto"/>
          <w:sz w:val="28"/>
          <w:szCs w:val="28"/>
        </w:rPr>
        <w:t>附录</w:t>
      </w:r>
      <w:r>
        <w:rPr>
          <w:rFonts w:ascii="Times New Roman" w:hAnsi="Times New Roman" w:cs="Times New Roman"/>
          <w:color w:val="auto"/>
          <w:sz w:val="28"/>
          <w:szCs w:val="28"/>
        </w:rPr>
        <w:t>C</w:t>
      </w:r>
      <w:r>
        <w:rPr>
          <w:rFonts w:hint="eastAsia" w:ascii="Times New Roman" w:hAnsi="Times New Roman" w:cs="宋体"/>
          <w:color w:val="auto"/>
          <w:sz w:val="28"/>
          <w:szCs w:val="28"/>
        </w:rPr>
        <w:t>，其爆炸危险区域划分见表</w:t>
      </w:r>
      <w:r>
        <w:rPr>
          <w:rFonts w:ascii="Times New Roman" w:hAnsi="Times New Roman" w:cs="Times New Roman"/>
          <w:color w:val="auto"/>
          <w:sz w:val="28"/>
          <w:szCs w:val="28"/>
        </w:rPr>
        <w:t>3</w:t>
      </w:r>
      <w:r>
        <w:rPr>
          <w:rFonts w:hint="eastAsia" w:ascii="Times New Roman" w:hAnsi="Times New Roman" w:cs="Times New Roman"/>
          <w:color w:val="auto"/>
          <w:sz w:val="28"/>
          <w:szCs w:val="28"/>
        </w:rPr>
        <w:t>.9-1</w:t>
      </w:r>
      <w:r>
        <w:rPr>
          <w:rFonts w:hint="eastAsia" w:ascii="Times New Roman" w:hAnsi="Times New Roman" w:cs="宋体"/>
          <w:color w:val="auto"/>
          <w:sz w:val="28"/>
          <w:szCs w:val="28"/>
        </w:rPr>
        <w:t>：</w:t>
      </w:r>
    </w:p>
    <w:p w14:paraId="446DA1BC">
      <w:pPr>
        <w:jc w:val="center"/>
        <w:rPr>
          <w:rFonts w:ascii="Times New Roman" w:hAnsi="Times New Roman" w:cs="宋体"/>
          <w:color w:val="auto"/>
          <w:sz w:val="24"/>
          <w:szCs w:val="24"/>
        </w:rPr>
      </w:pPr>
      <w:r>
        <w:rPr>
          <w:rFonts w:hint="eastAsia" w:ascii="Times New Roman" w:hAnsi="Times New Roman" w:cs="宋体"/>
          <w:color w:val="auto"/>
          <w:sz w:val="24"/>
          <w:szCs w:val="24"/>
        </w:rPr>
        <w:t>表3.9-1  爆炸危险区域划分图</w:t>
      </w:r>
    </w:p>
    <w:tbl>
      <w:tblPr>
        <w:tblStyle w:val="25"/>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84"/>
        <w:gridCol w:w="3167"/>
        <w:gridCol w:w="4747"/>
      </w:tblGrid>
      <w:tr w14:paraId="7361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5" w:hRule="atLeast"/>
          <w:tblHeader/>
          <w:jc w:val="center"/>
        </w:trPr>
        <w:tc>
          <w:tcPr>
            <w:tcW w:w="1584" w:type="dxa"/>
            <w:vAlign w:val="center"/>
          </w:tcPr>
          <w:p w14:paraId="6A0E8851">
            <w:pPr>
              <w:adjustRightInd w:val="0"/>
              <w:snapToGrid w:val="0"/>
              <w:jc w:val="center"/>
              <w:rPr>
                <w:rFonts w:ascii="Times New Roman" w:hAnsi="Times New Roman" w:cs="Times New Roman"/>
                <w:b/>
                <w:bCs/>
                <w:color w:val="auto"/>
              </w:rPr>
            </w:pPr>
            <w:r>
              <w:rPr>
                <w:rFonts w:hint="eastAsia" w:ascii="Times New Roman" w:hAnsi="Times New Roman" w:cs="宋体"/>
                <w:b/>
                <w:bCs/>
                <w:color w:val="auto"/>
              </w:rPr>
              <w:t>区域名称</w:t>
            </w:r>
          </w:p>
        </w:tc>
        <w:tc>
          <w:tcPr>
            <w:tcW w:w="3167" w:type="dxa"/>
            <w:vAlign w:val="center"/>
          </w:tcPr>
          <w:p w14:paraId="63330127">
            <w:pPr>
              <w:adjustRightInd w:val="0"/>
              <w:snapToGrid w:val="0"/>
              <w:ind w:firstLine="480"/>
              <w:jc w:val="center"/>
              <w:rPr>
                <w:rFonts w:ascii="Times New Roman" w:hAnsi="Times New Roman" w:cs="Times New Roman"/>
                <w:b/>
                <w:bCs/>
                <w:color w:val="auto"/>
              </w:rPr>
            </w:pPr>
            <w:r>
              <w:rPr>
                <w:rFonts w:hint="eastAsia" w:ascii="Times New Roman" w:hAnsi="Times New Roman" w:cs="宋体"/>
                <w:b/>
                <w:bCs/>
                <w:color w:val="auto"/>
              </w:rPr>
              <w:t>图例</w:t>
            </w:r>
          </w:p>
        </w:tc>
        <w:tc>
          <w:tcPr>
            <w:tcW w:w="4747" w:type="dxa"/>
            <w:vAlign w:val="center"/>
          </w:tcPr>
          <w:p w14:paraId="20298A03">
            <w:pPr>
              <w:adjustRightInd w:val="0"/>
              <w:snapToGrid w:val="0"/>
              <w:ind w:firstLine="480"/>
              <w:jc w:val="center"/>
              <w:rPr>
                <w:rFonts w:ascii="Times New Roman" w:hAnsi="Times New Roman" w:cs="Times New Roman"/>
                <w:b/>
                <w:bCs/>
                <w:color w:val="auto"/>
              </w:rPr>
            </w:pPr>
            <w:r>
              <w:rPr>
                <w:rFonts w:hint="eastAsia" w:ascii="Times New Roman" w:hAnsi="Times New Roman" w:cs="宋体"/>
                <w:b/>
                <w:bCs/>
                <w:color w:val="auto"/>
              </w:rPr>
              <w:t>危险区域范围</w:t>
            </w:r>
          </w:p>
        </w:tc>
      </w:tr>
      <w:tr w14:paraId="381D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6" w:hRule="atLeast"/>
          <w:tblHeader/>
          <w:jc w:val="center"/>
        </w:trPr>
        <w:tc>
          <w:tcPr>
            <w:tcW w:w="1584" w:type="dxa"/>
            <w:vAlign w:val="center"/>
          </w:tcPr>
          <w:p w14:paraId="2485FEF1">
            <w:pPr>
              <w:adjustRightInd w:val="0"/>
              <w:snapToGrid w:val="0"/>
              <w:rPr>
                <w:rFonts w:ascii="Times New Roman" w:hAnsi="Times New Roman" w:cs="Times New Roman"/>
                <w:b/>
                <w:bCs/>
                <w:color w:val="auto"/>
              </w:rPr>
            </w:pPr>
            <w:r>
              <w:rPr>
                <w:rFonts w:hint="eastAsia" w:ascii="Times New Roman" w:hAnsi="Times New Roman" w:cs="宋体"/>
                <w:color w:val="auto"/>
              </w:rPr>
              <w:t>汽油设施</w:t>
            </w:r>
          </w:p>
        </w:tc>
        <w:tc>
          <w:tcPr>
            <w:tcW w:w="3167" w:type="dxa"/>
            <w:vAlign w:val="center"/>
          </w:tcPr>
          <w:p w14:paraId="7127E1AD">
            <w:pPr>
              <w:adjustRightInd w:val="0"/>
              <w:snapToGrid w:val="0"/>
              <w:ind w:firstLine="422" w:firstLineChars="200"/>
              <w:jc w:val="center"/>
              <w:rPr>
                <w:rFonts w:ascii="Times New Roman" w:hAnsi="Times New Roman" w:cs="Times New Roman"/>
                <w:b/>
                <w:bCs/>
                <w:color w:val="auto"/>
              </w:rPr>
            </w:pPr>
            <w:r>
              <w:rPr>
                <w:rFonts w:ascii="Times New Roman" w:hAnsi="Times New Roman" w:cs="Times New Roman"/>
                <w:b/>
                <w:bCs/>
                <w:color w:val="auto"/>
              </w:rPr>
              <w:t>-</w:t>
            </w:r>
          </w:p>
        </w:tc>
        <w:tc>
          <w:tcPr>
            <w:tcW w:w="4747" w:type="dxa"/>
            <w:vAlign w:val="center"/>
          </w:tcPr>
          <w:p w14:paraId="21E55042">
            <w:pPr>
              <w:adjustRightInd w:val="0"/>
              <w:snapToGrid w:val="0"/>
              <w:ind w:firstLine="210" w:firstLineChars="100"/>
              <w:rPr>
                <w:rFonts w:ascii="Times New Roman" w:hAnsi="Times New Roman" w:cs="Times New Roman"/>
                <w:b/>
                <w:bCs/>
                <w:color w:val="auto"/>
              </w:rPr>
            </w:pPr>
            <w:r>
              <w:rPr>
                <w:rFonts w:hint="eastAsia" w:ascii="Times New Roman" w:hAnsi="Times New Roman" w:cs="宋体"/>
                <w:color w:val="auto"/>
              </w:rPr>
              <w:t>汽油设施爆炸危险区域内地坪以下的坑或沟应划分为</w:t>
            </w:r>
            <w:r>
              <w:rPr>
                <w:rFonts w:ascii="Times New Roman" w:hAnsi="Times New Roman" w:cs="Times New Roman"/>
                <w:color w:val="auto"/>
              </w:rPr>
              <w:t>1</w:t>
            </w:r>
            <w:r>
              <w:rPr>
                <w:rFonts w:hint="eastAsia" w:ascii="Times New Roman" w:hAnsi="Times New Roman" w:cs="宋体"/>
                <w:color w:val="auto"/>
              </w:rPr>
              <w:t>区。</w:t>
            </w:r>
          </w:p>
        </w:tc>
      </w:tr>
      <w:tr w14:paraId="29D6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vAlign w:val="center"/>
          </w:tcPr>
          <w:p w14:paraId="275DB200">
            <w:pPr>
              <w:adjustRightInd w:val="0"/>
              <w:snapToGrid w:val="0"/>
              <w:rPr>
                <w:rFonts w:ascii="Times New Roman" w:hAnsi="Times New Roman" w:cs="Times New Roman"/>
                <w:color w:val="auto"/>
              </w:rPr>
            </w:pPr>
            <w:r>
              <w:rPr>
                <w:rFonts w:hint="eastAsia" w:ascii="Times New Roman" w:hAnsi="Times New Roman" w:cs="宋体"/>
                <w:color w:val="auto"/>
                <w:spacing w:val="10"/>
              </w:rPr>
              <w:t>埋地卧式汽油储罐爆炸危险区域划分</w:t>
            </w:r>
          </w:p>
        </w:tc>
        <w:tc>
          <w:tcPr>
            <w:tcW w:w="3167" w:type="dxa"/>
            <w:vAlign w:val="center"/>
          </w:tcPr>
          <w:p w14:paraId="5FDFC566">
            <w:pPr>
              <w:adjustRightInd w:val="0"/>
              <w:snapToGrid w:val="0"/>
              <w:rPr>
                <w:rFonts w:ascii="Times New Roman" w:hAnsi="Times New Roman" w:cs="Times New Roman"/>
                <w:color w:val="auto"/>
              </w:rPr>
            </w:pPr>
          </w:p>
          <w:p w14:paraId="1F3624FD">
            <w:pPr>
              <w:adjustRightInd w:val="0"/>
              <w:snapToGrid w:val="0"/>
              <w:rPr>
                <w:rFonts w:ascii="Times New Roman" w:hAnsi="Times New Roman" w:cs="Times New Roman"/>
                <w:color w:val="auto"/>
              </w:rPr>
            </w:pPr>
          </w:p>
          <w:p w14:paraId="566071A7">
            <w:pPr>
              <w:adjustRightInd w:val="0"/>
              <w:snapToGrid w:val="0"/>
              <w:rPr>
                <w:rFonts w:ascii="Times New Roman" w:hAnsi="Times New Roman" w:cs="Times New Roman"/>
                <w:color w:val="auto"/>
              </w:rPr>
            </w:pPr>
            <w:r>
              <w:rPr>
                <w:color w:val="auto"/>
              </w:rPr>
              <w:pict>
                <v:shape id="Picture 66" o:spid="_x0000_s1080" o:spt="75" type="#_x0000_t75" style="position:absolute;left:0pt;margin-left:-0.2pt;margin-top:22.4pt;height:110.6pt;width:175.45pt;mso-wrap-distance-bottom:0pt;mso-wrap-distance-top:0pt;z-index:251660288;mso-width-relative:page;mso-height-relative:page;" o:ole="t" filled="f" o:preferrelative="t" stroked="f" coordsize="21600,21600">
                  <v:path/>
                  <v:fill on="f" focussize="0,0"/>
                  <v:stroke on="f" joinstyle="miter"/>
                  <v:imagedata r:id="rId10" o:title=""/>
                  <o:lock v:ext="edit" aspectratio="t"/>
                  <w10:wrap type="topAndBottom"/>
                </v:shape>
                <o:OLEObject Type="Embed" ProgID="Msxml2.SAXXMLReader.5.0" ShapeID="Picture 66" DrawAspect="Content" ObjectID="_1468075725" r:id="rId9">
                  <o:LockedField>false</o:LockedField>
                </o:OLEObject>
              </w:pict>
            </w:r>
          </w:p>
        </w:tc>
        <w:tc>
          <w:tcPr>
            <w:tcW w:w="4747" w:type="dxa"/>
            <w:vAlign w:val="center"/>
          </w:tcPr>
          <w:p w14:paraId="2359BCFF">
            <w:pPr>
              <w:adjustRightInd w:val="0"/>
              <w:snapToGrid w:val="0"/>
              <w:spacing w:line="340" w:lineRule="exact"/>
              <w:ind w:firstLine="210" w:firstLineChars="10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宋体"/>
                <w:color w:val="auto"/>
              </w:rPr>
              <w:t>、罐内部油品表面以上的空间应划分为</w:t>
            </w:r>
            <w:r>
              <w:rPr>
                <w:rFonts w:ascii="Times New Roman" w:hAnsi="Times New Roman" w:cs="Times New Roman"/>
                <w:color w:val="auto"/>
              </w:rPr>
              <w:t>0</w:t>
            </w:r>
            <w:r>
              <w:rPr>
                <w:rFonts w:hint="eastAsia" w:ascii="Times New Roman" w:hAnsi="Times New Roman" w:cs="宋体"/>
                <w:color w:val="auto"/>
              </w:rPr>
              <w:t>区。</w:t>
            </w:r>
          </w:p>
          <w:p w14:paraId="3315BDDA">
            <w:pPr>
              <w:adjustRightInd w:val="0"/>
              <w:snapToGrid w:val="0"/>
              <w:spacing w:line="340" w:lineRule="exact"/>
              <w:rPr>
                <w:rFonts w:ascii="Times New Roman" w:hAnsi="Times New Roman" w:cs="Times New Roman"/>
                <w:color w:val="auto"/>
              </w:rPr>
            </w:pPr>
            <w:r>
              <w:rPr>
                <w:rFonts w:ascii="Times New Roman" w:hAnsi="Times New Roman" w:cs="Times New Roman"/>
                <w:color w:val="auto"/>
              </w:rPr>
              <w:t xml:space="preserve">  2</w:t>
            </w:r>
            <w:r>
              <w:rPr>
                <w:rFonts w:hint="eastAsia" w:ascii="Times New Roman" w:hAnsi="Times New Roman" w:cs="宋体"/>
                <w:color w:val="auto"/>
              </w:rPr>
              <w:t>、人孔（阀）井内部空间，以通气管管口为中心、半径为</w:t>
            </w:r>
            <w:r>
              <w:rPr>
                <w:rFonts w:ascii="Times New Roman" w:hAnsi="Times New Roman" w:cs="Times New Roman"/>
                <w:color w:val="auto"/>
              </w:rPr>
              <w:t>0.75m</w:t>
            </w:r>
            <w:r>
              <w:rPr>
                <w:rFonts w:hint="eastAsia" w:ascii="Times New Roman" w:hAnsi="Times New Roman" w:cs="宋体"/>
                <w:color w:val="auto"/>
              </w:rPr>
              <w:t>的球形空间和以密闭卸油口为中心、半径为</w:t>
            </w:r>
            <w:r>
              <w:rPr>
                <w:rFonts w:ascii="Times New Roman" w:hAnsi="Times New Roman" w:cs="Times New Roman"/>
                <w:color w:val="auto"/>
              </w:rPr>
              <w:t>0.5m</w:t>
            </w:r>
            <w:r>
              <w:rPr>
                <w:rFonts w:hint="eastAsia" w:ascii="Times New Roman" w:hAnsi="Times New Roman" w:cs="宋体"/>
                <w:color w:val="auto"/>
              </w:rPr>
              <w:t>的球形空间，应划分为</w:t>
            </w:r>
            <w:r>
              <w:rPr>
                <w:rFonts w:ascii="Times New Roman" w:hAnsi="Times New Roman" w:cs="Times New Roman"/>
                <w:color w:val="auto"/>
              </w:rPr>
              <w:t>1</w:t>
            </w:r>
            <w:r>
              <w:rPr>
                <w:rFonts w:hint="eastAsia" w:ascii="Times New Roman" w:hAnsi="Times New Roman" w:cs="宋体"/>
                <w:color w:val="auto"/>
              </w:rPr>
              <w:t>区。</w:t>
            </w:r>
          </w:p>
          <w:p w14:paraId="7EC07C55">
            <w:pPr>
              <w:adjustRightInd w:val="0"/>
              <w:snapToGrid w:val="0"/>
              <w:spacing w:line="340" w:lineRule="exact"/>
              <w:rPr>
                <w:rFonts w:ascii="Times New Roman" w:hAnsi="Times New Roman" w:cs="Times New Roman"/>
                <w:color w:val="auto"/>
              </w:rPr>
            </w:pPr>
            <w:r>
              <w:rPr>
                <w:rFonts w:ascii="Times New Roman" w:hAnsi="Times New Roman" w:cs="Times New Roman"/>
                <w:color w:val="auto"/>
              </w:rPr>
              <w:t xml:space="preserve">  3</w:t>
            </w:r>
            <w:r>
              <w:rPr>
                <w:rFonts w:hint="eastAsia" w:ascii="Times New Roman" w:hAnsi="Times New Roman" w:cs="宋体"/>
                <w:color w:val="auto"/>
              </w:rPr>
              <w:t>、距人孔（阀）井外边缘</w:t>
            </w:r>
            <w:r>
              <w:rPr>
                <w:rFonts w:ascii="Times New Roman" w:hAnsi="Times New Roman" w:cs="Times New Roman"/>
                <w:color w:val="auto"/>
              </w:rPr>
              <w:t>1.5m</w:t>
            </w:r>
            <w:r>
              <w:rPr>
                <w:rFonts w:hint="eastAsia" w:ascii="Times New Roman" w:hAnsi="Times New Roman" w:cs="宋体"/>
                <w:color w:val="auto"/>
              </w:rPr>
              <w:t>以内，自地面算起</w:t>
            </w:r>
            <w:r>
              <w:rPr>
                <w:rFonts w:ascii="Times New Roman" w:hAnsi="Times New Roman" w:cs="Times New Roman"/>
                <w:color w:val="auto"/>
              </w:rPr>
              <w:t>1m</w:t>
            </w:r>
            <w:r>
              <w:rPr>
                <w:rFonts w:hint="eastAsia" w:ascii="Times New Roman" w:hAnsi="Times New Roman" w:cs="宋体"/>
                <w:color w:val="auto"/>
              </w:rPr>
              <w:t>高的圆柱形空间，以通气管管口为中心、半径为</w:t>
            </w:r>
            <w:r>
              <w:rPr>
                <w:rFonts w:ascii="Times New Roman" w:hAnsi="Times New Roman" w:cs="Times New Roman"/>
                <w:color w:val="auto"/>
              </w:rPr>
              <w:t>2m</w:t>
            </w:r>
            <w:r>
              <w:rPr>
                <w:rFonts w:hint="eastAsia" w:ascii="Times New Roman" w:hAnsi="Times New Roman" w:cs="宋体"/>
                <w:color w:val="auto"/>
              </w:rPr>
              <w:t>的球形空间和以密闭卸油口为中心、半径为</w:t>
            </w:r>
            <w:r>
              <w:rPr>
                <w:rFonts w:ascii="Times New Roman" w:hAnsi="Times New Roman" w:cs="Times New Roman"/>
                <w:color w:val="auto"/>
              </w:rPr>
              <w:t>1.5m</w:t>
            </w:r>
            <w:r>
              <w:rPr>
                <w:rFonts w:hint="eastAsia" w:ascii="Times New Roman" w:hAnsi="Times New Roman" w:cs="宋体"/>
                <w:color w:val="auto"/>
              </w:rPr>
              <w:t>的球形并延至地面的空间，应划分为</w:t>
            </w:r>
            <w:r>
              <w:rPr>
                <w:rFonts w:ascii="Times New Roman" w:hAnsi="Times New Roman" w:cs="Times New Roman"/>
                <w:color w:val="auto"/>
              </w:rPr>
              <w:t>2</w:t>
            </w:r>
            <w:r>
              <w:rPr>
                <w:rFonts w:hint="eastAsia" w:ascii="Times New Roman" w:hAnsi="Times New Roman" w:cs="宋体"/>
                <w:color w:val="auto"/>
              </w:rPr>
              <w:t>区。</w:t>
            </w:r>
          </w:p>
          <w:p w14:paraId="640424AB">
            <w:pPr>
              <w:rPr>
                <w:rFonts w:ascii="Times New Roman" w:hAnsi="Times New Roman" w:cs="Times New Roman"/>
                <w:color w:val="auto"/>
              </w:rPr>
            </w:pPr>
            <w:r>
              <w:rPr>
                <w:rFonts w:ascii="Times New Roman" w:hAnsi="Times New Roman" w:cs="Times New Roman"/>
                <w:color w:val="auto"/>
                <w:spacing w:val="10"/>
              </w:rPr>
              <w:t xml:space="preserve">  4</w:t>
            </w:r>
            <w:r>
              <w:rPr>
                <w:rFonts w:hint="eastAsia" w:ascii="Times New Roman" w:hAnsi="Times New Roman" w:cs="宋体"/>
                <w:color w:val="auto"/>
                <w:spacing w:val="10"/>
              </w:rPr>
              <w:t>、当地上密闭卸油口设在箱体内时，箱体内部的空间应划分为</w:t>
            </w:r>
            <w:r>
              <w:rPr>
                <w:rFonts w:ascii="Times New Roman" w:hAnsi="Times New Roman" w:cs="Times New Roman"/>
                <w:color w:val="auto"/>
                <w:spacing w:val="10"/>
              </w:rPr>
              <w:t>1</w:t>
            </w:r>
            <w:r>
              <w:rPr>
                <w:rFonts w:hint="eastAsia" w:ascii="Times New Roman" w:hAnsi="Times New Roman" w:cs="宋体"/>
                <w:color w:val="auto"/>
                <w:spacing w:val="10"/>
              </w:rPr>
              <w:t>区，箱体外部四周</w:t>
            </w:r>
            <w:r>
              <w:rPr>
                <w:rFonts w:ascii="Times New Roman" w:hAnsi="Times New Roman" w:cs="Times New Roman"/>
                <w:color w:val="auto"/>
                <w:spacing w:val="10"/>
              </w:rPr>
              <w:t>1m</w:t>
            </w:r>
            <w:r>
              <w:rPr>
                <w:rFonts w:hint="eastAsia" w:ascii="Times New Roman" w:hAnsi="Times New Roman" w:cs="宋体"/>
                <w:color w:val="auto"/>
                <w:spacing w:val="10"/>
              </w:rPr>
              <w:t>和箱体顶部以上</w:t>
            </w:r>
            <w:r>
              <w:rPr>
                <w:rFonts w:ascii="Times New Roman" w:hAnsi="Times New Roman" w:cs="Times New Roman"/>
                <w:color w:val="auto"/>
                <w:spacing w:val="10"/>
              </w:rPr>
              <w:t>1.5m</w:t>
            </w:r>
            <w:r>
              <w:rPr>
                <w:rFonts w:hint="eastAsia" w:ascii="Times New Roman" w:hAnsi="Times New Roman" w:cs="宋体"/>
                <w:color w:val="auto"/>
                <w:spacing w:val="10"/>
              </w:rPr>
              <w:t>范围内的空间应划分为</w:t>
            </w:r>
            <w:r>
              <w:rPr>
                <w:rFonts w:ascii="Times New Roman" w:hAnsi="Times New Roman" w:cs="Times New Roman"/>
                <w:color w:val="auto"/>
                <w:spacing w:val="10"/>
              </w:rPr>
              <w:t>2</w:t>
            </w:r>
            <w:r>
              <w:rPr>
                <w:rFonts w:hint="eastAsia" w:ascii="Times New Roman" w:hAnsi="Times New Roman" w:cs="宋体"/>
                <w:color w:val="auto"/>
                <w:spacing w:val="10"/>
              </w:rPr>
              <w:t>区；当密闭卸油口设在卸油坑内时，坑内的空间应划分为</w:t>
            </w:r>
            <w:r>
              <w:rPr>
                <w:rFonts w:ascii="Times New Roman" w:hAnsi="Times New Roman" w:cs="Times New Roman"/>
                <w:color w:val="auto"/>
                <w:spacing w:val="10"/>
              </w:rPr>
              <w:t>1</w:t>
            </w:r>
            <w:r>
              <w:rPr>
                <w:rFonts w:hint="eastAsia" w:ascii="Times New Roman" w:hAnsi="Times New Roman" w:cs="宋体"/>
                <w:color w:val="auto"/>
                <w:spacing w:val="10"/>
              </w:rPr>
              <w:t>区，坑口外</w:t>
            </w:r>
            <w:r>
              <w:rPr>
                <w:rFonts w:ascii="Times New Roman" w:hAnsi="Times New Roman" w:cs="Times New Roman"/>
                <w:color w:val="auto"/>
                <w:spacing w:val="10"/>
              </w:rPr>
              <w:t>1.5m</w:t>
            </w:r>
            <w:r>
              <w:rPr>
                <w:rFonts w:hint="eastAsia" w:ascii="Times New Roman" w:hAnsi="Times New Roman" w:cs="宋体"/>
                <w:color w:val="auto"/>
                <w:spacing w:val="10"/>
              </w:rPr>
              <w:t>范围内的空间应划分为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r w14:paraId="7C2B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vAlign w:val="center"/>
          </w:tcPr>
          <w:p w14:paraId="74446BB5">
            <w:pPr>
              <w:adjustRightInd w:val="0"/>
              <w:snapToGrid w:val="0"/>
              <w:rPr>
                <w:rFonts w:ascii="Times New Roman" w:hAnsi="Times New Roman" w:cs="Times New Roman"/>
                <w:color w:val="auto"/>
              </w:rPr>
            </w:pPr>
            <w:r>
              <w:rPr>
                <w:rFonts w:hint="eastAsia" w:ascii="Times New Roman" w:hAnsi="Times New Roman" w:cs="宋体"/>
                <w:color w:val="auto"/>
                <w:spacing w:val="10"/>
              </w:rPr>
              <w:t>汽油油罐车和密闭卸油口的爆炸危险区域划分</w:t>
            </w:r>
          </w:p>
        </w:tc>
        <w:tc>
          <w:tcPr>
            <w:tcW w:w="3167" w:type="dxa"/>
            <w:vAlign w:val="center"/>
          </w:tcPr>
          <w:p w14:paraId="015973D0">
            <w:pPr>
              <w:adjustRightInd w:val="0"/>
              <w:snapToGrid w:val="0"/>
              <w:jc w:val="center"/>
              <w:rPr>
                <w:rFonts w:ascii="Times New Roman" w:hAnsi="Times New Roman" w:cs="Times New Roman"/>
                <w:color w:val="auto"/>
              </w:rPr>
            </w:pPr>
            <w:r>
              <w:rPr>
                <w:color w:val="auto"/>
              </w:rPr>
              <w:drawing>
                <wp:anchor distT="0" distB="0" distL="114300" distR="114300" simplePos="0" relativeHeight="251661312" behindDoc="0" locked="0" layoutInCell="1" allowOverlap="1">
                  <wp:simplePos x="0" y="0"/>
                  <wp:positionH relativeFrom="column">
                    <wp:posOffset>29845</wp:posOffset>
                  </wp:positionH>
                  <wp:positionV relativeFrom="paragraph">
                    <wp:posOffset>220345</wp:posOffset>
                  </wp:positionV>
                  <wp:extent cx="1870075" cy="1113790"/>
                  <wp:effectExtent l="0" t="0" r="15875" b="10160"/>
                  <wp:wrapNone/>
                  <wp:docPr id="1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7"/>
                          <pic:cNvPicPr>
                            <a:picLocks noChangeAspect="1"/>
                          </pic:cNvPicPr>
                        </pic:nvPicPr>
                        <pic:blipFill>
                          <a:blip r:embed="rId11"/>
                          <a:srcRect t="5914" r="19711" b="25301"/>
                          <a:stretch>
                            <a:fillRect/>
                          </a:stretch>
                        </pic:blipFill>
                        <pic:spPr>
                          <a:xfrm>
                            <a:off x="0" y="0"/>
                            <a:ext cx="1870075" cy="1113790"/>
                          </a:xfrm>
                          <a:prstGeom prst="rect">
                            <a:avLst/>
                          </a:prstGeom>
                          <a:noFill/>
                          <a:ln>
                            <a:noFill/>
                          </a:ln>
                        </pic:spPr>
                      </pic:pic>
                    </a:graphicData>
                  </a:graphic>
                </wp:anchor>
              </w:drawing>
            </w:r>
          </w:p>
        </w:tc>
        <w:tc>
          <w:tcPr>
            <w:tcW w:w="4747" w:type="dxa"/>
            <w:vAlign w:val="center"/>
          </w:tcPr>
          <w:p w14:paraId="55CAFD39">
            <w:pPr>
              <w:adjustRightInd w:val="0"/>
              <w:snapToGrid w:val="0"/>
              <w:spacing w:line="340" w:lineRule="exact"/>
              <w:ind w:firstLine="230" w:firstLineChars="100"/>
              <w:rPr>
                <w:rFonts w:ascii="Times New Roman" w:hAnsi="Times New Roman" w:cs="Times New Roman"/>
                <w:color w:val="auto"/>
                <w:spacing w:val="10"/>
              </w:rPr>
            </w:pPr>
            <w:r>
              <w:rPr>
                <w:rFonts w:ascii="Times New Roman" w:hAnsi="Times New Roman" w:cs="Times New Roman"/>
                <w:color w:val="auto"/>
                <w:spacing w:val="10"/>
              </w:rPr>
              <w:t>1</w:t>
            </w:r>
            <w:r>
              <w:rPr>
                <w:rFonts w:hint="eastAsia" w:ascii="Times New Roman" w:hAnsi="Times New Roman" w:cs="宋体"/>
                <w:color w:val="auto"/>
                <w:spacing w:val="10"/>
              </w:rPr>
              <w:t>、油罐车内部的油品表面以上空间应划分为</w:t>
            </w:r>
            <w:r>
              <w:rPr>
                <w:rFonts w:ascii="Times New Roman" w:hAnsi="Times New Roman" w:cs="Times New Roman"/>
                <w:color w:val="auto"/>
                <w:spacing w:val="10"/>
              </w:rPr>
              <w:t>0</w:t>
            </w:r>
            <w:r>
              <w:rPr>
                <w:rFonts w:hint="eastAsia" w:ascii="Times New Roman" w:hAnsi="Times New Roman" w:cs="宋体"/>
                <w:color w:val="auto"/>
                <w:spacing w:val="10"/>
              </w:rPr>
              <w:t>区。</w:t>
            </w:r>
          </w:p>
          <w:p w14:paraId="1A99DEC0">
            <w:pPr>
              <w:adjustRightInd w:val="0"/>
              <w:snapToGrid w:val="0"/>
              <w:spacing w:line="340" w:lineRule="exact"/>
              <w:rPr>
                <w:rFonts w:ascii="Times New Roman" w:hAnsi="Times New Roman" w:cs="Times New Roman"/>
                <w:color w:val="auto"/>
                <w:spacing w:val="10"/>
              </w:rPr>
            </w:pPr>
            <w:r>
              <w:rPr>
                <w:rFonts w:ascii="Times New Roman" w:hAnsi="Times New Roman" w:cs="Times New Roman"/>
                <w:color w:val="auto"/>
                <w:spacing w:val="10"/>
              </w:rPr>
              <w:t xml:space="preserve">  2</w:t>
            </w:r>
            <w:r>
              <w:rPr>
                <w:rFonts w:hint="eastAsia" w:ascii="Times New Roman" w:hAnsi="Times New Roman" w:cs="宋体"/>
                <w:color w:val="auto"/>
                <w:spacing w:val="10"/>
              </w:rPr>
              <w:t>、以罐车通气口为中心、半径为</w:t>
            </w:r>
            <w:r>
              <w:rPr>
                <w:rFonts w:ascii="Times New Roman" w:hAnsi="Times New Roman" w:cs="Times New Roman"/>
                <w:color w:val="auto"/>
                <w:spacing w:val="10"/>
              </w:rPr>
              <w:t>1.5m</w:t>
            </w:r>
            <w:r>
              <w:rPr>
                <w:rFonts w:hint="eastAsia" w:ascii="Times New Roman" w:hAnsi="Times New Roman" w:cs="宋体"/>
                <w:color w:val="auto"/>
                <w:spacing w:val="10"/>
              </w:rPr>
              <w:t>的球形空间和以罐车密闭卸油口为中心、半径为</w:t>
            </w:r>
            <w:r>
              <w:rPr>
                <w:rFonts w:ascii="Times New Roman" w:hAnsi="Times New Roman" w:cs="Times New Roman"/>
                <w:color w:val="auto"/>
                <w:spacing w:val="10"/>
              </w:rPr>
              <w:t>0.5m</w:t>
            </w:r>
            <w:r>
              <w:rPr>
                <w:rFonts w:hint="eastAsia" w:ascii="Times New Roman" w:hAnsi="Times New Roman" w:cs="宋体"/>
                <w:color w:val="auto"/>
                <w:spacing w:val="10"/>
              </w:rPr>
              <w:t>的球形空间，应划分为</w:t>
            </w:r>
            <w:r>
              <w:rPr>
                <w:rFonts w:ascii="Times New Roman" w:hAnsi="Times New Roman" w:cs="Times New Roman"/>
                <w:color w:val="auto"/>
                <w:spacing w:val="10"/>
              </w:rPr>
              <w:t>1</w:t>
            </w:r>
            <w:r>
              <w:rPr>
                <w:rFonts w:hint="eastAsia" w:ascii="Times New Roman" w:hAnsi="Times New Roman" w:cs="宋体"/>
                <w:color w:val="auto"/>
                <w:spacing w:val="10"/>
              </w:rPr>
              <w:t>区。</w:t>
            </w:r>
          </w:p>
          <w:p w14:paraId="1FB9E5E1">
            <w:pPr>
              <w:adjustRightInd w:val="0"/>
              <w:snapToGrid w:val="0"/>
              <w:spacing w:line="340" w:lineRule="exact"/>
              <w:rPr>
                <w:rFonts w:ascii="Times New Roman" w:hAnsi="Times New Roman" w:cs="Times New Roman"/>
                <w:color w:val="auto"/>
                <w:spacing w:val="20"/>
              </w:rPr>
            </w:pPr>
            <w:r>
              <w:rPr>
                <w:rFonts w:ascii="Times New Roman" w:hAnsi="Times New Roman" w:cs="Times New Roman"/>
                <w:color w:val="auto"/>
                <w:spacing w:val="10"/>
              </w:rPr>
              <w:t xml:space="preserve">  3</w:t>
            </w:r>
            <w:r>
              <w:rPr>
                <w:rFonts w:hint="eastAsia" w:ascii="Times New Roman" w:hAnsi="Times New Roman" w:cs="宋体"/>
                <w:color w:val="auto"/>
                <w:spacing w:val="10"/>
              </w:rPr>
              <w:t>、以罐车通气口为中心、半径为</w:t>
            </w:r>
            <w:r>
              <w:rPr>
                <w:rFonts w:ascii="Times New Roman" w:hAnsi="Times New Roman" w:cs="Times New Roman"/>
                <w:color w:val="auto"/>
                <w:spacing w:val="10"/>
              </w:rPr>
              <w:t>3m</w:t>
            </w:r>
            <w:r>
              <w:rPr>
                <w:rFonts w:hint="eastAsia" w:ascii="Times New Roman" w:hAnsi="Times New Roman" w:cs="宋体"/>
                <w:color w:val="auto"/>
                <w:spacing w:val="10"/>
              </w:rPr>
              <w:t>的球形并延至地面的空间和以罐车密闭卸油口为中心、半径为</w:t>
            </w:r>
            <w:r>
              <w:rPr>
                <w:rFonts w:ascii="Times New Roman" w:hAnsi="Times New Roman" w:cs="Times New Roman"/>
                <w:color w:val="auto"/>
                <w:spacing w:val="10"/>
              </w:rPr>
              <w:t>1.5m</w:t>
            </w:r>
            <w:r>
              <w:rPr>
                <w:rFonts w:hint="eastAsia" w:ascii="Times New Roman" w:hAnsi="Times New Roman" w:cs="宋体"/>
                <w:color w:val="auto"/>
                <w:spacing w:val="10"/>
              </w:rPr>
              <w:t>的球形并延至地面的空间，应划分为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r w14:paraId="65B9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32" w:hRule="atLeast"/>
          <w:tblHeader/>
          <w:jc w:val="center"/>
        </w:trPr>
        <w:tc>
          <w:tcPr>
            <w:tcW w:w="1584" w:type="dxa"/>
            <w:vAlign w:val="center"/>
          </w:tcPr>
          <w:p w14:paraId="669A23F6">
            <w:pPr>
              <w:adjustRightInd w:val="0"/>
              <w:snapToGrid w:val="0"/>
              <w:rPr>
                <w:rFonts w:ascii="Times New Roman" w:hAnsi="Times New Roman" w:cs="Times New Roman"/>
                <w:color w:val="auto"/>
              </w:rPr>
            </w:pPr>
            <w:r>
              <w:rPr>
                <w:rFonts w:hint="eastAsia" w:ascii="Times New Roman" w:hAnsi="Times New Roman" w:cs="宋体"/>
                <w:color w:val="auto"/>
                <w:spacing w:val="10"/>
              </w:rPr>
              <w:t>汽油加油机爆炸危险区域划分</w:t>
            </w:r>
          </w:p>
        </w:tc>
        <w:tc>
          <w:tcPr>
            <w:tcW w:w="3167" w:type="dxa"/>
            <w:vAlign w:val="center"/>
          </w:tcPr>
          <w:p w14:paraId="29AA67C1">
            <w:pPr>
              <w:adjustRightInd w:val="0"/>
              <w:snapToGrid w:val="0"/>
              <w:jc w:val="center"/>
              <w:rPr>
                <w:rFonts w:ascii="Times New Roman" w:hAnsi="Times New Roman" w:cs="Times New Roman"/>
                <w:color w:val="auto"/>
              </w:rPr>
            </w:pPr>
            <w:r>
              <w:rPr>
                <w:color w:val="auto"/>
              </w:rPr>
              <w:drawing>
                <wp:anchor distT="0" distB="0" distL="114300" distR="114300" simplePos="0" relativeHeight="251662336" behindDoc="0" locked="0" layoutInCell="1" allowOverlap="1">
                  <wp:simplePos x="0" y="0"/>
                  <wp:positionH relativeFrom="column">
                    <wp:posOffset>12065</wp:posOffset>
                  </wp:positionH>
                  <wp:positionV relativeFrom="paragraph">
                    <wp:posOffset>-1166495</wp:posOffset>
                  </wp:positionV>
                  <wp:extent cx="2223135" cy="1317625"/>
                  <wp:effectExtent l="0" t="0" r="5715" b="15875"/>
                  <wp:wrapTopAndBottom/>
                  <wp:docPr id="1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8"/>
                          <pic:cNvPicPr>
                            <a:picLocks noChangeAspect="1"/>
                          </pic:cNvPicPr>
                        </pic:nvPicPr>
                        <pic:blipFill>
                          <a:blip r:embed="rId12"/>
                          <a:stretch>
                            <a:fillRect/>
                          </a:stretch>
                        </pic:blipFill>
                        <pic:spPr>
                          <a:xfrm>
                            <a:off x="0" y="0"/>
                            <a:ext cx="2223135" cy="1317625"/>
                          </a:xfrm>
                          <a:prstGeom prst="rect">
                            <a:avLst/>
                          </a:prstGeom>
                          <a:noFill/>
                          <a:ln>
                            <a:noFill/>
                          </a:ln>
                        </pic:spPr>
                      </pic:pic>
                    </a:graphicData>
                  </a:graphic>
                </wp:anchor>
              </w:drawing>
            </w:r>
          </w:p>
        </w:tc>
        <w:tc>
          <w:tcPr>
            <w:tcW w:w="4747" w:type="dxa"/>
            <w:vAlign w:val="center"/>
          </w:tcPr>
          <w:p w14:paraId="3C474AC3">
            <w:pPr>
              <w:adjustRightInd w:val="0"/>
              <w:snapToGrid w:val="0"/>
              <w:spacing w:line="340" w:lineRule="exact"/>
              <w:ind w:firstLine="230" w:firstLineChars="100"/>
              <w:rPr>
                <w:rFonts w:ascii="Times New Roman" w:hAnsi="Times New Roman" w:cs="Times New Roman"/>
                <w:color w:val="auto"/>
                <w:spacing w:val="10"/>
              </w:rPr>
            </w:pPr>
            <w:r>
              <w:rPr>
                <w:rFonts w:ascii="Times New Roman" w:hAnsi="Times New Roman" w:cs="Times New Roman"/>
                <w:color w:val="auto"/>
                <w:spacing w:val="10"/>
              </w:rPr>
              <w:t>1</w:t>
            </w:r>
            <w:r>
              <w:rPr>
                <w:rFonts w:hint="eastAsia" w:ascii="Times New Roman" w:hAnsi="Times New Roman" w:cs="宋体"/>
                <w:color w:val="auto"/>
                <w:spacing w:val="10"/>
              </w:rPr>
              <w:t>、加油机下箱体内部空间应划分为</w:t>
            </w:r>
            <w:r>
              <w:rPr>
                <w:rFonts w:ascii="Times New Roman" w:hAnsi="Times New Roman" w:cs="Times New Roman"/>
                <w:color w:val="auto"/>
                <w:spacing w:val="10"/>
              </w:rPr>
              <w:t>1</w:t>
            </w:r>
            <w:r>
              <w:rPr>
                <w:rFonts w:hint="eastAsia" w:ascii="Times New Roman" w:hAnsi="Times New Roman" w:cs="宋体"/>
                <w:color w:val="auto"/>
                <w:spacing w:val="10"/>
              </w:rPr>
              <w:t>区。</w:t>
            </w:r>
          </w:p>
          <w:p w14:paraId="1F6C1F40">
            <w:pPr>
              <w:adjustRightInd w:val="0"/>
              <w:snapToGrid w:val="0"/>
              <w:spacing w:line="340" w:lineRule="exact"/>
              <w:ind w:firstLine="230" w:firstLineChars="100"/>
              <w:rPr>
                <w:rFonts w:ascii="Times New Roman" w:hAnsi="Times New Roman" w:cs="Times New Roman"/>
                <w:color w:val="auto"/>
                <w:spacing w:val="20"/>
              </w:rPr>
            </w:pPr>
            <w:r>
              <w:rPr>
                <w:rFonts w:ascii="Times New Roman" w:hAnsi="Times New Roman" w:cs="Times New Roman"/>
                <w:color w:val="auto"/>
                <w:spacing w:val="10"/>
              </w:rPr>
              <w:t>2</w:t>
            </w:r>
            <w:r>
              <w:rPr>
                <w:rFonts w:hint="eastAsia" w:ascii="Times New Roman" w:hAnsi="Times New Roman" w:cs="宋体"/>
                <w:color w:val="auto"/>
                <w:spacing w:val="10"/>
              </w:rPr>
              <w:t>、以加油机中心线为中心线、以半径为</w:t>
            </w:r>
            <w:r>
              <w:rPr>
                <w:rFonts w:ascii="Times New Roman" w:hAnsi="Times New Roman" w:cs="Times New Roman"/>
                <w:color w:val="auto"/>
                <w:spacing w:val="10"/>
              </w:rPr>
              <w:t>3m</w:t>
            </w:r>
            <w:r>
              <w:rPr>
                <w:rFonts w:hint="eastAsia" w:ascii="Times New Roman" w:hAnsi="Times New Roman" w:cs="宋体"/>
                <w:color w:val="auto"/>
                <w:spacing w:val="10"/>
              </w:rPr>
              <w:t>的地面区域为底面和以加油机箱体顶部以上</w:t>
            </w:r>
            <w:r>
              <w:rPr>
                <w:rFonts w:ascii="Times New Roman" w:hAnsi="Times New Roman" w:cs="Times New Roman"/>
                <w:color w:val="auto"/>
                <w:spacing w:val="10"/>
              </w:rPr>
              <w:t>0.15m</w:t>
            </w:r>
            <w:r>
              <w:rPr>
                <w:rFonts w:hint="eastAsia" w:ascii="Times New Roman" w:hAnsi="Times New Roman" w:cs="宋体"/>
                <w:color w:val="auto"/>
                <w:spacing w:val="10"/>
              </w:rPr>
              <w:t>、半径为</w:t>
            </w:r>
            <w:r>
              <w:rPr>
                <w:rFonts w:ascii="Times New Roman" w:hAnsi="Times New Roman" w:cs="Times New Roman"/>
                <w:color w:val="auto"/>
                <w:spacing w:val="10"/>
              </w:rPr>
              <w:t>1.5m</w:t>
            </w:r>
            <w:r>
              <w:rPr>
                <w:rFonts w:hint="eastAsia" w:ascii="Times New Roman" w:hAnsi="Times New Roman" w:cs="宋体"/>
                <w:color w:val="auto"/>
                <w:spacing w:val="10"/>
              </w:rPr>
              <w:t>的平面为顶面的圆台形空间，应划分为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bl>
    <w:p w14:paraId="25BB98CC">
      <w:pPr>
        <w:keepNext/>
        <w:keepLines/>
        <w:spacing w:line="600" w:lineRule="exact"/>
        <w:outlineLvl w:val="1"/>
        <w:rPr>
          <w:rFonts w:ascii="Times New Roman" w:hAnsi="Times New Roman" w:cs="Times New Roman"/>
          <w:b/>
          <w:bCs/>
          <w:color w:val="auto"/>
          <w:sz w:val="28"/>
          <w:szCs w:val="28"/>
        </w:rPr>
      </w:pPr>
      <w:bookmarkStart w:id="98" w:name="_Toc8074"/>
      <w:r>
        <w:rPr>
          <w:rFonts w:ascii="Times New Roman" w:hAnsi="Times New Roman" w:cs="Times New Roman"/>
          <w:b/>
          <w:bCs/>
          <w:color w:val="auto"/>
          <w:sz w:val="28"/>
          <w:szCs w:val="28"/>
        </w:rPr>
        <w:t xml:space="preserve">3.10 </w:t>
      </w:r>
      <w:r>
        <w:rPr>
          <w:rFonts w:hint="eastAsia" w:ascii="Times New Roman" w:hAnsi="Times New Roman" w:cs="宋体"/>
          <w:b/>
          <w:bCs/>
          <w:color w:val="auto"/>
          <w:sz w:val="28"/>
          <w:szCs w:val="28"/>
        </w:rPr>
        <w:t>典型事故案例</w:t>
      </w:r>
      <w:bookmarkEnd w:id="90"/>
      <w:bookmarkEnd w:id="91"/>
      <w:bookmarkEnd w:id="98"/>
    </w:p>
    <w:p w14:paraId="055B4BB2">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案例</w:t>
      </w:r>
      <w:r>
        <w:rPr>
          <w:rFonts w:ascii="Times New Roman" w:hAnsi="Times New Roman" w:cs="Times New Roman"/>
          <w:color w:val="auto"/>
          <w:sz w:val="28"/>
          <w:szCs w:val="28"/>
        </w:rPr>
        <w:t>1</w:t>
      </w:r>
      <w:r>
        <w:rPr>
          <w:rFonts w:hint="eastAsia" w:ascii="Times New Roman" w:hAnsi="Times New Roman" w:cs="宋体"/>
          <w:color w:val="auto"/>
          <w:sz w:val="28"/>
          <w:szCs w:val="28"/>
        </w:rPr>
        <w:t>：</w:t>
      </w:r>
    </w:p>
    <w:p w14:paraId="7F8DF190">
      <w:pPr>
        <w:autoSpaceDE w:val="0"/>
        <w:autoSpaceDN w:val="0"/>
        <w:adjustRightInd w:val="0"/>
        <w:spacing w:line="360" w:lineRule="auto"/>
        <w:ind w:firstLine="482"/>
        <w:rPr>
          <w:rFonts w:ascii="Times New Roman" w:hAnsi="Times New Roman" w:cs="Times New Roman"/>
          <w:color w:val="auto"/>
          <w:spacing w:val="-2"/>
          <w:kern w:val="0"/>
          <w:sz w:val="28"/>
          <w:szCs w:val="28"/>
        </w:rPr>
      </w:pPr>
      <w:r>
        <w:rPr>
          <w:rFonts w:ascii="Times New Roman" w:hAnsi="Times New Roman" w:cs="Times New Roman"/>
          <w:color w:val="auto"/>
          <w:spacing w:val="-2"/>
          <w:kern w:val="0"/>
          <w:sz w:val="28"/>
          <w:szCs w:val="28"/>
        </w:rPr>
        <w:t>2008</w:t>
      </w:r>
      <w:r>
        <w:rPr>
          <w:rFonts w:hint="eastAsia" w:ascii="Times New Roman" w:hAnsi="Times New Roman" w:cs="宋体"/>
          <w:color w:val="auto"/>
          <w:spacing w:val="-2"/>
          <w:kern w:val="0"/>
          <w:sz w:val="28"/>
          <w:szCs w:val="28"/>
        </w:rPr>
        <w:t>年</w:t>
      </w:r>
      <w:r>
        <w:rPr>
          <w:rFonts w:ascii="Times New Roman" w:hAnsi="Times New Roman" w:cs="Times New Roman"/>
          <w:color w:val="auto"/>
          <w:spacing w:val="-2"/>
          <w:kern w:val="0"/>
          <w:sz w:val="28"/>
          <w:szCs w:val="28"/>
        </w:rPr>
        <w:t>9</w:t>
      </w:r>
      <w:r>
        <w:rPr>
          <w:rFonts w:hint="eastAsia" w:ascii="Times New Roman" w:hAnsi="Times New Roman" w:cs="宋体"/>
          <w:color w:val="auto"/>
          <w:spacing w:val="-2"/>
          <w:kern w:val="0"/>
          <w:sz w:val="28"/>
          <w:szCs w:val="28"/>
        </w:rPr>
        <w:t>月</w:t>
      </w:r>
      <w:r>
        <w:rPr>
          <w:rFonts w:ascii="Times New Roman" w:hAnsi="Times New Roman" w:cs="Times New Roman"/>
          <w:color w:val="auto"/>
          <w:spacing w:val="-2"/>
          <w:kern w:val="0"/>
          <w:sz w:val="28"/>
          <w:szCs w:val="28"/>
        </w:rPr>
        <w:t>8</w:t>
      </w:r>
      <w:r>
        <w:rPr>
          <w:rFonts w:hint="eastAsia" w:ascii="Times New Roman" w:hAnsi="Times New Roman" w:cs="宋体"/>
          <w:color w:val="auto"/>
          <w:spacing w:val="-2"/>
          <w:kern w:val="0"/>
          <w:sz w:val="28"/>
          <w:szCs w:val="28"/>
        </w:rPr>
        <w:t>日，某石油公司下属的一加油站在安装加油机和潜油泵过程中，由于油罐人孔盖不符合安装潜油泵的条件，对油罐人孔盖进行改造，承包商某建设工程公司的施工人员，擅自用自带泵将埋地罐中的注水抽空，并在无人监控的情况下，在操作井边沿用气割对油罐法兰盘、管线短管开坡口，切割过程中，引燃油罐内残余油气发生闪爆，现场施工人员当即受伤，送医院经抢救无效死亡。</w:t>
      </w:r>
    </w:p>
    <w:p w14:paraId="7BC6AF3C">
      <w:pPr>
        <w:autoSpaceDE w:val="0"/>
        <w:autoSpaceDN w:val="0"/>
        <w:adjustRightInd w:val="0"/>
        <w:spacing w:line="360" w:lineRule="auto"/>
        <w:ind w:firstLine="482"/>
        <w:rPr>
          <w:rFonts w:ascii="Times New Roman" w:hAnsi="Times New Roman" w:cs="Times New Roman"/>
          <w:color w:val="auto"/>
          <w:spacing w:val="-2"/>
          <w:kern w:val="0"/>
          <w:sz w:val="28"/>
          <w:szCs w:val="28"/>
        </w:rPr>
      </w:pPr>
      <w:r>
        <w:rPr>
          <w:rFonts w:hint="eastAsia" w:ascii="Times New Roman" w:hAnsi="Times New Roman" w:cs="宋体"/>
          <w:color w:val="auto"/>
          <w:spacing w:val="-2"/>
          <w:kern w:val="0"/>
          <w:sz w:val="28"/>
          <w:szCs w:val="28"/>
        </w:rPr>
        <w:t>分析事故原因，施工单位施工人员严重违反施工安全规定</w:t>
      </w:r>
      <w:r>
        <w:rPr>
          <w:rFonts w:hint="eastAsia" w:ascii="Times New Roman" w:hAnsi="Times New Roman" w:cs="宋体"/>
          <w:color w:val="auto"/>
          <w:spacing w:val="-2"/>
          <w:kern w:val="0"/>
          <w:sz w:val="28"/>
          <w:szCs w:val="28"/>
          <w:lang w:eastAsia="zh-CN"/>
        </w:rPr>
        <w:t>，在</w:t>
      </w:r>
      <w:r>
        <w:rPr>
          <w:rFonts w:hint="eastAsia" w:ascii="Times New Roman" w:hAnsi="Times New Roman" w:cs="宋体"/>
          <w:color w:val="auto"/>
          <w:spacing w:val="-2"/>
          <w:kern w:val="0"/>
          <w:sz w:val="28"/>
          <w:szCs w:val="28"/>
        </w:rPr>
        <w:t>安装潜油泵过程中将油罐注水抽出，造成油罐及操作井口油气积聚。在当天无动火作业计划、没有办理动火作业票的情况下，施工人员擅自变更作业地点，在靠近油罐口的区域内进行动火作业，造成闪爆。</w:t>
      </w:r>
    </w:p>
    <w:p w14:paraId="60AFD44A">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案例</w:t>
      </w:r>
      <w:r>
        <w:rPr>
          <w:rFonts w:ascii="Times New Roman" w:hAnsi="Times New Roman" w:cs="Times New Roman"/>
          <w:color w:val="auto"/>
          <w:sz w:val="28"/>
          <w:szCs w:val="28"/>
        </w:rPr>
        <w:t>2</w:t>
      </w:r>
      <w:r>
        <w:rPr>
          <w:rFonts w:hint="eastAsia" w:ascii="Times New Roman" w:hAnsi="Times New Roman" w:cs="宋体"/>
          <w:color w:val="auto"/>
          <w:sz w:val="28"/>
          <w:szCs w:val="28"/>
        </w:rPr>
        <w:t>：</w:t>
      </w:r>
    </w:p>
    <w:p w14:paraId="3BDC8A88">
      <w:pPr>
        <w:autoSpaceDE w:val="0"/>
        <w:autoSpaceDN w:val="0"/>
        <w:adjustRightInd w:val="0"/>
        <w:spacing w:line="360" w:lineRule="auto"/>
        <w:ind w:firstLine="482"/>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1999</w:t>
      </w:r>
      <w:r>
        <w:rPr>
          <w:rFonts w:hint="eastAsia" w:ascii="Times New Roman" w:hAnsi="Times New Roman" w:cs="宋体"/>
          <w:color w:val="auto"/>
          <w:spacing w:val="-2"/>
          <w:sz w:val="28"/>
          <w:szCs w:val="28"/>
        </w:rPr>
        <w:t>年</w:t>
      </w:r>
      <w:r>
        <w:rPr>
          <w:rFonts w:ascii="Times New Roman" w:hAnsi="Times New Roman" w:cs="Times New Roman"/>
          <w:color w:val="auto"/>
          <w:spacing w:val="-2"/>
          <w:sz w:val="28"/>
          <w:szCs w:val="28"/>
        </w:rPr>
        <w:t>5</w:t>
      </w:r>
      <w:r>
        <w:rPr>
          <w:rFonts w:hint="eastAsia" w:ascii="Times New Roman" w:hAnsi="Times New Roman" w:cs="宋体"/>
          <w:color w:val="auto"/>
          <w:spacing w:val="-2"/>
          <w:sz w:val="28"/>
          <w:szCs w:val="28"/>
        </w:rPr>
        <w:t>月</w:t>
      </w:r>
      <w:r>
        <w:rPr>
          <w:rFonts w:ascii="Times New Roman" w:hAnsi="Times New Roman" w:cs="Times New Roman"/>
          <w:color w:val="auto"/>
          <w:spacing w:val="-2"/>
          <w:sz w:val="28"/>
          <w:szCs w:val="28"/>
        </w:rPr>
        <w:t>19</w:t>
      </w:r>
      <w:r>
        <w:rPr>
          <w:rFonts w:hint="eastAsia" w:ascii="Times New Roman" w:hAnsi="Times New Roman" w:cs="宋体"/>
          <w:color w:val="auto"/>
          <w:spacing w:val="-2"/>
          <w:sz w:val="28"/>
          <w:szCs w:val="28"/>
        </w:rPr>
        <w:t>日，一辆客货车到加油站加油，当加油员给该车油箱加满后，车主为凑足</w:t>
      </w:r>
      <w:r>
        <w:rPr>
          <w:rFonts w:ascii="Times New Roman" w:hAnsi="Times New Roman" w:cs="Times New Roman"/>
          <w:color w:val="auto"/>
          <w:spacing w:val="-2"/>
          <w:sz w:val="28"/>
          <w:szCs w:val="28"/>
        </w:rPr>
        <w:t>100</w:t>
      </w:r>
      <w:r>
        <w:rPr>
          <w:rFonts w:hint="eastAsia" w:ascii="Times New Roman" w:hAnsi="Times New Roman" w:cs="宋体"/>
          <w:color w:val="auto"/>
          <w:spacing w:val="-2"/>
          <w:sz w:val="28"/>
          <w:szCs w:val="28"/>
        </w:rPr>
        <w:t>元的油款，要求将剩余的</w:t>
      </w:r>
      <w:r>
        <w:rPr>
          <w:rFonts w:ascii="Times New Roman" w:hAnsi="Times New Roman" w:cs="Times New Roman"/>
          <w:color w:val="auto"/>
          <w:spacing w:val="-2"/>
          <w:sz w:val="28"/>
          <w:szCs w:val="28"/>
        </w:rPr>
        <w:t>70</w:t>
      </w:r>
      <w:r>
        <w:rPr>
          <w:rFonts w:hint="eastAsia" w:ascii="Times New Roman" w:hAnsi="Times New Roman" w:cs="宋体"/>
          <w:color w:val="auto"/>
          <w:spacing w:val="-2"/>
          <w:sz w:val="28"/>
          <w:szCs w:val="28"/>
        </w:rPr>
        <w:t>号汽油用加油枪直接注入容量</w:t>
      </w:r>
      <w:r>
        <w:rPr>
          <w:rFonts w:ascii="Times New Roman" w:hAnsi="Times New Roman" w:cs="Times New Roman"/>
          <w:color w:val="auto"/>
          <w:spacing w:val="-2"/>
          <w:sz w:val="28"/>
          <w:szCs w:val="28"/>
        </w:rPr>
        <w:t>25kg</w:t>
      </w:r>
      <w:r>
        <w:rPr>
          <w:rFonts w:hint="eastAsia" w:ascii="Times New Roman" w:hAnsi="Times New Roman" w:cs="宋体"/>
          <w:color w:val="auto"/>
          <w:spacing w:val="-2"/>
          <w:sz w:val="28"/>
          <w:szCs w:val="28"/>
        </w:rPr>
        <w:t>的塑料桶内，塑料桶就在客货车旁边。当油品注到塑料桶</w:t>
      </w:r>
      <w:r>
        <w:rPr>
          <w:rFonts w:ascii="Times New Roman" w:hAnsi="Times New Roman" w:cs="Times New Roman"/>
          <w:color w:val="auto"/>
          <w:spacing w:val="-2"/>
          <w:sz w:val="28"/>
          <w:szCs w:val="28"/>
        </w:rPr>
        <w:t>2/3</w:t>
      </w:r>
      <w:r>
        <w:rPr>
          <w:rFonts w:hint="eastAsia" w:ascii="Times New Roman" w:hAnsi="Times New Roman" w:cs="宋体"/>
          <w:color w:val="auto"/>
          <w:spacing w:val="-2"/>
          <w:sz w:val="28"/>
          <w:szCs w:val="28"/>
        </w:rPr>
        <w:t>时，由于产生静电，</w:t>
      </w:r>
      <w:r>
        <w:rPr>
          <w:rFonts w:hint="eastAsia" w:ascii="Times New Roman" w:hAnsi="Times New Roman" w:cs="Times New Roman"/>
          <w:color w:val="auto"/>
          <w:spacing w:val="-2"/>
          <w:sz w:val="28"/>
          <w:szCs w:val="28"/>
        </w:rPr>
        <w:t>“</w:t>
      </w:r>
      <w:r>
        <w:rPr>
          <w:rFonts w:hint="eastAsia" w:ascii="Times New Roman" w:hAnsi="Times New Roman" w:cs="宋体"/>
          <w:color w:val="auto"/>
          <w:spacing w:val="-2"/>
          <w:sz w:val="28"/>
          <w:szCs w:val="28"/>
        </w:rPr>
        <w:t>砰</w:t>
      </w:r>
      <w:r>
        <w:rPr>
          <w:rFonts w:hint="eastAsia" w:ascii="Times New Roman" w:hAnsi="Times New Roman" w:cs="Times New Roman"/>
          <w:color w:val="auto"/>
          <w:spacing w:val="-2"/>
          <w:sz w:val="28"/>
          <w:szCs w:val="28"/>
        </w:rPr>
        <w:t>”</w:t>
      </w:r>
      <w:r>
        <w:rPr>
          <w:rFonts w:hint="eastAsia" w:ascii="Times New Roman" w:hAnsi="Times New Roman" w:cs="宋体"/>
          <w:color w:val="auto"/>
          <w:spacing w:val="-2"/>
          <w:sz w:val="28"/>
          <w:szCs w:val="28"/>
        </w:rPr>
        <w:t>的一声，燃起大火，大火将塑料桶烧毁，满地的火源，又把客货车燃着，此时一位加油员拨打</w:t>
      </w:r>
      <w:r>
        <w:rPr>
          <w:rFonts w:ascii="Times New Roman" w:hAnsi="Times New Roman" w:cs="Times New Roman"/>
          <w:color w:val="auto"/>
          <w:spacing w:val="-2"/>
          <w:sz w:val="28"/>
          <w:szCs w:val="28"/>
        </w:rPr>
        <w:t>110</w:t>
      </w:r>
      <w:r>
        <w:rPr>
          <w:rFonts w:hint="eastAsia" w:ascii="Times New Roman" w:hAnsi="Times New Roman" w:cs="宋体"/>
          <w:color w:val="auto"/>
          <w:spacing w:val="-2"/>
          <w:sz w:val="28"/>
          <w:szCs w:val="28"/>
        </w:rPr>
        <w:t>报警。同时，另一位加油员开始操纵</w:t>
      </w:r>
      <w:r>
        <w:rPr>
          <w:rFonts w:ascii="Times New Roman" w:hAnsi="Times New Roman" w:cs="Times New Roman"/>
          <w:color w:val="auto"/>
          <w:spacing w:val="-2"/>
          <w:sz w:val="28"/>
          <w:szCs w:val="28"/>
        </w:rPr>
        <w:t>35kg</w:t>
      </w:r>
      <w:r>
        <w:rPr>
          <w:rFonts w:hint="eastAsia" w:ascii="Times New Roman" w:hAnsi="Times New Roman" w:cs="Times New Roman"/>
          <w:color w:val="auto"/>
          <w:spacing w:val="-2"/>
          <w:sz w:val="28"/>
          <w:szCs w:val="28"/>
          <w:lang w:eastAsia="zh-CN"/>
        </w:rPr>
        <w:t>干粉灭火器</w:t>
      </w:r>
      <w:r>
        <w:rPr>
          <w:rFonts w:hint="eastAsia" w:ascii="Times New Roman" w:hAnsi="Times New Roman" w:cs="宋体"/>
          <w:color w:val="auto"/>
          <w:spacing w:val="-2"/>
          <w:sz w:val="28"/>
          <w:szCs w:val="28"/>
        </w:rPr>
        <w:t>灭火，但由于对灭火机性能掌握不熟练，未能灭火。当客货车被全部烧着后又把</w:t>
      </w:r>
      <w:r>
        <w:rPr>
          <w:rFonts w:ascii="Times New Roman" w:hAnsi="Times New Roman" w:cs="Times New Roman"/>
          <w:color w:val="auto"/>
          <w:spacing w:val="-2"/>
          <w:sz w:val="28"/>
          <w:szCs w:val="28"/>
        </w:rPr>
        <w:t>5m</w:t>
      </w:r>
      <w:r>
        <w:rPr>
          <w:rFonts w:hint="eastAsia" w:ascii="Times New Roman" w:hAnsi="Times New Roman" w:cs="宋体"/>
          <w:color w:val="auto"/>
          <w:spacing w:val="-2"/>
          <w:sz w:val="28"/>
          <w:szCs w:val="28"/>
        </w:rPr>
        <w:t>高的</w:t>
      </w:r>
      <w:r>
        <w:rPr>
          <w:rFonts w:hint="eastAsia" w:ascii="Times New Roman" w:hAnsi="Times New Roman" w:cs="宋体"/>
          <w:color w:val="auto"/>
          <w:spacing w:val="-2"/>
          <w:sz w:val="28"/>
          <w:szCs w:val="28"/>
          <w:lang w:eastAsia="zh-CN"/>
        </w:rPr>
        <w:t>雨篷</w:t>
      </w:r>
      <w:r>
        <w:rPr>
          <w:rFonts w:hint="eastAsia" w:ascii="Times New Roman" w:hAnsi="Times New Roman" w:cs="宋体"/>
          <w:color w:val="auto"/>
          <w:spacing w:val="-2"/>
          <w:sz w:val="28"/>
          <w:szCs w:val="28"/>
        </w:rPr>
        <w:t>引燃，</w:t>
      </w:r>
      <w:r>
        <w:rPr>
          <w:rFonts w:ascii="Times New Roman" w:hAnsi="Times New Roman" w:cs="Times New Roman"/>
          <w:color w:val="auto"/>
          <w:spacing w:val="-2"/>
          <w:sz w:val="28"/>
          <w:szCs w:val="28"/>
        </w:rPr>
        <w:t>39.6m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铝塑封檐板，</w:t>
      </w:r>
      <w:r>
        <w:rPr>
          <w:rFonts w:ascii="Times New Roman" w:hAnsi="Times New Roman" w:cs="Times New Roman"/>
          <w:color w:val="auto"/>
          <w:spacing w:val="-2"/>
          <w:sz w:val="28"/>
          <w:szCs w:val="28"/>
        </w:rPr>
        <w:t>5.6m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的雨棚镀锌钢柱板、两台电脑加油机、</w:t>
      </w:r>
      <w:r>
        <w:rPr>
          <w:rFonts w:hint="eastAsia" w:ascii="Times New Roman" w:hAnsi="Times New Roman" w:cs="宋体"/>
          <w:color w:val="auto"/>
          <w:spacing w:val="-2"/>
          <w:sz w:val="28"/>
          <w:szCs w:val="28"/>
          <w:lang w:eastAsia="zh-CN"/>
        </w:rPr>
        <w:t>雨篷</w:t>
      </w:r>
      <w:r>
        <w:rPr>
          <w:rFonts w:hint="eastAsia" w:ascii="Times New Roman" w:hAnsi="Times New Roman" w:cs="宋体"/>
          <w:color w:val="auto"/>
          <w:spacing w:val="-2"/>
          <w:sz w:val="28"/>
          <w:szCs w:val="28"/>
        </w:rPr>
        <w:t>内射灯和部分线路、</w:t>
      </w:r>
      <w:r>
        <w:rPr>
          <w:rFonts w:ascii="Times New Roman" w:hAnsi="Times New Roman" w:cs="Times New Roman"/>
          <w:color w:val="auto"/>
          <w:spacing w:val="-2"/>
          <w:sz w:val="28"/>
          <w:szCs w:val="28"/>
        </w:rPr>
        <w:t>12m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铝合金开票收款厅、</w:t>
      </w:r>
      <w:r>
        <w:rPr>
          <w:rFonts w:ascii="Times New Roman" w:hAnsi="Times New Roman" w:cs="Times New Roman"/>
          <w:color w:val="auto"/>
          <w:spacing w:val="-2"/>
          <w:sz w:val="28"/>
          <w:szCs w:val="28"/>
        </w:rPr>
        <w:t>1</w:t>
      </w:r>
      <w:r>
        <w:rPr>
          <w:rFonts w:hint="eastAsia" w:ascii="Times New Roman" w:hAnsi="Times New Roman" w:cs="宋体"/>
          <w:color w:val="auto"/>
          <w:spacing w:val="-2"/>
          <w:sz w:val="28"/>
          <w:szCs w:val="28"/>
        </w:rPr>
        <w:t>台</w:t>
      </w:r>
      <w:r>
        <w:rPr>
          <w:rFonts w:ascii="Times New Roman" w:hAnsi="Times New Roman" w:cs="Times New Roman"/>
          <w:color w:val="auto"/>
          <w:spacing w:val="-2"/>
          <w:sz w:val="28"/>
          <w:szCs w:val="28"/>
        </w:rPr>
        <w:t>35kg</w:t>
      </w:r>
      <w:r>
        <w:rPr>
          <w:rFonts w:hint="eastAsia" w:ascii="Times New Roman" w:hAnsi="Times New Roman" w:cs="宋体"/>
          <w:color w:val="auto"/>
          <w:spacing w:val="-2"/>
          <w:sz w:val="28"/>
          <w:szCs w:val="28"/>
        </w:rPr>
        <w:t>干粉灭火机全部烧毁，直接经济损失达</w:t>
      </w:r>
      <w:r>
        <w:rPr>
          <w:rFonts w:ascii="Times New Roman" w:hAnsi="Times New Roman" w:cs="Times New Roman"/>
          <w:color w:val="auto"/>
          <w:spacing w:val="-2"/>
          <w:sz w:val="28"/>
          <w:szCs w:val="28"/>
        </w:rPr>
        <w:t>2309</w:t>
      </w:r>
      <w:r>
        <w:rPr>
          <w:rFonts w:hint="eastAsia" w:ascii="Times New Roman" w:hAnsi="Times New Roman" w:cs="宋体"/>
          <w:color w:val="auto"/>
          <w:spacing w:val="-2"/>
          <w:sz w:val="28"/>
          <w:szCs w:val="28"/>
        </w:rPr>
        <w:t>万元。</w:t>
      </w:r>
    </w:p>
    <w:p w14:paraId="3CDE1FE2">
      <w:pPr>
        <w:autoSpaceDE w:val="0"/>
        <w:autoSpaceDN w:val="0"/>
        <w:adjustRightInd w:val="0"/>
        <w:spacing w:line="360" w:lineRule="auto"/>
        <w:ind w:firstLine="482"/>
        <w:rPr>
          <w:rFonts w:ascii="Times New Roman" w:hAnsi="Times New Roman" w:cs="Times New Roman"/>
          <w:color w:val="auto"/>
          <w:spacing w:val="-2"/>
          <w:sz w:val="28"/>
          <w:szCs w:val="28"/>
        </w:rPr>
      </w:pPr>
      <w:r>
        <w:rPr>
          <w:rFonts w:hint="eastAsia" w:ascii="Times New Roman" w:hAnsi="Times New Roman" w:cs="宋体"/>
          <w:color w:val="auto"/>
          <w:spacing w:val="-2"/>
          <w:sz w:val="28"/>
          <w:szCs w:val="28"/>
        </w:rPr>
        <w:t>事后分析着火原因，一是违反安全管理制度，用加油枪直接向塑料桶容器内灌装汽油，静电引起爆燃。二是岗位职工不会使用</w:t>
      </w:r>
      <w:r>
        <w:rPr>
          <w:rFonts w:hint="eastAsia" w:ascii="Times New Roman" w:hAnsi="Times New Roman" w:cs="宋体"/>
          <w:color w:val="auto"/>
          <w:spacing w:val="-2"/>
          <w:sz w:val="28"/>
          <w:szCs w:val="28"/>
          <w:lang w:eastAsia="zh-CN"/>
        </w:rPr>
        <w:t>干粉灭火器</w:t>
      </w:r>
      <w:r>
        <w:rPr>
          <w:rFonts w:hint="eastAsia" w:ascii="Times New Roman" w:hAnsi="Times New Roman" w:cs="宋体"/>
          <w:color w:val="auto"/>
          <w:spacing w:val="-2"/>
          <w:sz w:val="28"/>
          <w:szCs w:val="28"/>
        </w:rPr>
        <w:t>，延误了扑灭初起火灾的最佳时间。三是安全管理不严，管理不到位，职工安全意识淡薄，安全生产责任制和安全操作规程不落实。</w:t>
      </w:r>
    </w:p>
    <w:p w14:paraId="08A3BC1F">
      <w:pPr>
        <w:rPr>
          <w:rFonts w:ascii="宋体" w:hAnsi="宋体"/>
          <w:color w:val="auto"/>
          <w:sz w:val="32"/>
          <w:szCs w:val="32"/>
        </w:rPr>
      </w:pPr>
      <w:bookmarkStart w:id="99" w:name="_Toc8100"/>
      <w:bookmarkStart w:id="100" w:name="_Toc10015"/>
      <w:r>
        <w:rPr>
          <w:rFonts w:ascii="Times New Roman" w:hAnsi="Times New Roman" w:cs="Times New Roman"/>
          <w:b/>
          <w:bCs/>
          <w:color w:val="auto"/>
          <w:kern w:val="36"/>
          <w:sz w:val="28"/>
          <w:szCs w:val="28"/>
        </w:rPr>
        <w:br w:type="page"/>
      </w:r>
      <w:bookmarkEnd w:id="99"/>
      <w:bookmarkEnd w:id="100"/>
      <w:bookmarkStart w:id="101" w:name="_Toc19195"/>
    </w:p>
    <w:p w14:paraId="4A46093E">
      <w:pPr>
        <w:pStyle w:val="2"/>
        <w:jc w:val="center"/>
        <w:rPr>
          <w:rFonts w:ascii="宋体" w:hAnsi="宋体"/>
          <w:color w:val="auto"/>
          <w:sz w:val="32"/>
          <w:szCs w:val="32"/>
        </w:rPr>
      </w:pPr>
      <w:bookmarkStart w:id="102" w:name="_Toc5647"/>
      <w:r>
        <w:rPr>
          <w:rFonts w:ascii="宋体" w:hAnsi="宋体"/>
          <w:color w:val="auto"/>
          <w:sz w:val="32"/>
          <w:szCs w:val="32"/>
        </w:rPr>
        <w:t xml:space="preserve">4 </w:t>
      </w:r>
      <w:r>
        <w:rPr>
          <w:rFonts w:hint="eastAsia" w:ascii="宋体" w:hAnsi="宋体"/>
          <w:color w:val="auto"/>
          <w:sz w:val="32"/>
          <w:szCs w:val="32"/>
        </w:rPr>
        <w:t>评价单元划分和评价方法选择</w:t>
      </w:r>
      <w:bookmarkEnd w:id="101"/>
      <w:bookmarkEnd w:id="102"/>
    </w:p>
    <w:p w14:paraId="16AFE590">
      <w:pPr>
        <w:pStyle w:val="3"/>
        <w:jc w:val="center"/>
        <w:rPr>
          <w:rFonts w:ascii="宋体" w:hAnsi="宋体"/>
          <w:color w:val="auto"/>
          <w:sz w:val="30"/>
          <w:szCs w:val="30"/>
        </w:rPr>
      </w:pPr>
      <w:bookmarkStart w:id="103" w:name="_Toc1174"/>
      <w:bookmarkStart w:id="104" w:name="_Toc23345"/>
      <w:bookmarkStart w:id="105" w:name="_Toc20468418"/>
      <w:bookmarkStart w:id="106" w:name="_Toc18672"/>
      <w:bookmarkStart w:id="107" w:name="_Toc90566109"/>
      <w:bookmarkStart w:id="108" w:name="_Toc11638"/>
      <w:bookmarkStart w:id="109" w:name="_Toc92712580"/>
      <w:bookmarkStart w:id="110" w:name="_Toc17280"/>
      <w:r>
        <w:rPr>
          <w:rFonts w:ascii="宋体" w:hAnsi="宋体"/>
          <w:color w:val="auto"/>
          <w:sz w:val="30"/>
          <w:szCs w:val="30"/>
        </w:rPr>
        <w:t xml:space="preserve">4.1 </w:t>
      </w:r>
      <w:r>
        <w:rPr>
          <w:rFonts w:hint="eastAsia" w:ascii="宋体" w:hAnsi="宋体"/>
          <w:color w:val="auto"/>
          <w:sz w:val="30"/>
          <w:szCs w:val="30"/>
        </w:rPr>
        <w:t>评价单元的</w:t>
      </w:r>
      <w:bookmarkEnd w:id="103"/>
      <w:bookmarkEnd w:id="104"/>
      <w:bookmarkEnd w:id="105"/>
      <w:bookmarkEnd w:id="106"/>
      <w:r>
        <w:rPr>
          <w:rFonts w:hint="eastAsia" w:ascii="宋体" w:hAnsi="宋体"/>
          <w:color w:val="auto"/>
          <w:sz w:val="30"/>
          <w:szCs w:val="30"/>
        </w:rPr>
        <w:t>划分</w:t>
      </w:r>
      <w:bookmarkEnd w:id="107"/>
      <w:r>
        <w:rPr>
          <w:rFonts w:hint="eastAsia" w:ascii="宋体" w:hAnsi="宋体"/>
          <w:color w:val="auto"/>
          <w:sz w:val="30"/>
          <w:szCs w:val="30"/>
        </w:rPr>
        <w:t>和评价方法选择</w:t>
      </w:r>
      <w:bookmarkEnd w:id="108"/>
      <w:bookmarkEnd w:id="109"/>
      <w:bookmarkEnd w:id="110"/>
    </w:p>
    <w:p w14:paraId="26555E2F">
      <w:pPr>
        <w:spacing w:line="600" w:lineRule="exact"/>
        <w:ind w:firstLine="570"/>
        <w:rPr>
          <w:rFonts w:ascii="宋体" w:hAnsi="宋体"/>
          <w:color w:val="auto"/>
          <w:sz w:val="28"/>
          <w:szCs w:val="28"/>
        </w:rPr>
      </w:pPr>
      <w:r>
        <w:rPr>
          <w:rFonts w:ascii="宋体" w:hAnsi="宋体"/>
          <w:color w:val="auto"/>
          <w:sz w:val="28"/>
          <w:szCs w:val="28"/>
        </w:rPr>
        <w:t>以装置功能为主划分评价单元。</w:t>
      </w:r>
    </w:p>
    <w:p w14:paraId="4FB40D24">
      <w:pPr>
        <w:spacing w:line="600" w:lineRule="exact"/>
        <w:ind w:firstLine="570"/>
        <w:rPr>
          <w:rFonts w:ascii="宋体" w:hAnsi="宋体"/>
          <w:color w:val="auto"/>
          <w:sz w:val="28"/>
          <w:szCs w:val="28"/>
        </w:rPr>
      </w:pPr>
      <w:r>
        <w:rPr>
          <w:rFonts w:ascii="宋体" w:hAnsi="宋体"/>
          <w:color w:val="auto"/>
          <w:sz w:val="28"/>
          <w:szCs w:val="28"/>
        </w:rPr>
        <w:t>根据评价单元划分的原则，结合本项目装置自身的工艺特点，按照各工序的不同危险性，总体上划分为以下4个单元，见表4</w:t>
      </w:r>
      <w:r>
        <w:rPr>
          <w:rFonts w:hint="eastAsia" w:ascii="宋体" w:hAnsi="宋体"/>
          <w:color w:val="auto"/>
          <w:sz w:val="28"/>
          <w:szCs w:val="28"/>
        </w:rPr>
        <w:t>.1</w:t>
      </w:r>
      <w:r>
        <w:rPr>
          <w:rFonts w:ascii="宋体" w:hAnsi="宋体"/>
          <w:color w:val="auto"/>
          <w:sz w:val="28"/>
          <w:szCs w:val="28"/>
        </w:rPr>
        <w:t>-1。</w:t>
      </w:r>
    </w:p>
    <w:p w14:paraId="2AC717B4">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.1</w:t>
      </w:r>
      <w:r>
        <w:rPr>
          <w:rFonts w:ascii="宋体" w:hAnsi="宋体"/>
          <w:color w:val="auto"/>
          <w:sz w:val="28"/>
          <w:szCs w:val="28"/>
        </w:rPr>
        <w:t>-1  评价单元划分</w:t>
      </w:r>
      <w:r>
        <w:rPr>
          <w:rFonts w:hint="eastAsia" w:ascii="宋体" w:hAnsi="宋体"/>
          <w:color w:val="auto"/>
          <w:sz w:val="28"/>
          <w:szCs w:val="28"/>
        </w:rPr>
        <w:t>和评价方法选择</w:t>
      </w:r>
      <w:r>
        <w:rPr>
          <w:rFonts w:ascii="宋体" w:hAnsi="宋体"/>
          <w:color w:val="auto"/>
          <w:sz w:val="28"/>
          <w:szCs w:val="28"/>
        </w:rPr>
        <w:t>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94"/>
        <w:gridCol w:w="1220"/>
        <w:gridCol w:w="5040"/>
        <w:gridCol w:w="2434"/>
      </w:tblGrid>
      <w:tr w14:paraId="3CAE4B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0" w:type="auto"/>
            <w:vAlign w:val="center"/>
          </w:tcPr>
          <w:p w14:paraId="41E9E3AD">
            <w:pPr>
              <w:jc w:val="center"/>
              <w:rPr>
                <w:rFonts w:ascii="宋体" w:hAnsi="宋体"/>
                <w:b/>
                <w:color w:val="auto"/>
              </w:rPr>
            </w:pPr>
            <w:r>
              <w:rPr>
                <w:rFonts w:ascii="宋体" w:hAnsi="宋体"/>
                <w:b/>
                <w:color w:val="auto"/>
              </w:rPr>
              <w:t>序号</w:t>
            </w:r>
          </w:p>
        </w:tc>
        <w:tc>
          <w:tcPr>
            <w:tcW w:w="1220" w:type="dxa"/>
            <w:vAlign w:val="center"/>
          </w:tcPr>
          <w:p w14:paraId="5E364E4B">
            <w:pPr>
              <w:jc w:val="center"/>
              <w:rPr>
                <w:rFonts w:ascii="宋体" w:hAnsi="宋体"/>
                <w:b/>
                <w:color w:val="auto"/>
              </w:rPr>
            </w:pPr>
            <w:r>
              <w:rPr>
                <w:rFonts w:ascii="宋体" w:hAnsi="宋体"/>
                <w:b/>
                <w:color w:val="auto"/>
              </w:rPr>
              <w:t>评价单元</w:t>
            </w:r>
          </w:p>
        </w:tc>
        <w:tc>
          <w:tcPr>
            <w:tcW w:w="5040" w:type="dxa"/>
            <w:vAlign w:val="center"/>
          </w:tcPr>
          <w:p w14:paraId="1DF6E949">
            <w:pPr>
              <w:jc w:val="center"/>
              <w:rPr>
                <w:rFonts w:ascii="宋体" w:hAnsi="宋体"/>
                <w:b/>
                <w:color w:val="auto"/>
              </w:rPr>
            </w:pPr>
            <w:r>
              <w:rPr>
                <w:rFonts w:ascii="宋体" w:hAnsi="宋体"/>
                <w:b/>
                <w:color w:val="auto"/>
              </w:rPr>
              <w:t>评价的主要对象</w:t>
            </w:r>
          </w:p>
        </w:tc>
        <w:tc>
          <w:tcPr>
            <w:tcW w:w="2434" w:type="dxa"/>
            <w:vAlign w:val="center"/>
          </w:tcPr>
          <w:p w14:paraId="07377A38">
            <w:pPr>
              <w:jc w:val="center"/>
              <w:rPr>
                <w:rFonts w:ascii="宋体" w:hAnsi="宋体"/>
                <w:b/>
                <w:color w:val="auto"/>
              </w:rPr>
            </w:pPr>
            <w:r>
              <w:rPr>
                <w:rFonts w:ascii="宋体" w:hAnsi="宋体"/>
                <w:b/>
                <w:color w:val="auto"/>
              </w:rPr>
              <w:t>采用的评价方法</w:t>
            </w:r>
          </w:p>
        </w:tc>
      </w:tr>
      <w:tr w14:paraId="226E3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14:paraId="047F0635">
            <w:pPr>
              <w:rPr>
                <w:rFonts w:ascii="宋体" w:hAnsi="宋体"/>
                <w:color w:val="auto"/>
              </w:rPr>
            </w:pPr>
            <w:r>
              <w:rPr>
                <w:rFonts w:ascii="宋体" w:hAnsi="宋体"/>
                <w:color w:val="auto"/>
              </w:rPr>
              <w:t>1</w:t>
            </w:r>
          </w:p>
        </w:tc>
        <w:tc>
          <w:tcPr>
            <w:tcW w:w="1220" w:type="dxa"/>
            <w:vAlign w:val="center"/>
          </w:tcPr>
          <w:p w14:paraId="26B8061B">
            <w:pPr>
              <w:rPr>
                <w:rFonts w:ascii="宋体" w:hAnsi="宋体"/>
                <w:color w:val="auto"/>
              </w:rPr>
            </w:pPr>
            <w:r>
              <w:rPr>
                <w:rFonts w:ascii="宋体" w:hAnsi="宋体"/>
                <w:color w:val="auto"/>
              </w:rPr>
              <w:t>厂址及外部距离</w:t>
            </w:r>
          </w:p>
        </w:tc>
        <w:tc>
          <w:tcPr>
            <w:tcW w:w="5040" w:type="dxa"/>
            <w:vAlign w:val="center"/>
          </w:tcPr>
          <w:p w14:paraId="3E650D34">
            <w:pPr>
              <w:rPr>
                <w:rFonts w:ascii="宋体" w:hAnsi="宋体"/>
                <w:color w:val="auto"/>
              </w:rPr>
            </w:pPr>
            <w:r>
              <w:rPr>
                <w:rFonts w:ascii="宋体" w:hAnsi="宋体"/>
                <w:color w:val="auto"/>
              </w:rPr>
              <w:t>加油站区</w:t>
            </w:r>
            <w:r>
              <w:rPr>
                <w:rFonts w:hint="eastAsia" w:ascii="宋体" w:hAnsi="宋体"/>
                <w:color w:val="auto"/>
              </w:rPr>
              <w:t>（储油罐、通气管、卸油口、加油机等）</w:t>
            </w:r>
          </w:p>
        </w:tc>
        <w:tc>
          <w:tcPr>
            <w:tcW w:w="2434" w:type="dxa"/>
            <w:vAlign w:val="center"/>
          </w:tcPr>
          <w:p w14:paraId="29D502C7">
            <w:pPr>
              <w:rPr>
                <w:rFonts w:ascii="宋体" w:hAnsi="宋体"/>
                <w:color w:val="auto"/>
              </w:rPr>
            </w:pPr>
            <w:r>
              <w:rPr>
                <w:rFonts w:ascii="宋体" w:hAnsi="宋体"/>
                <w:color w:val="auto"/>
              </w:rPr>
              <w:t>安全检查表</w:t>
            </w:r>
          </w:p>
        </w:tc>
      </w:tr>
      <w:tr w14:paraId="275D07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14:paraId="78D68BC3">
            <w:pPr>
              <w:rPr>
                <w:rFonts w:ascii="宋体" w:hAnsi="宋体"/>
                <w:color w:val="auto"/>
              </w:rPr>
            </w:pPr>
            <w:r>
              <w:rPr>
                <w:rFonts w:ascii="宋体" w:hAnsi="宋体"/>
                <w:color w:val="auto"/>
              </w:rPr>
              <w:t>2</w:t>
            </w:r>
          </w:p>
        </w:tc>
        <w:tc>
          <w:tcPr>
            <w:tcW w:w="1220" w:type="dxa"/>
            <w:vAlign w:val="center"/>
          </w:tcPr>
          <w:p w14:paraId="7DF1149F">
            <w:pPr>
              <w:rPr>
                <w:rFonts w:ascii="宋体" w:hAnsi="宋体"/>
                <w:color w:val="auto"/>
              </w:rPr>
            </w:pPr>
            <w:r>
              <w:rPr>
                <w:rFonts w:ascii="宋体" w:hAnsi="宋体"/>
                <w:color w:val="auto"/>
              </w:rPr>
              <w:t>平面布置</w:t>
            </w:r>
          </w:p>
        </w:tc>
        <w:tc>
          <w:tcPr>
            <w:tcW w:w="5040" w:type="dxa"/>
            <w:vAlign w:val="center"/>
          </w:tcPr>
          <w:p w14:paraId="1F57BAB5">
            <w:pPr>
              <w:rPr>
                <w:rFonts w:ascii="宋体" w:hAnsi="宋体"/>
                <w:color w:val="auto"/>
              </w:rPr>
            </w:pPr>
            <w:r>
              <w:rPr>
                <w:rFonts w:ascii="宋体" w:hAnsi="宋体"/>
                <w:color w:val="auto"/>
              </w:rPr>
              <w:t>站房</w:t>
            </w:r>
            <w:r>
              <w:rPr>
                <w:rFonts w:hint="eastAsia" w:ascii="宋体" w:hAnsi="宋体"/>
                <w:color w:val="auto"/>
              </w:rPr>
              <w:t>、</w:t>
            </w:r>
            <w:r>
              <w:rPr>
                <w:rFonts w:ascii="宋体" w:hAnsi="宋体"/>
                <w:color w:val="auto"/>
              </w:rPr>
              <w:t>加油机、储油罐</w:t>
            </w:r>
            <w:r>
              <w:rPr>
                <w:rFonts w:hint="eastAsia" w:ascii="宋体" w:hAnsi="宋体"/>
                <w:color w:val="auto"/>
              </w:rPr>
              <w:t>、通气管、卸油口等</w:t>
            </w:r>
          </w:p>
        </w:tc>
        <w:tc>
          <w:tcPr>
            <w:tcW w:w="2434" w:type="dxa"/>
            <w:vAlign w:val="center"/>
          </w:tcPr>
          <w:p w14:paraId="72E600B6">
            <w:pPr>
              <w:rPr>
                <w:rFonts w:ascii="宋体" w:hAnsi="宋体"/>
                <w:color w:val="auto"/>
              </w:rPr>
            </w:pPr>
            <w:r>
              <w:rPr>
                <w:rFonts w:ascii="宋体" w:hAnsi="宋体"/>
                <w:color w:val="auto"/>
              </w:rPr>
              <w:t>安全检查表</w:t>
            </w:r>
          </w:p>
        </w:tc>
      </w:tr>
      <w:tr w14:paraId="56B40D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restart"/>
            <w:vAlign w:val="center"/>
          </w:tcPr>
          <w:p w14:paraId="333B79AE">
            <w:pPr>
              <w:rPr>
                <w:rFonts w:ascii="宋体" w:hAnsi="宋体"/>
                <w:color w:val="auto"/>
              </w:rPr>
            </w:pPr>
            <w:r>
              <w:rPr>
                <w:rFonts w:ascii="宋体" w:hAnsi="宋体"/>
                <w:color w:val="auto"/>
              </w:rPr>
              <w:t>3</w:t>
            </w:r>
          </w:p>
        </w:tc>
        <w:tc>
          <w:tcPr>
            <w:tcW w:w="1220" w:type="dxa"/>
            <w:vMerge w:val="restart"/>
            <w:vAlign w:val="center"/>
          </w:tcPr>
          <w:p w14:paraId="2BBD58D4">
            <w:pPr>
              <w:rPr>
                <w:rFonts w:ascii="宋体" w:hAnsi="宋体"/>
                <w:color w:val="auto"/>
              </w:rPr>
            </w:pPr>
            <w:r>
              <w:rPr>
                <w:rFonts w:ascii="宋体" w:hAnsi="宋体"/>
                <w:color w:val="auto"/>
              </w:rPr>
              <w:t>工艺设施、消防</w:t>
            </w:r>
          </w:p>
        </w:tc>
        <w:tc>
          <w:tcPr>
            <w:tcW w:w="5040" w:type="dxa"/>
            <w:vAlign w:val="center"/>
          </w:tcPr>
          <w:p w14:paraId="003D9B88">
            <w:pPr>
              <w:rPr>
                <w:rFonts w:ascii="宋体" w:hAnsi="宋体"/>
                <w:color w:val="auto"/>
              </w:rPr>
            </w:pPr>
            <w:r>
              <w:rPr>
                <w:rFonts w:hint="eastAsia" w:ascii="宋体" w:hAnsi="宋体"/>
                <w:color w:val="auto"/>
              </w:rPr>
              <w:t>配电间、</w:t>
            </w:r>
            <w:r>
              <w:rPr>
                <w:rFonts w:ascii="宋体" w:hAnsi="宋体"/>
                <w:color w:val="auto"/>
              </w:rPr>
              <w:t>消防器材</w:t>
            </w:r>
          </w:p>
        </w:tc>
        <w:tc>
          <w:tcPr>
            <w:tcW w:w="2434" w:type="dxa"/>
            <w:vMerge w:val="restart"/>
            <w:vAlign w:val="center"/>
          </w:tcPr>
          <w:p w14:paraId="38FC46CC">
            <w:pPr>
              <w:rPr>
                <w:rFonts w:ascii="宋体" w:hAnsi="宋体"/>
                <w:color w:val="auto"/>
              </w:rPr>
            </w:pPr>
            <w:r>
              <w:rPr>
                <w:rFonts w:ascii="宋体" w:hAnsi="宋体"/>
                <w:color w:val="auto"/>
              </w:rPr>
              <w:t>安全检查表法</w:t>
            </w:r>
          </w:p>
          <w:p w14:paraId="09E43004">
            <w:pPr>
              <w:rPr>
                <w:rFonts w:ascii="宋体" w:hAnsi="宋体"/>
                <w:color w:val="auto"/>
              </w:rPr>
            </w:pPr>
            <w:r>
              <w:rPr>
                <w:rFonts w:ascii="宋体" w:hAnsi="宋体"/>
                <w:color w:val="auto"/>
              </w:rPr>
              <w:t>危险度评价</w:t>
            </w:r>
          </w:p>
          <w:p w14:paraId="18F0C602">
            <w:pPr>
              <w:rPr>
                <w:rFonts w:ascii="宋体" w:hAnsi="宋体"/>
                <w:color w:val="auto"/>
              </w:rPr>
            </w:pPr>
            <w:r>
              <w:rPr>
                <w:rFonts w:ascii="宋体" w:hAnsi="宋体"/>
                <w:color w:val="auto"/>
              </w:rPr>
              <w:t>作业条件危险性评价法</w:t>
            </w:r>
          </w:p>
        </w:tc>
      </w:tr>
      <w:tr w14:paraId="38D57C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71A16A48">
            <w:pPr>
              <w:rPr>
                <w:rFonts w:ascii="宋体" w:hAnsi="宋体"/>
                <w:color w:val="auto"/>
              </w:rPr>
            </w:pPr>
          </w:p>
        </w:tc>
        <w:tc>
          <w:tcPr>
            <w:tcW w:w="1220" w:type="dxa"/>
            <w:vMerge w:val="continue"/>
            <w:vAlign w:val="center"/>
          </w:tcPr>
          <w:p w14:paraId="553B2C74">
            <w:pPr>
              <w:rPr>
                <w:rFonts w:ascii="宋体" w:hAnsi="宋体"/>
                <w:color w:val="auto"/>
              </w:rPr>
            </w:pPr>
          </w:p>
        </w:tc>
        <w:tc>
          <w:tcPr>
            <w:tcW w:w="5040" w:type="dxa"/>
            <w:vAlign w:val="center"/>
          </w:tcPr>
          <w:p w14:paraId="1928ED2B">
            <w:pPr>
              <w:rPr>
                <w:rFonts w:ascii="宋体" w:hAnsi="宋体"/>
                <w:color w:val="auto"/>
              </w:rPr>
            </w:pPr>
            <w:r>
              <w:rPr>
                <w:rFonts w:ascii="宋体" w:hAnsi="宋体"/>
                <w:color w:val="auto"/>
              </w:rPr>
              <w:t>加油机、储油罐</w:t>
            </w:r>
          </w:p>
        </w:tc>
        <w:tc>
          <w:tcPr>
            <w:tcW w:w="2434" w:type="dxa"/>
            <w:vMerge w:val="continue"/>
            <w:vAlign w:val="center"/>
          </w:tcPr>
          <w:p w14:paraId="3E1A7589">
            <w:pPr>
              <w:rPr>
                <w:rFonts w:ascii="宋体" w:hAnsi="宋体"/>
                <w:color w:val="auto"/>
              </w:rPr>
            </w:pPr>
          </w:p>
        </w:tc>
      </w:tr>
      <w:tr w14:paraId="540BE8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14:paraId="0F331E2E">
            <w:pPr>
              <w:rPr>
                <w:rFonts w:ascii="宋体" w:hAnsi="宋体"/>
                <w:color w:val="auto"/>
              </w:rPr>
            </w:pPr>
            <w:r>
              <w:rPr>
                <w:rFonts w:ascii="宋体" w:hAnsi="宋体"/>
                <w:color w:val="auto"/>
              </w:rPr>
              <w:t>4</w:t>
            </w:r>
          </w:p>
        </w:tc>
        <w:tc>
          <w:tcPr>
            <w:tcW w:w="1220" w:type="dxa"/>
            <w:vAlign w:val="center"/>
          </w:tcPr>
          <w:p w14:paraId="40526E61">
            <w:pPr>
              <w:rPr>
                <w:rFonts w:ascii="宋体" w:hAnsi="宋体"/>
                <w:color w:val="auto"/>
              </w:rPr>
            </w:pPr>
            <w:r>
              <w:rPr>
                <w:rFonts w:ascii="宋体" w:hAnsi="宋体"/>
                <w:color w:val="auto"/>
              </w:rPr>
              <w:t>安全管理单元</w:t>
            </w:r>
          </w:p>
        </w:tc>
        <w:tc>
          <w:tcPr>
            <w:tcW w:w="5040" w:type="dxa"/>
            <w:vAlign w:val="center"/>
          </w:tcPr>
          <w:p w14:paraId="79B04EA8">
            <w:pPr>
              <w:rPr>
                <w:rFonts w:ascii="宋体" w:hAnsi="宋体"/>
                <w:color w:val="auto"/>
              </w:rPr>
            </w:pPr>
            <w:r>
              <w:rPr>
                <w:rFonts w:ascii="宋体" w:hAnsi="宋体"/>
                <w:color w:val="auto"/>
              </w:rPr>
              <w:t>安全管理组织机构、安全</w:t>
            </w:r>
            <w:r>
              <w:rPr>
                <w:rFonts w:hint="eastAsia" w:ascii="宋体" w:hAnsi="宋体"/>
                <w:color w:val="auto"/>
              </w:rPr>
              <w:t>生产</w:t>
            </w:r>
            <w:r>
              <w:rPr>
                <w:rFonts w:ascii="宋体" w:hAnsi="宋体"/>
                <w:color w:val="auto"/>
              </w:rPr>
              <w:t>责任制</w:t>
            </w:r>
            <w:r>
              <w:rPr>
                <w:rFonts w:hint="eastAsia" w:ascii="宋体" w:hAnsi="宋体"/>
                <w:color w:val="auto"/>
              </w:rPr>
              <w:t>、</w:t>
            </w:r>
            <w:r>
              <w:rPr>
                <w:rFonts w:ascii="宋体" w:hAnsi="宋体"/>
                <w:color w:val="auto"/>
              </w:rPr>
              <w:t>安全操作规程</w:t>
            </w:r>
            <w:r>
              <w:rPr>
                <w:rFonts w:hint="eastAsia" w:ascii="宋体" w:hAnsi="宋体"/>
                <w:color w:val="auto"/>
              </w:rPr>
              <w:t>、其他安全管理</w:t>
            </w:r>
          </w:p>
        </w:tc>
        <w:tc>
          <w:tcPr>
            <w:tcW w:w="2434" w:type="dxa"/>
            <w:vAlign w:val="center"/>
          </w:tcPr>
          <w:p w14:paraId="751C20C6">
            <w:pPr>
              <w:rPr>
                <w:rFonts w:ascii="宋体" w:hAnsi="宋体"/>
                <w:color w:val="auto"/>
              </w:rPr>
            </w:pPr>
            <w:r>
              <w:rPr>
                <w:rFonts w:ascii="宋体" w:hAnsi="宋体"/>
                <w:color w:val="auto"/>
              </w:rPr>
              <w:t>安全检查表法</w:t>
            </w:r>
          </w:p>
        </w:tc>
      </w:tr>
    </w:tbl>
    <w:p w14:paraId="6CD97985">
      <w:pPr>
        <w:pStyle w:val="3"/>
        <w:jc w:val="center"/>
        <w:rPr>
          <w:rFonts w:ascii="宋体" w:hAnsi="宋体"/>
          <w:color w:val="auto"/>
          <w:sz w:val="30"/>
          <w:szCs w:val="30"/>
        </w:rPr>
      </w:pPr>
      <w:bookmarkStart w:id="111" w:name="_Toc90566110"/>
      <w:bookmarkStart w:id="112" w:name="_Toc92712581"/>
      <w:bookmarkStart w:id="113" w:name="_Toc8095"/>
      <w:bookmarkStart w:id="114" w:name="_Toc24868"/>
      <w:r>
        <w:rPr>
          <w:rFonts w:ascii="宋体" w:hAnsi="宋体"/>
          <w:color w:val="auto"/>
          <w:sz w:val="30"/>
          <w:szCs w:val="30"/>
        </w:rPr>
        <w:t>4.</w:t>
      </w:r>
      <w:r>
        <w:rPr>
          <w:rFonts w:hint="eastAsia" w:ascii="宋体" w:hAnsi="宋体"/>
          <w:color w:val="auto"/>
          <w:sz w:val="30"/>
          <w:szCs w:val="30"/>
        </w:rPr>
        <w:t>2</w:t>
      </w:r>
      <w:bookmarkEnd w:id="111"/>
      <w:bookmarkStart w:id="115" w:name="_Toc90566111"/>
      <w:r>
        <w:rPr>
          <w:rFonts w:hint="eastAsia" w:ascii="宋体" w:hAnsi="宋体"/>
          <w:color w:val="auto"/>
          <w:sz w:val="30"/>
          <w:szCs w:val="30"/>
        </w:rPr>
        <w:t xml:space="preserve"> 评价方法简介</w:t>
      </w:r>
      <w:bookmarkEnd w:id="112"/>
      <w:bookmarkEnd w:id="113"/>
      <w:bookmarkEnd w:id="114"/>
      <w:bookmarkEnd w:id="115"/>
    </w:p>
    <w:p w14:paraId="31E3F98C">
      <w:pPr>
        <w:spacing w:line="600" w:lineRule="exact"/>
        <w:rPr>
          <w:rFonts w:ascii="宋体" w:hAnsi="宋体"/>
          <w:b/>
          <w:bCs/>
          <w:color w:val="auto"/>
          <w:sz w:val="28"/>
          <w:szCs w:val="28"/>
        </w:rPr>
      </w:pPr>
      <w:bookmarkStart w:id="116" w:name="_Toc92712582"/>
      <w:bookmarkStart w:id="117" w:name="_Toc68180459"/>
      <w:bookmarkStart w:id="118" w:name="_Toc13417"/>
      <w:bookmarkStart w:id="119" w:name="_Toc28161"/>
      <w:bookmarkStart w:id="120" w:name="_Toc20468420"/>
      <w:bookmarkStart w:id="121" w:name="_Toc25391"/>
      <w:r>
        <w:rPr>
          <w:rFonts w:ascii="宋体" w:hAnsi="宋体"/>
          <w:b/>
          <w:bCs/>
          <w:color w:val="auto"/>
          <w:sz w:val="28"/>
          <w:szCs w:val="28"/>
        </w:rPr>
        <w:t>4.2.1</w:t>
      </w:r>
      <w:r>
        <w:rPr>
          <w:rFonts w:hint="eastAsia" w:ascii="宋体" w:hAnsi="宋体"/>
          <w:b/>
          <w:bCs/>
          <w:color w:val="auto"/>
          <w:sz w:val="28"/>
          <w:szCs w:val="28"/>
        </w:rPr>
        <w:t xml:space="preserve"> </w:t>
      </w:r>
      <w:r>
        <w:rPr>
          <w:rFonts w:ascii="宋体" w:hAnsi="宋体"/>
          <w:b/>
          <w:bCs/>
          <w:color w:val="auto"/>
          <w:sz w:val="28"/>
          <w:szCs w:val="28"/>
        </w:rPr>
        <w:t>安全检查表法</w:t>
      </w:r>
      <w:bookmarkEnd w:id="116"/>
      <w:bookmarkEnd w:id="117"/>
      <w:bookmarkEnd w:id="118"/>
    </w:p>
    <w:p w14:paraId="79DB68ED">
      <w:pPr>
        <w:spacing w:line="600" w:lineRule="exact"/>
        <w:ind w:firstLine="570"/>
        <w:rPr>
          <w:rFonts w:ascii="宋体" w:hAnsi="宋体"/>
          <w:color w:val="auto"/>
          <w:sz w:val="28"/>
          <w:szCs w:val="28"/>
        </w:rPr>
      </w:pPr>
      <w:r>
        <w:rPr>
          <w:rFonts w:ascii="宋体" w:hAnsi="宋体"/>
          <w:color w:val="auto"/>
          <w:spacing w:val="-6"/>
          <w:sz w:val="28"/>
          <w:szCs w:val="28"/>
        </w:rPr>
        <w:t>安全检查表法是系统安全工程的一种最基础、最简便、广泛应用的系统危险性评价方法，是一种定性分析方法。本评价选择安全检查表法主要用于各单元的定性评价，其目的是检查安全经营条件现状与相关国家规范和标准之间的异同，从而作出相应的评价结论；其方法是对工程中应完成或应关注的有关项目、要求、标准等逐一列出，以帮助企业负责人和安全管理人员识别工程的主要危险危害性，避免工作漏项；同时通过安全检查表检查，便于发现潜在危险及时制定措施加以整改，可以有效控制事故的发生。</w:t>
      </w:r>
    </w:p>
    <w:p w14:paraId="4F1BB757">
      <w:pPr>
        <w:spacing w:line="600" w:lineRule="exact"/>
        <w:ind w:firstLine="570"/>
        <w:rPr>
          <w:rFonts w:ascii="宋体" w:hAnsi="宋体"/>
          <w:color w:val="auto"/>
          <w:sz w:val="28"/>
          <w:szCs w:val="28"/>
        </w:rPr>
      </w:pPr>
      <w:r>
        <w:rPr>
          <w:rFonts w:ascii="宋体" w:hAnsi="宋体"/>
          <w:color w:val="auto"/>
          <w:sz w:val="28"/>
          <w:szCs w:val="28"/>
        </w:rPr>
        <w:t>该法以国家安全卫生法律法规、标准规范和企业内部安全卫生管理制度、操作规程等为依据，参考国内外的事故案例、本单位的经验教训以及利用其他安全分析方法分析获得的结果，在熟悉系统及系统各单元、收集各方面资料的基础上，编制符合客观实际、尽可能全面识别分析系统危险性的安全检查表。</w:t>
      </w:r>
    </w:p>
    <w:p w14:paraId="1BED472B">
      <w:pPr>
        <w:spacing w:line="600" w:lineRule="exact"/>
        <w:ind w:firstLine="570"/>
        <w:rPr>
          <w:rFonts w:ascii="宋体" w:hAnsi="宋体"/>
          <w:color w:val="auto"/>
          <w:sz w:val="28"/>
          <w:szCs w:val="28"/>
        </w:rPr>
      </w:pPr>
      <w:r>
        <w:rPr>
          <w:rFonts w:ascii="宋体" w:hAnsi="宋体"/>
          <w:color w:val="auto"/>
          <w:sz w:val="28"/>
          <w:szCs w:val="28"/>
        </w:rPr>
        <w:t>安全检查表分析包括三个步骤：</w:t>
      </w:r>
    </w:p>
    <w:p w14:paraId="182AB01A">
      <w:pPr>
        <w:spacing w:line="60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选择或拟定合适的安全检查表；</w:t>
      </w:r>
    </w:p>
    <w:p w14:paraId="701D7995">
      <w:pPr>
        <w:spacing w:line="600" w:lineRule="exact"/>
        <w:ind w:firstLine="570"/>
        <w:rPr>
          <w:rFonts w:ascii="宋体" w:hAnsi="宋体"/>
          <w:color w:val="auto"/>
          <w:sz w:val="28"/>
          <w:szCs w:val="28"/>
        </w:rPr>
      </w:pPr>
      <w:r>
        <w:rPr>
          <w:rFonts w:hint="eastAsia" w:ascii="宋体" w:hAnsi="宋体"/>
          <w:color w:val="auto"/>
          <w:sz w:val="28"/>
          <w:szCs w:val="28"/>
        </w:rPr>
        <w:t>②</w:t>
      </w:r>
      <w:r>
        <w:rPr>
          <w:rFonts w:ascii="宋体" w:hAnsi="宋体"/>
          <w:color w:val="auto"/>
          <w:sz w:val="28"/>
          <w:szCs w:val="28"/>
        </w:rPr>
        <w:t>完成分析；</w:t>
      </w:r>
    </w:p>
    <w:p w14:paraId="5742978D">
      <w:pPr>
        <w:spacing w:line="600" w:lineRule="exact"/>
        <w:ind w:firstLine="570"/>
        <w:rPr>
          <w:rFonts w:ascii="宋体" w:hAnsi="宋体"/>
          <w:color w:val="auto"/>
          <w:sz w:val="28"/>
          <w:szCs w:val="28"/>
        </w:rPr>
      </w:pPr>
      <w:r>
        <w:rPr>
          <w:rFonts w:hint="eastAsia" w:ascii="宋体" w:hAnsi="宋体"/>
          <w:color w:val="auto"/>
          <w:sz w:val="28"/>
          <w:szCs w:val="28"/>
        </w:rPr>
        <w:t>③</w:t>
      </w:r>
      <w:r>
        <w:rPr>
          <w:rFonts w:ascii="宋体" w:hAnsi="宋体"/>
          <w:color w:val="auto"/>
          <w:sz w:val="28"/>
          <w:szCs w:val="28"/>
        </w:rPr>
        <w:t>编制分析结果文件。</w:t>
      </w:r>
    </w:p>
    <w:p w14:paraId="164D0C93">
      <w:pPr>
        <w:spacing w:line="600" w:lineRule="exact"/>
        <w:rPr>
          <w:rFonts w:ascii="宋体" w:hAnsi="宋体"/>
          <w:b/>
          <w:bCs/>
          <w:color w:val="auto"/>
          <w:sz w:val="28"/>
          <w:szCs w:val="28"/>
        </w:rPr>
      </w:pPr>
      <w:bookmarkStart w:id="122" w:name="_Toc92712583"/>
      <w:bookmarkStart w:id="123" w:name="_Toc28176"/>
      <w:r>
        <w:rPr>
          <w:rFonts w:ascii="宋体" w:hAnsi="宋体"/>
          <w:b/>
          <w:bCs/>
          <w:color w:val="auto"/>
          <w:sz w:val="28"/>
          <w:szCs w:val="28"/>
        </w:rPr>
        <w:t>4.2.2</w:t>
      </w:r>
      <w:r>
        <w:rPr>
          <w:rFonts w:hint="eastAsia" w:ascii="宋体" w:hAnsi="宋体"/>
          <w:b/>
          <w:bCs/>
          <w:color w:val="auto"/>
          <w:sz w:val="28"/>
          <w:szCs w:val="28"/>
        </w:rPr>
        <w:t xml:space="preserve"> </w:t>
      </w:r>
      <w:r>
        <w:rPr>
          <w:rFonts w:ascii="宋体" w:hAnsi="宋体"/>
          <w:b/>
          <w:bCs/>
          <w:color w:val="auto"/>
          <w:sz w:val="28"/>
          <w:szCs w:val="28"/>
        </w:rPr>
        <w:t>作业条件危险性评价法</w:t>
      </w:r>
      <w:bookmarkEnd w:id="119"/>
      <w:bookmarkEnd w:id="120"/>
      <w:bookmarkEnd w:id="121"/>
      <w:bookmarkEnd w:id="122"/>
      <w:bookmarkEnd w:id="123"/>
    </w:p>
    <w:p w14:paraId="5CE660BF">
      <w:pPr>
        <w:spacing w:line="600" w:lineRule="exact"/>
        <w:ind w:firstLine="570"/>
        <w:rPr>
          <w:rFonts w:ascii="宋体" w:hAnsi="宋体"/>
          <w:color w:val="auto"/>
          <w:sz w:val="28"/>
          <w:szCs w:val="28"/>
        </w:rPr>
      </w:pPr>
      <w:r>
        <w:rPr>
          <w:rFonts w:hint="eastAsia" w:ascii="宋体" w:hAnsi="宋体"/>
          <w:color w:val="auto"/>
          <w:sz w:val="28"/>
          <w:szCs w:val="28"/>
        </w:rPr>
        <w:t>（1）</w:t>
      </w:r>
      <w:r>
        <w:rPr>
          <w:rFonts w:ascii="宋体" w:hAnsi="宋体"/>
          <w:color w:val="auto"/>
          <w:sz w:val="28"/>
          <w:szCs w:val="28"/>
        </w:rPr>
        <w:t>评价方法简介</w:t>
      </w:r>
    </w:p>
    <w:p w14:paraId="02C2E217">
      <w:pPr>
        <w:spacing w:line="600" w:lineRule="exact"/>
        <w:ind w:firstLine="570"/>
        <w:rPr>
          <w:rFonts w:ascii="宋体" w:hAnsi="宋体"/>
          <w:color w:val="auto"/>
          <w:sz w:val="28"/>
          <w:szCs w:val="28"/>
        </w:rPr>
      </w:pPr>
      <w:r>
        <w:rPr>
          <w:rFonts w:ascii="宋体" w:hAnsi="宋体"/>
          <w:color w:val="auto"/>
          <w:sz w:val="28"/>
          <w:szCs w:val="28"/>
        </w:rPr>
        <w:t>作业条件危险性评价法是一种简单易行的评价操作人员在具有潜在危险性环境中作业时的危险性的半定量评价方法。</w:t>
      </w:r>
    </w:p>
    <w:p w14:paraId="76D661FF">
      <w:pPr>
        <w:spacing w:line="600" w:lineRule="exact"/>
        <w:ind w:firstLine="570"/>
        <w:rPr>
          <w:rFonts w:ascii="宋体" w:hAnsi="宋体"/>
          <w:color w:val="auto"/>
          <w:sz w:val="28"/>
          <w:szCs w:val="28"/>
        </w:rPr>
      </w:pPr>
      <w:r>
        <w:rPr>
          <w:rFonts w:ascii="宋体" w:hAnsi="宋体"/>
          <w:color w:val="auto"/>
          <w:sz w:val="28"/>
          <w:szCs w:val="28"/>
        </w:rPr>
        <w:t>作业条件危险性评价法用与系统风险有关的三种因素指标值之积来评价操作人员伤亡风险大小，这三种因素是：L</w:t>
      </w:r>
      <w:r>
        <w:rPr>
          <w:rFonts w:hint="eastAsia" w:ascii="宋体" w:hAnsi="宋体"/>
          <w:color w:val="auto"/>
          <w:sz w:val="28"/>
          <w:szCs w:val="28"/>
        </w:rPr>
        <w:t>——</w:t>
      </w:r>
      <w:r>
        <w:rPr>
          <w:rFonts w:ascii="宋体" w:hAnsi="宋体"/>
          <w:color w:val="auto"/>
          <w:sz w:val="28"/>
          <w:szCs w:val="28"/>
        </w:rPr>
        <w:t>事故发生的可能性；E</w:t>
      </w:r>
      <w:r>
        <w:rPr>
          <w:rFonts w:hint="eastAsia" w:ascii="宋体" w:hAnsi="宋体"/>
          <w:color w:val="auto"/>
          <w:sz w:val="28"/>
          <w:szCs w:val="28"/>
        </w:rPr>
        <w:t>——</w:t>
      </w:r>
      <w:r>
        <w:rPr>
          <w:rFonts w:ascii="宋体" w:hAnsi="宋体"/>
          <w:color w:val="auto"/>
          <w:sz w:val="28"/>
          <w:szCs w:val="28"/>
        </w:rPr>
        <w:t>人员暴露于危险环境中的频繁程度；C</w:t>
      </w:r>
      <w:r>
        <w:rPr>
          <w:rFonts w:hint="eastAsia" w:ascii="宋体" w:hAnsi="宋体"/>
          <w:color w:val="auto"/>
          <w:sz w:val="28"/>
          <w:szCs w:val="28"/>
        </w:rPr>
        <w:t>——</w:t>
      </w:r>
      <w:r>
        <w:rPr>
          <w:rFonts w:ascii="宋体" w:hAnsi="宋体"/>
          <w:color w:val="auto"/>
          <w:sz w:val="28"/>
          <w:szCs w:val="28"/>
        </w:rPr>
        <w:t>一旦发生事故可能造成的后果。给三种因素的不同等级分别确定不同的分值，再以三个分值的乘积D来评价作业条件危险性的大小。即：D＝L×E×C。</w:t>
      </w:r>
    </w:p>
    <w:p w14:paraId="760AD87A">
      <w:pPr>
        <w:spacing w:line="600" w:lineRule="exact"/>
        <w:ind w:firstLine="570"/>
        <w:rPr>
          <w:rFonts w:ascii="宋体" w:hAnsi="宋体"/>
          <w:color w:val="auto"/>
          <w:sz w:val="28"/>
          <w:szCs w:val="28"/>
        </w:rPr>
      </w:pPr>
      <w:r>
        <w:rPr>
          <w:rFonts w:hint="eastAsia" w:ascii="宋体" w:hAnsi="宋体"/>
          <w:color w:val="auto"/>
          <w:sz w:val="28"/>
          <w:szCs w:val="28"/>
        </w:rPr>
        <w:t>（2）</w:t>
      </w:r>
      <w:r>
        <w:rPr>
          <w:rFonts w:ascii="宋体" w:hAnsi="宋体"/>
          <w:color w:val="auto"/>
          <w:sz w:val="28"/>
          <w:szCs w:val="28"/>
        </w:rPr>
        <w:t>评价步骤</w:t>
      </w:r>
    </w:p>
    <w:p w14:paraId="25C2B915">
      <w:pPr>
        <w:spacing w:line="600" w:lineRule="exact"/>
        <w:ind w:firstLine="570"/>
        <w:rPr>
          <w:rFonts w:ascii="宋体" w:hAnsi="宋体"/>
          <w:color w:val="auto"/>
          <w:sz w:val="28"/>
          <w:szCs w:val="28"/>
        </w:rPr>
      </w:pPr>
      <w:r>
        <w:rPr>
          <w:rFonts w:ascii="宋体" w:hAnsi="宋体"/>
          <w:color w:val="auto"/>
          <w:sz w:val="28"/>
          <w:szCs w:val="28"/>
        </w:rPr>
        <w:t>评价步骤为：</w:t>
      </w:r>
    </w:p>
    <w:p w14:paraId="72DD0F6C">
      <w:pPr>
        <w:spacing w:line="60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以类比作业条件比较为基础，由熟悉作业条件的人员组成评价小组；</w:t>
      </w:r>
    </w:p>
    <w:p w14:paraId="5502B09C">
      <w:pPr>
        <w:spacing w:line="600" w:lineRule="exact"/>
        <w:ind w:firstLine="570"/>
        <w:rPr>
          <w:rFonts w:ascii="宋体" w:hAnsi="宋体"/>
          <w:color w:val="auto"/>
          <w:sz w:val="28"/>
          <w:szCs w:val="28"/>
        </w:rPr>
      </w:pPr>
      <w:r>
        <w:rPr>
          <w:rFonts w:hint="eastAsia" w:ascii="宋体" w:hAnsi="宋体"/>
          <w:color w:val="auto"/>
          <w:spacing w:val="-6"/>
          <w:sz w:val="28"/>
          <w:szCs w:val="28"/>
        </w:rPr>
        <w:t>②</w:t>
      </w:r>
      <w:r>
        <w:rPr>
          <w:rFonts w:ascii="宋体" w:hAnsi="宋体"/>
          <w:color w:val="auto"/>
          <w:spacing w:val="-6"/>
          <w:sz w:val="28"/>
          <w:szCs w:val="28"/>
        </w:rPr>
        <w:t>由评价小组成员按照标准给L、E、C分别打分，取各组的平均值作为L、E、C的计算分值，用计算的危险性分值D来评价作业条件的危险性等级。</w:t>
      </w:r>
    </w:p>
    <w:p w14:paraId="6E7CD2EA">
      <w:pPr>
        <w:spacing w:line="600" w:lineRule="exact"/>
        <w:ind w:firstLine="570"/>
        <w:rPr>
          <w:rFonts w:ascii="宋体" w:hAnsi="宋体"/>
          <w:color w:val="auto"/>
          <w:sz w:val="28"/>
          <w:szCs w:val="28"/>
        </w:rPr>
      </w:pPr>
      <w:r>
        <w:rPr>
          <w:rFonts w:hint="eastAsia" w:ascii="宋体" w:hAnsi="宋体"/>
          <w:color w:val="auto"/>
          <w:sz w:val="28"/>
          <w:szCs w:val="28"/>
        </w:rPr>
        <w:t>（3）</w:t>
      </w:r>
      <w:r>
        <w:rPr>
          <w:rFonts w:ascii="宋体" w:hAnsi="宋体"/>
          <w:color w:val="auto"/>
          <w:sz w:val="28"/>
          <w:szCs w:val="28"/>
        </w:rPr>
        <w:t>赋分标准</w:t>
      </w:r>
    </w:p>
    <w:p w14:paraId="4FA9BC0C">
      <w:pPr>
        <w:spacing w:line="60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事故发生的可能性（L）</w:t>
      </w:r>
    </w:p>
    <w:p w14:paraId="50764157">
      <w:pPr>
        <w:spacing w:line="600" w:lineRule="exact"/>
        <w:ind w:firstLine="570"/>
        <w:rPr>
          <w:rFonts w:ascii="宋体" w:hAnsi="宋体"/>
          <w:color w:val="auto"/>
          <w:sz w:val="28"/>
          <w:szCs w:val="28"/>
        </w:rPr>
      </w:pPr>
      <w:r>
        <w:rPr>
          <w:rFonts w:ascii="宋体" w:hAnsi="宋体"/>
          <w:color w:val="auto"/>
          <w:sz w:val="28"/>
          <w:szCs w:val="28"/>
        </w:rPr>
        <w:t>事故发生的可能性用概率来表示时，绝对不可能发生的事故频率为0，而必然发生的事故概率为1。然而，从系统安全的角度考虑，绝对不发生的事故是不可能的，所以人为地将发生事故的可能性极小的分值定为0.1，而必然要发生的事故的分值定为10，以此为基础介于这两者之间的指定为若干中间值。见表4</w:t>
      </w:r>
      <w:r>
        <w:rPr>
          <w:rFonts w:hint="eastAsia" w:ascii="宋体" w:hAnsi="宋体"/>
          <w:color w:val="auto"/>
          <w:sz w:val="28"/>
          <w:szCs w:val="28"/>
        </w:rPr>
        <w:t>.2-1</w:t>
      </w:r>
      <w:r>
        <w:rPr>
          <w:rFonts w:ascii="宋体" w:hAnsi="宋体"/>
          <w:color w:val="auto"/>
          <w:sz w:val="28"/>
          <w:szCs w:val="28"/>
        </w:rPr>
        <w:t>。</w:t>
      </w:r>
    </w:p>
    <w:p w14:paraId="5DD29656">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w:t>
      </w:r>
      <w:r>
        <w:rPr>
          <w:rFonts w:ascii="宋体" w:hAnsi="宋体"/>
          <w:color w:val="auto"/>
          <w:sz w:val="28"/>
          <w:szCs w:val="28"/>
        </w:rPr>
        <w:t>-</w:t>
      </w:r>
      <w:r>
        <w:rPr>
          <w:rFonts w:hint="eastAsia" w:ascii="宋体" w:hAnsi="宋体"/>
          <w:color w:val="auto"/>
          <w:sz w:val="28"/>
          <w:szCs w:val="28"/>
        </w:rPr>
        <w:t>1</w:t>
      </w:r>
      <w:r>
        <w:rPr>
          <w:rFonts w:ascii="宋体" w:hAnsi="宋体"/>
          <w:color w:val="auto"/>
          <w:sz w:val="28"/>
          <w:szCs w:val="28"/>
        </w:rPr>
        <w:t xml:space="preserve">  事故发生的可能性（L）</w:t>
      </w:r>
    </w:p>
    <w:tbl>
      <w:tblPr>
        <w:tblStyle w:val="25"/>
        <w:tblW w:w="506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51"/>
        <w:gridCol w:w="3355"/>
        <w:gridCol w:w="1353"/>
        <w:gridCol w:w="3357"/>
      </w:tblGrid>
      <w:tr w14:paraId="28DB3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tblHeader/>
          <w:jc w:val="center"/>
        </w:trPr>
        <w:tc>
          <w:tcPr>
            <w:tcW w:w="717" w:type="pct"/>
            <w:vAlign w:val="center"/>
          </w:tcPr>
          <w:p w14:paraId="479AB8D7">
            <w:pPr>
              <w:jc w:val="center"/>
              <w:rPr>
                <w:rFonts w:ascii="宋体" w:hAnsi="宋体"/>
                <w:b/>
                <w:color w:val="auto"/>
              </w:rPr>
            </w:pPr>
            <w:r>
              <w:rPr>
                <w:rFonts w:hint="eastAsia" w:ascii="宋体" w:hAnsi="宋体"/>
                <w:b/>
                <w:color w:val="auto"/>
              </w:rPr>
              <w:t>分数值</w:t>
            </w:r>
          </w:p>
        </w:tc>
        <w:tc>
          <w:tcPr>
            <w:tcW w:w="1781" w:type="pct"/>
            <w:tcBorders>
              <w:top w:val="single" w:color="auto" w:sz="12" w:space="0"/>
              <w:bottom w:val="single" w:color="auto" w:sz="6" w:space="0"/>
              <w:right w:val="double" w:color="auto" w:sz="4" w:space="0"/>
            </w:tcBorders>
            <w:vAlign w:val="center"/>
          </w:tcPr>
          <w:p w14:paraId="3581A28A">
            <w:pPr>
              <w:jc w:val="center"/>
              <w:rPr>
                <w:rFonts w:ascii="宋体" w:hAnsi="宋体"/>
                <w:b/>
                <w:color w:val="auto"/>
              </w:rPr>
            </w:pPr>
            <w:r>
              <w:rPr>
                <w:rFonts w:hint="eastAsia" w:ascii="宋体" w:hAnsi="宋体"/>
                <w:b/>
                <w:color w:val="auto"/>
              </w:rPr>
              <w:t>事故发生的可能性</w:t>
            </w:r>
          </w:p>
        </w:tc>
        <w:tc>
          <w:tcPr>
            <w:tcW w:w="718" w:type="pct"/>
            <w:tcBorders>
              <w:top w:val="single" w:color="auto" w:sz="12" w:space="0"/>
              <w:left w:val="double" w:color="auto" w:sz="4" w:space="0"/>
              <w:bottom w:val="single" w:color="auto" w:sz="6" w:space="0"/>
            </w:tcBorders>
            <w:vAlign w:val="center"/>
          </w:tcPr>
          <w:p w14:paraId="19AEFE9F">
            <w:pPr>
              <w:jc w:val="center"/>
              <w:rPr>
                <w:rFonts w:ascii="宋体" w:hAnsi="宋体"/>
                <w:b/>
                <w:color w:val="auto"/>
              </w:rPr>
            </w:pPr>
            <w:r>
              <w:rPr>
                <w:rFonts w:hint="eastAsia" w:ascii="宋体" w:hAnsi="宋体"/>
                <w:b/>
                <w:color w:val="auto"/>
              </w:rPr>
              <w:t>分数值</w:t>
            </w:r>
          </w:p>
        </w:tc>
        <w:tc>
          <w:tcPr>
            <w:tcW w:w="1782" w:type="pct"/>
            <w:vAlign w:val="center"/>
          </w:tcPr>
          <w:p w14:paraId="55818C19">
            <w:pPr>
              <w:jc w:val="center"/>
              <w:rPr>
                <w:rFonts w:ascii="宋体" w:hAnsi="宋体"/>
                <w:b/>
                <w:color w:val="auto"/>
              </w:rPr>
            </w:pPr>
            <w:r>
              <w:rPr>
                <w:rFonts w:hint="eastAsia" w:ascii="宋体" w:hAnsi="宋体"/>
                <w:b/>
                <w:color w:val="auto"/>
              </w:rPr>
              <w:t>事故发生的可能性</w:t>
            </w:r>
          </w:p>
        </w:tc>
      </w:tr>
      <w:tr w14:paraId="3E06A4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jc w:val="center"/>
        </w:trPr>
        <w:tc>
          <w:tcPr>
            <w:tcW w:w="717" w:type="pct"/>
            <w:vAlign w:val="center"/>
          </w:tcPr>
          <w:p w14:paraId="7F3092EF">
            <w:pPr>
              <w:jc w:val="center"/>
              <w:rPr>
                <w:rFonts w:ascii="宋体" w:hAnsi="宋体"/>
                <w:color w:val="auto"/>
              </w:rPr>
            </w:pPr>
            <w:r>
              <w:rPr>
                <w:rFonts w:ascii="宋体" w:hAnsi="宋体"/>
                <w:color w:val="auto"/>
              </w:rPr>
              <w:t>10</w:t>
            </w:r>
          </w:p>
        </w:tc>
        <w:tc>
          <w:tcPr>
            <w:tcW w:w="1781" w:type="pct"/>
            <w:tcBorders>
              <w:top w:val="single" w:color="auto" w:sz="6" w:space="0"/>
              <w:bottom w:val="single" w:color="auto" w:sz="6" w:space="0"/>
              <w:right w:val="double" w:color="auto" w:sz="4" w:space="0"/>
            </w:tcBorders>
            <w:vAlign w:val="center"/>
          </w:tcPr>
          <w:p w14:paraId="64E4EC03">
            <w:pPr>
              <w:rPr>
                <w:rFonts w:ascii="宋体" w:hAnsi="宋体"/>
                <w:color w:val="auto"/>
              </w:rPr>
            </w:pPr>
            <w:r>
              <w:rPr>
                <w:rFonts w:hint="eastAsia" w:ascii="宋体" w:hAnsi="宋体"/>
                <w:color w:val="auto"/>
              </w:rPr>
              <w:t>完全可以预料到</w:t>
            </w:r>
          </w:p>
        </w:tc>
        <w:tc>
          <w:tcPr>
            <w:tcW w:w="718" w:type="pct"/>
            <w:tcBorders>
              <w:top w:val="single" w:color="auto" w:sz="6" w:space="0"/>
              <w:left w:val="double" w:color="auto" w:sz="4" w:space="0"/>
              <w:bottom w:val="single" w:color="auto" w:sz="6" w:space="0"/>
            </w:tcBorders>
            <w:vAlign w:val="center"/>
          </w:tcPr>
          <w:p w14:paraId="46E79F1C">
            <w:pPr>
              <w:jc w:val="center"/>
              <w:rPr>
                <w:rFonts w:ascii="宋体" w:hAnsi="宋体"/>
                <w:color w:val="auto"/>
              </w:rPr>
            </w:pPr>
            <w:r>
              <w:rPr>
                <w:rFonts w:ascii="宋体" w:hAnsi="宋体"/>
                <w:color w:val="auto"/>
              </w:rPr>
              <w:t>0.5</w:t>
            </w:r>
          </w:p>
        </w:tc>
        <w:tc>
          <w:tcPr>
            <w:tcW w:w="1782" w:type="pct"/>
            <w:vAlign w:val="center"/>
          </w:tcPr>
          <w:p w14:paraId="3A6A686C">
            <w:pPr>
              <w:rPr>
                <w:rFonts w:ascii="宋体" w:hAnsi="宋体"/>
                <w:color w:val="auto"/>
              </w:rPr>
            </w:pPr>
            <w:r>
              <w:rPr>
                <w:rFonts w:hint="eastAsia" w:ascii="宋体" w:hAnsi="宋体"/>
                <w:color w:val="auto"/>
              </w:rPr>
              <w:t>极不可能，可以设想</w:t>
            </w:r>
          </w:p>
        </w:tc>
      </w:tr>
      <w:tr w14:paraId="4B17F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jc w:val="center"/>
        </w:trPr>
        <w:tc>
          <w:tcPr>
            <w:tcW w:w="717" w:type="pct"/>
            <w:vAlign w:val="center"/>
          </w:tcPr>
          <w:p w14:paraId="2E870A35">
            <w:pPr>
              <w:jc w:val="center"/>
              <w:rPr>
                <w:rFonts w:ascii="宋体" w:hAnsi="宋体"/>
                <w:color w:val="auto"/>
              </w:rPr>
            </w:pPr>
            <w:r>
              <w:rPr>
                <w:rFonts w:ascii="宋体" w:hAnsi="宋体"/>
                <w:color w:val="auto"/>
              </w:rPr>
              <w:t>5</w:t>
            </w:r>
          </w:p>
        </w:tc>
        <w:tc>
          <w:tcPr>
            <w:tcW w:w="1781" w:type="pct"/>
            <w:tcBorders>
              <w:top w:val="single" w:color="auto" w:sz="6" w:space="0"/>
              <w:bottom w:val="single" w:color="auto" w:sz="6" w:space="0"/>
              <w:right w:val="double" w:color="auto" w:sz="4" w:space="0"/>
            </w:tcBorders>
            <w:vAlign w:val="center"/>
          </w:tcPr>
          <w:p w14:paraId="378CA28C">
            <w:pPr>
              <w:rPr>
                <w:rFonts w:ascii="宋体" w:hAnsi="宋体"/>
                <w:color w:val="auto"/>
              </w:rPr>
            </w:pPr>
            <w:r>
              <w:rPr>
                <w:rFonts w:hint="eastAsia" w:ascii="宋体" w:hAnsi="宋体"/>
                <w:color w:val="auto"/>
              </w:rPr>
              <w:t>相当可能</w:t>
            </w:r>
          </w:p>
        </w:tc>
        <w:tc>
          <w:tcPr>
            <w:tcW w:w="718" w:type="pct"/>
            <w:tcBorders>
              <w:top w:val="single" w:color="auto" w:sz="6" w:space="0"/>
              <w:left w:val="double" w:color="auto" w:sz="4" w:space="0"/>
              <w:bottom w:val="single" w:color="auto" w:sz="6" w:space="0"/>
            </w:tcBorders>
            <w:vAlign w:val="center"/>
          </w:tcPr>
          <w:p w14:paraId="59D6408E">
            <w:pPr>
              <w:jc w:val="center"/>
              <w:rPr>
                <w:rFonts w:ascii="宋体" w:hAnsi="宋体"/>
                <w:color w:val="auto"/>
              </w:rPr>
            </w:pPr>
            <w:r>
              <w:rPr>
                <w:rFonts w:ascii="宋体" w:hAnsi="宋体"/>
                <w:color w:val="auto"/>
              </w:rPr>
              <w:t>0.2</w:t>
            </w:r>
          </w:p>
        </w:tc>
        <w:tc>
          <w:tcPr>
            <w:tcW w:w="1782" w:type="pct"/>
            <w:vAlign w:val="center"/>
          </w:tcPr>
          <w:p w14:paraId="651499D4">
            <w:pPr>
              <w:rPr>
                <w:rFonts w:ascii="宋体" w:hAnsi="宋体"/>
                <w:color w:val="auto"/>
              </w:rPr>
            </w:pPr>
            <w:r>
              <w:rPr>
                <w:rFonts w:hint="eastAsia" w:ascii="宋体" w:hAnsi="宋体"/>
                <w:color w:val="auto"/>
              </w:rPr>
              <w:t>极不可能</w:t>
            </w:r>
          </w:p>
        </w:tc>
      </w:tr>
      <w:tr w14:paraId="5F0CA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jc w:val="center"/>
        </w:trPr>
        <w:tc>
          <w:tcPr>
            <w:tcW w:w="717" w:type="pct"/>
            <w:vAlign w:val="center"/>
          </w:tcPr>
          <w:p w14:paraId="410364CA">
            <w:pPr>
              <w:jc w:val="center"/>
              <w:rPr>
                <w:rFonts w:ascii="宋体" w:hAnsi="宋体"/>
                <w:color w:val="auto"/>
              </w:rPr>
            </w:pPr>
            <w:r>
              <w:rPr>
                <w:rFonts w:ascii="宋体" w:hAnsi="宋体"/>
                <w:color w:val="auto"/>
              </w:rPr>
              <w:t>3</w:t>
            </w:r>
          </w:p>
        </w:tc>
        <w:tc>
          <w:tcPr>
            <w:tcW w:w="1781" w:type="pct"/>
            <w:tcBorders>
              <w:top w:val="single" w:color="auto" w:sz="6" w:space="0"/>
              <w:bottom w:val="single" w:color="auto" w:sz="6" w:space="0"/>
              <w:right w:val="double" w:color="auto" w:sz="4" w:space="0"/>
            </w:tcBorders>
            <w:vAlign w:val="center"/>
          </w:tcPr>
          <w:p w14:paraId="56AA45EE">
            <w:pPr>
              <w:rPr>
                <w:rFonts w:ascii="宋体" w:hAnsi="宋体"/>
                <w:color w:val="auto"/>
              </w:rPr>
            </w:pPr>
            <w:r>
              <w:rPr>
                <w:rFonts w:hint="eastAsia" w:ascii="宋体" w:hAnsi="宋体"/>
                <w:color w:val="auto"/>
              </w:rPr>
              <w:t>可能，但不经常</w:t>
            </w:r>
          </w:p>
        </w:tc>
        <w:tc>
          <w:tcPr>
            <w:tcW w:w="718" w:type="pct"/>
            <w:tcBorders>
              <w:top w:val="single" w:color="auto" w:sz="6" w:space="0"/>
              <w:left w:val="double" w:color="auto" w:sz="4" w:space="0"/>
              <w:bottom w:val="single" w:color="auto" w:sz="6" w:space="0"/>
            </w:tcBorders>
            <w:vAlign w:val="center"/>
          </w:tcPr>
          <w:p w14:paraId="05FC59C5">
            <w:pPr>
              <w:jc w:val="center"/>
              <w:rPr>
                <w:rFonts w:ascii="宋体" w:hAnsi="宋体"/>
                <w:color w:val="auto"/>
              </w:rPr>
            </w:pPr>
            <w:r>
              <w:rPr>
                <w:rFonts w:ascii="宋体" w:hAnsi="宋体"/>
                <w:color w:val="auto"/>
              </w:rPr>
              <w:t>0.1</w:t>
            </w:r>
          </w:p>
        </w:tc>
        <w:tc>
          <w:tcPr>
            <w:tcW w:w="1782" w:type="pct"/>
            <w:vAlign w:val="center"/>
          </w:tcPr>
          <w:p w14:paraId="538B99D5">
            <w:pPr>
              <w:rPr>
                <w:rFonts w:ascii="宋体" w:hAnsi="宋体"/>
                <w:color w:val="auto"/>
              </w:rPr>
            </w:pPr>
            <w:r>
              <w:rPr>
                <w:rFonts w:hint="eastAsia" w:ascii="宋体" w:hAnsi="宋体"/>
                <w:color w:val="auto"/>
              </w:rPr>
              <w:t>实际不可能</w:t>
            </w:r>
          </w:p>
        </w:tc>
      </w:tr>
      <w:tr w14:paraId="3F20B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exact"/>
          <w:jc w:val="center"/>
        </w:trPr>
        <w:tc>
          <w:tcPr>
            <w:tcW w:w="717" w:type="pct"/>
            <w:vAlign w:val="center"/>
          </w:tcPr>
          <w:p w14:paraId="08E973D5">
            <w:pPr>
              <w:jc w:val="center"/>
              <w:rPr>
                <w:rFonts w:ascii="宋体" w:hAnsi="宋体"/>
                <w:color w:val="auto"/>
              </w:rPr>
            </w:pPr>
            <w:r>
              <w:rPr>
                <w:rFonts w:ascii="宋体" w:hAnsi="宋体"/>
                <w:color w:val="auto"/>
              </w:rPr>
              <w:t>1</w:t>
            </w:r>
          </w:p>
        </w:tc>
        <w:tc>
          <w:tcPr>
            <w:tcW w:w="1781" w:type="pct"/>
            <w:tcBorders>
              <w:top w:val="single" w:color="auto" w:sz="6" w:space="0"/>
              <w:bottom w:val="single" w:color="auto" w:sz="12" w:space="0"/>
              <w:right w:val="double" w:color="auto" w:sz="4" w:space="0"/>
            </w:tcBorders>
            <w:vAlign w:val="center"/>
          </w:tcPr>
          <w:p w14:paraId="79BA6EA5">
            <w:pPr>
              <w:rPr>
                <w:rFonts w:ascii="宋体" w:hAnsi="宋体"/>
                <w:color w:val="auto"/>
              </w:rPr>
            </w:pPr>
            <w:r>
              <w:rPr>
                <w:rFonts w:hint="eastAsia" w:ascii="宋体" w:hAnsi="宋体"/>
                <w:color w:val="auto"/>
              </w:rPr>
              <w:t>可能性小，完全意外</w:t>
            </w:r>
          </w:p>
        </w:tc>
        <w:tc>
          <w:tcPr>
            <w:tcW w:w="718" w:type="pct"/>
            <w:tcBorders>
              <w:top w:val="single" w:color="auto" w:sz="6" w:space="0"/>
              <w:left w:val="double" w:color="auto" w:sz="4" w:space="0"/>
              <w:bottom w:val="single" w:color="auto" w:sz="12" w:space="0"/>
            </w:tcBorders>
            <w:vAlign w:val="center"/>
          </w:tcPr>
          <w:p w14:paraId="1C02B2EE">
            <w:pPr>
              <w:jc w:val="center"/>
              <w:rPr>
                <w:rFonts w:ascii="宋体" w:hAnsi="宋体"/>
                <w:color w:val="auto"/>
              </w:rPr>
            </w:pPr>
          </w:p>
        </w:tc>
        <w:tc>
          <w:tcPr>
            <w:tcW w:w="1782" w:type="pct"/>
            <w:vAlign w:val="center"/>
          </w:tcPr>
          <w:p w14:paraId="3A4E58B7">
            <w:pPr>
              <w:rPr>
                <w:rFonts w:ascii="宋体" w:hAnsi="宋体"/>
                <w:color w:val="auto"/>
              </w:rPr>
            </w:pPr>
          </w:p>
        </w:tc>
      </w:tr>
    </w:tbl>
    <w:p w14:paraId="20EABE7F">
      <w:pPr>
        <w:spacing w:line="600" w:lineRule="exact"/>
        <w:ind w:firstLine="570"/>
        <w:rPr>
          <w:rFonts w:ascii="宋体" w:hAnsi="宋体"/>
          <w:color w:val="auto"/>
          <w:sz w:val="28"/>
          <w:szCs w:val="28"/>
        </w:rPr>
      </w:pPr>
      <w:r>
        <w:rPr>
          <w:rFonts w:hint="eastAsia" w:ascii="宋体" w:hAnsi="宋体"/>
          <w:color w:val="auto"/>
          <w:sz w:val="28"/>
          <w:szCs w:val="28"/>
        </w:rPr>
        <w:t>②</w:t>
      </w:r>
      <w:r>
        <w:rPr>
          <w:rFonts w:ascii="宋体" w:hAnsi="宋体"/>
          <w:color w:val="auto"/>
          <w:sz w:val="28"/>
          <w:szCs w:val="28"/>
        </w:rPr>
        <w:t>人员暴露于危险环境的频繁程度（E）</w:t>
      </w:r>
    </w:p>
    <w:p w14:paraId="41EA4402">
      <w:pPr>
        <w:spacing w:line="600" w:lineRule="exact"/>
        <w:ind w:firstLine="570"/>
        <w:rPr>
          <w:rFonts w:ascii="宋体" w:hAnsi="宋体"/>
          <w:color w:val="auto"/>
          <w:sz w:val="28"/>
          <w:szCs w:val="28"/>
        </w:rPr>
      </w:pPr>
      <w:r>
        <w:rPr>
          <w:rFonts w:ascii="宋体" w:hAnsi="宋体"/>
          <w:color w:val="auto"/>
          <w:sz w:val="28"/>
          <w:szCs w:val="28"/>
        </w:rPr>
        <w:t>人员暴露于危险环境中的时间越多，受到伤害的可能性越大，相应的危险性也越大。规定人员连续出现在危险环境的情况分值为10，而非常罕见地出现在危险环境中的情况分值为0.5，介于两者之间的各种情况规定若干个中间值。见表4</w:t>
      </w:r>
      <w:r>
        <w:rPr>
          <w:rFonts w:hint="eastAsia" w:ascii="宋体" w:hAnsi="宋体"/>
          <w:color w:val="auto"/>
          <w:sz w:val="28"/>
          <w:szCs w:val="28"/>
        </w:rPr>
        <w:t>.2-2</w:t>
      </w:r>
      <w:r>
        <w:rPr>
          <w:rFonts w:ascii="宋体" w:hAnsi="宋体"/>
          <w:color w:val="auto"/>
          <w:sz w:val="28"/>
          <w:szCs w:val="28"/>
        </w:rPr>
        <w:t>。</w:t>
      </w:r>
    </w:p>
    <w:p w14:paraId="3B6EB7E7">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.2-2</w:t>
      </w:r>
      <w:r>
        <w:rPr>
          <w:rFonts w:ascii="宋体" w:hAnsi="宋体"/>
          <w:color w:val="auto"/>
          <w:sz w:val="28"/>
          <w:szCs w:val="28"/>
        </w:rPr>
        <w:t xml:space="preserve">  人员暴露于危险环境的频繁程度（E）</w:t>
      </w:r>
    </w:p>
    <w:tbl>
      <w:tblPr>
        <w:tblStyle w:val="25"/>
        <w:tblW w:w="498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75"/>
        <w:gridCol w:w="3652"/>
        <w:gridCol w:w="976"/>
        <w:gridCol w:w="3652"/>
      </w:tblGrid>
      <w:tr w14:paraId="17A5CF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3" w:hRule="atLeast"/>
          <w:tblHeader/>
          <w:jc w:val="center"/>
        </w:trPr>
        <w:tc>
          <w:tcPr>
            <w:tcW w:w="527" w:type="pct"/>
            <w:vAlign w:val="center"/>
          </w:tcPr>
          <w:p w14:paraId="1E673C65">
            <w:pPr>
              <w:jc w:val="center"/>
              <w:rPr>
                <w:rFonts w:ascii="宋体" w:hAnsi="宋体"/>
                <w:b/>
                <w:color w:val="auto"/>
              </w:rPr>
            </w:pPr>
            <w:r>
              <w:rPr>
                <w:rFonts w:hint="eastAsia" w:ascii="宋体" w:hAnsi="宋体"/>
                <w:b/>
                <w:color w:val="auto"/>
              </w:rPr>
              <w:t>分数值</w:t>
            </w:r>
          </w:p>
        </w:tc>
        <w:tc>
          <w:tcPr>
            <w:tcW w:w="1972" w:type="pct"/>
            <w:tcBorders>
              <w:top w:val="single" w:color="auto" w:sz="12" w:space="0"/>
              <w:bottom w:val="single" w:color="auto" w:sz="6" w:space="0"/>
              <w:right w:val="double" w:color="auto" w:sz="4" w:space="0"/>
            </w:tcBorders>
            <w:vAlign w:val="center"/>
          </w:tcPr>
          <w:p w14:paraId="3A6CCD45">
            <w:pPr>
              <w:jc w:val="center"/>
              <w:rPr>
                <w:rFonts w:ascii="宋体" w:hAnsi="宋体"/>
                <w:b/>
                <w:color w:val="auto"/>
              </w:rPr>
            </w:pPr>
            <w:r>
              <w:rPr>
                <w:rFonts w:hint="eastAsia" w:ascii="宋体" w:hAnsi="宋体"/>
                <w:b/>
                <w:color w:val="auto"/>
              </w:rPr>
              <w:t>人员暴露于危险环境的频繁程度</w:t>
            </w:r>
          </w:p>
        </w:tc>
        <w:tc>
          <w:tcPr>
            <w:tcW w:w="527" w:type="pct"/>
            <w:tcBorders>
              <w:top w:val="single" w:color="auto" w:sz="12" w:space="0"/>
              <w:left w:val="double" w:color="auto" w:sz="4" w:space="0"/>
              <w:bottom w:val="single" w:color="auto" w:sz="6" w:space="0"/>
            </w:tcBorders>
            <w:vAlign w:val="center"/>
          </w:tcPr>
          <w:p w14:paraId="2A011FD4">
            <w:pPr>
              <w:jc w:val="center"/>
              <w:rPr>
                <w:rFonts w:ascii="宋体" w:hAnsi="宋体"/>
                <w:b/>
                <w:color w:val="auto"/>
              </w:rPr>
            </w:pPr>
            <w:r>
              <w:rPr>
                <w:rFonts w:hint="eastAsia" w:ascii="宋体" w:hAnsi="宋体"/>
                <w:b/>
                <w:color w:val="auto"/>
              </w:rPr>
              <w:t>分数值</w:t>
            </w:r>
          </w:p>
        </w:tc>
        <w:tc>
          <w:tcPr>
            <w:tcW w:w="1972" w:type="pct"/>
            <w:vAlign w:val="center"/>
          </w:tcPr>
          <w:p w14:paraId="08348435">
            <w:pPr>
              <w:jc w:val="center"/>
              <w:rPr>
                <w:rFonts w:ascii="宋体" w:hAnsi="宋体"/>
                <w:b/>
                <w:color w:val="auto"/>
              </w:rPr>
            </w:pPr>
            <w:r>
              <w:rPr>
                <w:rFonts w:hint="eastAsia" w:ascii="宋体" w:hAnsi="宋体"/>
                <w:b/>
                <w:color w:val="auto"/>
              </w:rPr>
              <w:t>人员暴露于危险环境的频繁程度</w:t>
            </w:r>
          </w:p>
        </w:tc>
      </w:tr>
      <w:tr w14:paraId="3EA386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527" w:type="pct"/>
            <w:vAlign w:val="center"/>
          </w:tcPr>
          <w:p w14:paraId="450448F5">
            <w:pPr>
              <w:jc w:val="center"/>
              <w:rPr>
                <w:rFonts w:ascii="宋体" w:hAnsi="宋体"/>
                <w:color w:val="auto"/>
              </w:rPr>
            </w:pPr>
            <w:r>
              <w:rPr>
                <w:rFonts w:ascii="宋体" w:hAnsi="宋体"/>
                <w:color w:val="auto"/>
              </w:rPr>
              <w:t>10</w:t>
            </w:r>
          </w:p>
        </w:tc>
        <w:tc>
          <w:tcPr>
            <w:tcW w:w="1972" w:type="pct"/>
            <w:tcBorders>
              <w:top w:val="single" w:color="auto" w:sz="6" w:space="0"/>
              <w:bottom w:val="single" w:color="auto" w:sz="6" w:space="0"/>
              <w:right w:val="double" w:color="auto" w:sz="4" w:space="0"/>
            </w:tcBorders>
            <w:vAlign w:val="center"/>
          </w:tcPr>
          <w:p w14:paraId="540C1ACF">
            <w:pPr>
              <w:rPr>
                <w:rFonts w:ascii="宋体" w:hAnsi="宋体"/>
                <w:color w:val="auto"/>
              </w:rPr>
            </w:pPr>
            <w:r>
              <w:rPr>
                <w:rFonts w:hint="eastAsia" w:ascii="宋体" w:hAnsi="宋体"/>
                <w:color w:val="auto"/>
              </w:rPr>
              <w:t>连续暴露</w:t>
            </w:r>
          </w:p>
        </w:tc>
        <w:tc>
          <w:tcPr>
            <w:tcW w:w="527" w:type="pct"/>
            <w:tcBorders>
              <w:top w:val="single" w:color="auto" w:sz="6" w:space="0"/>
              <w:left w:val="double" w:color="auto" w:sz="4" w:space="0"/>
              <w:bottom w:val="single" w:color="auto" w:sz="6" w:space="0"/>
            </w:tcBorders>
            <w:vAlign w:val="center"/>
          </w:tcPr>
          <w:p w14:paraId="610A7256">
            <w:pPr>
              <w:jc w:val="center"/>
              <w:rPr>
                <w:rFonts w:ascii="宋体" w:hAnsi="宋体"/>
                <w:color w:val="auto"/>
              </w:rPr>
            </w:pPr>
            <w:r>
              <w:rPr>
                <w:rFonts w:ascii="宋体" w:hAnsi="宋体"/>
                <w:color w:val="auto"/>
              </w:rPr>
              <w:t>2</w:t>
            </w:r>
          </w:p>
        </w:tc>
        <w:tc>
          <w:tcPr>
            <w:tcW w:w="1972" w:type="pct"/>
            <w:vAlign w:val="center"/>
          </w:tcPr>
          <w:p w14:paraId="3315D425">
            <w:pPr>
              <w:rPr>
                <w:rFonts w:ascii="宋体" w:hAnsi="宋体"/>
                <w:color w:val="auto"/>
              </w:rPr>
            </w:pPr>
            <w:r>
              <w:rPr>
                <w:rFonts w:hint="eastAsia" w:ascii="宋体" w:hAnsi="宋体"/>
                <w:color w:val="auto"/>
              </w:rPr>
              <w:t>每月一次暴露</w:t>
            </w:r>
          </w:p>
        </w:tc>
      </w:tr>
      <w:tr w14:paraId="707DD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527" w:type="pct"/>
            <w:vAlign w:val="center"/>
          </w:tcPr>
          <w:p w14:paraId="38E960D0">
            <w:pPr>
              <w:jc w:val="center"/>
              <w:rPr>
                <w:rFonts w:ascii="宋体" w:hAnsi="宋体"/>
                <w:color w:val="auto"/>
              </w:rPr>
            </w:pPr>
            <w:r>
              <w:rPr>
                <w:rFonts w:ascii="宋体" w:hAnsi="宋体"/>
                <w:color w:val="auto"/>
              </w:rPr>
              <w:t>6</w:t>
            </w:r>
          </w:p>
        </w:tc>
        <w:tc>
          <w:tcPr>
            <w:tcW w:w="1972" w:type="pct"/>
            <w:tcBorders>
              <w:top w:val="single" w:color="auto" w:sz="6" w:space="0"/>
              <w:bottom w:val="single" w:color="auto" w:sz="6" w:space="0"/>
              <w:right w:val="double" w:color="auto" w:sz="4" w:space="0"/>
            </w:tcBorders>
            <w:vAlign w:val="center"/>
          </w:tcPr>
          <w:p w14:paraId="1C33FCE0">
            <w:pPr>
              <w:rPr>
                <w:rFonts w:ascii="宋体" w:hAnsi="宋体"/>
                <w:color w:val="auto"/>
              </w:rPr>
            </w:pPr>
            <w:r>
              <w:rPr>
                <w:rFonts w:hint="eastAsia" w:ascii="宋体" w:hAnsi="宋体"/>
                <w:color w:val="auto"/>
              </w:rPr>
              <w:t>每天工作时间暴露</w:t>
            </w:r>
          </w:p>
        </w:tc>
        <w:tc>
          <w:tcPr>
            <w:tcW w:w="527" w:type="pct"/>
            <w:tcBorders>
              <w:top w:val="single" w:color="auto" w:sz="6" w:space="0"/>
              <w:left w:val="double" w:color="auto" w:sz="4" w:space="0"/>
              <w:bottom w:val="single" w:color="auto" w:sz="6" w:space="0"/>
            </w:tcBorders>
            <w:vAlign w:val="center"/>
          </w:tcPr>
          <w:p w14:paraId="1BF2404B">
            <w:pPr>
              <w:jc w:val="center"/>
              <w:rPr>
                <w:rFonts w:ascii="宋体" w:hAnsi="宋体"/>
                <w:color w:val="auto"/>
              </w:rPr>
            </w:pPr>
            <w:r>
              <w:rPr>
                <w:rFonts w:ascii="宋体" w:hAnsi="宋体"/>
                <w:color w:val="auto"/>
              </w:rPr>
              <w:t>1</w:t>
            </w:r>
          </w:p>
        </w:tc>
        <w:tc>
          <w:tcPr>
            <w:tcW w:w="1972" w:type="pct"/>
            <w:vAlign w:val="center"/>
          </w:tcPr>
          <w:p w14:paraId="784F19ED">
            <w:pPr>
              <w:rPr>
                <w:rFonts w:ascii="宋体" w:hAnsi="宋体"/>
                <w:color w:val="auto"/>
              </w:rPr>
            </w:pPr>
            <w:r>
              <w:rPr>
                <w:rFonts w:hint="eastAsia" w:ascii="宋体" w:hAnsi="宋体"/>
                <w:color w:val="auto"/>
              </w:rPr>
              <w:t>每年几次暴露</w:t>
            </w:r>
          </w:p>
        </w:tc>
      </w:tr>
      <w:tr w14:paraId="44708E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jc w:val="center"/>
        </w:trPr>
        <w:tc>
          <w:tcPr>
            <w:tcW w:w="527" w:type="pct"/>
            <w:vAlign w:val="center"/>
          </w:tcPr>
          <w:p w14:paraId="70BD3437">
            <w:pPr>
              <w:jc w:val="center"/>
              <w:rPr>
                <w:rFonts w:ascii="宋体" w:hAnsi="宋体"/>
                <w:color w:val="auto"/>
              </w:rPr>
            </w:pPr>
            <w:r>
              <w:rPr>
                <w:rFonts w:ascii="宋体" w:hAnsi="宋体"/>
                <w:color w:val="auto"/>
              </w:rPr>
              <w:t>3</w:t>
            </w:r>
          </w:p>
        </w:tc>
        <w:tc>
          <w:tcPr>
            <w:tcW w:w="1972" w:type="pct"/>
            <w:tcBorders>
              <w:top w:val="single" w:color="auto" w:sz="6" w:space="0"/>
              <w:bottom w:val="single" w:color="auto" w:sz="12" w:space="0"/>
              <w:right w:val="double" w:color="auto" w:sz="4" w:space="0"/>
            </w:tcBorders>
            <w:vAlign w:val="center"/>
          </w:tcPr>
          <w:p w14:paraId="56EAF35D">
            <w:pPr>
              <w:rPr>
                <w:rFonts w:ascii="宋体" w:hAnsi="宋体"/>
                <w:color w:val="auto"/>
              </w:rPr>
            </w:pPr>
            <w:r>
              <w:rPr>
                <w:rFonts w:hint="eastAsia" w:ascii="宋体" w:hAnsi="宋体"/>
                <w:color w:val="auto"/>
              </w:rPr>
              <w:t>每周一次，或偶然暴露</w:t>
            </w:r>
          </w:p>
        </w:tc>
        <w:tc>
          <w:tcPr>
            <w:tcW w:w="527" w:type="pct"/>
            <w:tcBorders>
              <w:top w:val="single" w:color="auto" w:sz="6" w:space="0"/>
              <w:left w:val="double" w:color="auto" w:sz="4" w:space="0"/>
              <w:bottom w:val="single" w:color="auto" w:sz="12" w:space="0"/>
            </w:tcBorders>
            <w:vAlign w:val="center"/>
          </w:tcPr>
          <w:p w14:paraId="7CD0F941">
            <w:pPr>
              <w:jc w:val="center"/>
              <w:rPr>
                <w:rFonts w:ascii="宋体" w:hAnsi="宋体"/>
                <w:color w:val="auto"/>
              </w:rPr>
            </w:pPr>
            <w:r>
              <w:rPr>
                <w:rFonts w:ascii="宋体" w:hAnsi="宋体"/>
                <w:color w:val="auto"/>
              </w:rPr>
              <w:t>0.5</w:t>
            </w:r>
          </w:p>
        </w:tc>
        <w:tc>
          <w:tcPr>
            <w:tcW w:w="1972" w:type="pct"/>
            <w:vAlign w:val="center"/>
          </w:tcPr>
          <w:p w14:paraId="08F3BCB2">
            <w:pPr>
              <w:rPr>
                <w:rFonts w:ascii="宋体" w:hAnsi="宋体"/>
                <w:color w:val="auto"/>
              </w:rPr>
            </w:pPr>
            <w:r>
              <w:rPr>
                <w:rFonts w:hint="eastAsia" w:ascii="宋体" w:hAnsi="宋体"/>
                <w:color w:val="auto"/>
              </w:rPr>
              <w:t>非常罕见的暴露</w:t>
            </w:r>
          </w:p>
        </w:tc>
      </w:tr>
    </w:tbl>
    <w:p w14:paraId="6502B333">
      <w:pPr>
        <w:spacing w:line="600" w:lineRule="exact"/>
        <w:ind w:firstLine="570"/>
        <w:rPr>
          <w:rFonts w:ascii="宋体" w:hAnsi="宋体"/>
          <w:color w:val="auto"/>
          <w:sz w:val="28"/>
          <w:szCs w:val="28"/>
        </w:rPr>
      </w:pPr>
      <w:r>
        <w:rPr>
          <w:rFonts w:hint="eastAsia" w:ascii="宋体" w:hAnsi="宋体"/>
          <w:color w:val="auto"/>
          <w:sz w:val="28"/>
          <w:szCs w:val="28"/>
        </w:rPr>
        <w:t>③</w:t>
      </w:r>
      <w:r>
        <w:rPr>
          <w:rFonts w:ascii="宋体" w:hAnsi="宋体"/>
          <w:color w:val="auto"/>
          <w:sz w:val="28"/>
          <w:szCs w:val="28"/>
        </w:rPr>
        <w:t>发生事故可能造成的后果（C）</w:t>
      </w:r>
    </w:p>
    <w:p w14:paraId="5DAE1F4F">
      <w:pPr>
        <w:spacing w:line="600" w:lineRule="exact"/>
        <w:ind w:firstLine="570"/>
        <w:rPr>
          <w:rFonts w:ascii="宋体" w:hAnsi="宋体"/>
          <w:color w:val="auto"/>
          <w:sz w:val="28"/>
          <w:szCs w:val="28"/>
        </w:rPr>
      </w:pPr>
      <w:r>
        <w:rPr>
          <w:rFonts w:ascii="宋体" w:hAnsi="宋体"/>
          <w:color w:val="auto"/>
          <w:sz w:val="28"/>
          <w:szCs w:val="28"/>
        </w:rPr>
        <w:t>事故造成的人员伤亡和财产损失的范围变化很大，所以规定分数值为1</w:t>
      </w:r>
      <w:r>
        <w:rPr>
          <w:rFonts w:hint="eastAsia" w:ascii="宋体" w:hAnsi="宋体"/>
          <w:color w:val="auto"/>
          <w:sz w:val="28"/>
          <w:szCs w:val="28"/>
        </w:rPr>
        <w:t>～</w:t>
      </w:r>
      <w:r>
        <w:rPr>
          <w:rFonts w:ascii="宋体" w:hAnsi="宋体"/>
          <w:color w:val="auto"/>
          <w:sz w:val="28"/>
          <w:szCs w:val="28"/>
        </w:rPr>
        <w:t>100。把需要治疗的轻微伤害或较小财产损失的分数值规定为1，造成多人死亡或重大财产损失的分数值规定为100，介于两者之间的情况规定若干个中间值。见表4</w:t>
      </w:r>
      <w:r>
        <w:rPr>
          <w:rFonts w:hint="eastAsia" w:ascii="宋体" w:hAnsi="宋体"/>
          <w:color w:val="auto"/>
          <w:sz w:val="28"/>
          <w:szCs w:val="28"/>
        </w:rPr>
        <w:t>.2-3</w:t>
      </w:r>
      <w:r>
        <w:rPr>
          <w:rFonts w:ascii="宋体" w:hAnsi="宋体"/>
          <w:color w:val="auto"/>
          <w:sz w:val="28"/>
          <w:szCs w:val="28"/>
        </w:rPr>
        <w:t>。</w:t>
      </w:r>
    </w:p>
    <w:p w14:paraId="6356276A">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.2-3</w:t>
      </w:r>
      <w:r>
        <w:rPr>
          <w:rFonts w:ascii="宋体" w:hAnsi="宋体"/>
          <w:color w:val="auto"/>
          <w:sz w:val="28"/>
          <w:szCs w:val="28"/>
        </w:rPr>
        <w:t xml:space="preserve">  发生事故可能造成的后果（C）</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0"/>
        <w:gridCol w:w="3669"/>
        <w:gridCol w:w="866"/>
        <w:gridCol w:w="3646"/>
      </w:tblGrid>
      <w:tr w14:paraId="31570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890" w:type="dxa"/>
            <w:vAlign w:val="center"/>
          </w:tcPr>
          <w:p w14:paraId="22E42498">
            <w:pPr>
              <w:jc w:val="center"/>
              <w:rPr>
                <w:rFonts w:ascii="宋体" w:hAnsi="宋体"/>
                <w:b/>
                <w:color w:val="auto"/>
              </w:rPr>
            </w:pPr>
            <w:r>
              <w:rPr>
                <w:rFonts w:hint="eastAsia" w:ascii="宋体" w:hAnsi="宋体"/>
                <w:b/>
                <w:color w:val="auto"/>
              </w:rPr>
              <w:t>分数值</w:t>
            </w:r>
          </w:p>
        </w:tc>
        <w:tc>
          <w:tcPr>
            <w:tcW w:w="3669" w:type="dxa"/>
            <w:tcBorders>
              <w:top w:val="single" w:color="auto" w:sz="12" w:space="0"/>
              <w:bottom w:val="single" w:color="auto" w:sz="6" w:space="0"/>
              <w:right w:val="double" w:color="auto" w:sz="4" w:space="0"/>
            </w:tcBorders>
            <w:vAlign w:val="center"/>
          </w:tcPr>
          <w:p w14:paraId="318DEED7">
            <w:pPr>
              <w:jc w:val="center"/>
              <w:rPr>
                <w:rFonts w:ascii="宋体" w:hAnsi="宋体"/>
                <w:b/>
                <w:color w:val="auto"/>
              </w:rPr>
            </w:pPr>
            <w:r>
              <w:rPr>
                <w:rFonts w:hint="eastAsia" w:ascii="宋体" w:hAnsi="宋体"/>
                <w:b/>
                <w:color w:val="auto"/>
              </w:rPr>
              <w:t>发生事故可能造成的后果</w:t>
            </w:r>
          </w:p>
        </w:tc>
        <w:tc>
          <w:tcPr>
            <w:tcW w:w="866" w:type="dxa"/>
            <w:tcBorders>
              <w:top w:val="single" w:color="auto" w:sz="12" w:space="0"/>
              <w:left w:val="double" w:color="auto" w:sz="4" w:space="0"/>
              <w:bottom w:val="single" w:color="auto" w:sz="6" w:space="0"/>
            </w:tcBorders>
            <w:vAlign w:val="center"/>
          </w:tcPr>
          <w:p w14:paraId="4C910099">
            <w:pPr>
              <w:jc w:val="center"/>
              <w:rPr>
                <w:rFonts w:ascii="宋体" w:hAnsi="宋体"/>
                <w:b/>
                <w:color w:val="auto"/>
              </w:rPr>
            </w:pPr>
            <w:r>
              <w:rPr>
                <w:rFonts w:hint="eastAsia" w:ascii="宋体" w:hAnsi="宋体"/>
                <w:b/>
                <w:color w:val="auto"/>
              </w:rPr>
              <w:t>分数值</w:t>
            </w:r>
          </w:p>
        </w:tc>
        <w:tc>
          <w:tcPr>
            <w:tcW w:w="3646" w:type="dxa"/>
            <w:vAlign w:val="center"/>
          </w:tcPr>
          <w:p w14:paraId="7FA30817">
            <w:pPr>
              <w:jc w:val="center"/>
              <w:rPr>
                <w:rFonts w:ascii="宋体" w:hAnsi="宋体"/>
                <w:b/>
                <w:color w:val="auto"/>
              </w:rPr>
            </w:pPr>
            <w:r>
              <w:rPr>
                <w:rFonts w:hint="eastAsia" w:ascii="宋体" w:hAnsi="宋体"/>
                <w:b/>
                <w:color w:val="auto"/>
              </w:rPr>
              <w:t>发生事故可能造成的后果</w:t>
            </w:r>
          </w:p>
        </w:tc>
      </w:tr>
      <w:tr w14:paraId="4C2E2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90" w:type="dxa"/>
            <w:vAlign w:val="center"/>
          </w:tcPr>
          <w:p w14:paraId="17CF6CCB">
            <w:pPr>
              <w:jc w:val="center"/>
              <w:rPr>
                <w:rFonts w:ascii="宋体" w:hAnsi="宋体"/>
                <w:color w:val="auto"/>
              </w:rPr>
            </w:pPr>
            <w:r>
              <w:rPr>
                <w:rFonts w:ascii="宋体" w:hAnsi="宋体"/>
                <w:color w:val="auto"/>
              </w:rPr>
              <w:t>100</w:t>
            </w:r>
          </w:p>
        </w:tc>
        <w:tc>
          <w:tcPr>
            <w:tcW w:w="3669" w:type="dxa"/>
            <w:tcBorders>
              <w:top w:val="single" w:color="auto" w:sz="6" w:space="0"/>
              <w:bottom w:val="single" w:color="auto" w:sz="6" w:space="0"/>
              <w:right w:val="double" w:color="auto" w:sz="4" w:space="0"/>
            </w:tcBorders>
            <w:vAlign w:val="center"/>
          </w:tcPr>
          <w:p w14:paraId="22042561">
            <w:pPr>
              <w:rPr>
                <w:rFonts w:ascii="宋体" w:hAnsi="宋体"/>
                <w:color w:val="auto"/>
              </w:rPr>
            </w:pPr>
            <w:r>
              <w:rPr>
                <w:rFonts w:hint="eastAsia" w:ascii="宋体" w:hAnsi="宋体"/>
                <w:color w:val="auto"/>
              </w:rPr>
              <w:t>大灾难，多人死亡或重大财产损失</w:t>
            </w:r>
          </w:p>
        </w:tc>
        <w:tc>
          <w:tcPr>
            <w:tcW w:w="866" w:type="dxa"/>
            <w:tcBorders>
              <w:top w:val="single" w:color="auto" w:sz="6" w:space="0"/>
              <w:left w:val="double" w:color="auto" w:sz="4" w:space="0"/>
              <w:bottom w:val="single" w:color="auto" w:sz="6" w:space="0"/>
            </w:tcBorders>
            <w:vAlign w:val="center"/>
          </w:tcPr>
          <w:p w14:paraId="75CF41D0">
            <w:pPr>
              <w:jc w:val="center"/>
              <w:rPr>
                <w:rFonts w:ascii="宋体" w:hAnsi="宋体"/>
                <w:color w:val="auto"/>
              </w:rPr>
            </w:pPr>
            <w:r>
              <w:rPr>
                <w:rFonts w:ascii="宋体" w:hAnsi="宋体"/>
                <w:color w:val="auto"/>
              </w:rPr>
              <w:t>7</w:t>
            </w:r>
          </w:p>
        </w:tc>
        <w:tc>
          <w:tcPr>
            <w:tcW w:w="3646" w:type="dxa"/>
            <w:vAlign w:val="center"/>
          </w:tcPr>
          <w:p w14:paraId="6C4EB762">
            <w:pPr>
              <w:rPr>
                <w:rFonts w:ascii="宋体" w:hAnsi="宋体"/>
                <w:color w:val="auto"/>
              </w:rPr>
            </w:pPr>
            <w:r>
              <w:rPr>
                <w:rFonts w:hint="eastAsia" w:ascii="宋体" w:hAnsi="宋体"/>
                <w:color w:val="auto"/>
              </w:rPr>
              <w:t>严重，重伤或较小的财产损失</w:t>
            </w:r>
          </w:p>
        </w:tc>
      </w:tr>
      <w:tr w14:paraId="1989A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90" w:type="dxa"/>
            <w:vAlign w:val="center"/>
          </w:tcPr>
          <w:p w14:paraId="45979B93">
            <w:pPr>
              <w:jc w:val="center"/>
              <w:rPr>
                <w:rFonts w:ascii="宋体" w:hAnsi="宋体"/>
                <w:color w:val="auto"/>
              </w:rPr>
            </w:pPr>
            <w:r>
              <w:rPr>
                <w:rFonts w:ascii="宋体" w:hAnsi="宋体"/>
                <w:color w:val="auto"/>
              </w:rPr>
              <w:t>40</w:t>
            </w:r>
          </w:p>
        </w:tc>
        <w:tc>
          <w:tcPr>
            <w:tcW w:w="3669" w:type="dxa"/>
            <w:tcBorders>
              <w:top w:val="single" w:color="auto" w:sz="6" w:space="0"/>
              <w:bottom w:val="single" w:color="auto" w:sz="6" w:space="0"/>
              <w:right w:val="double" w:color="auto" w:sz="4" w:space="0"/>
            </w:tcBorders>
            <w:vAlign w:val="center"/>
          </w:tcPr>
          <w:p w14:paraId="3829F992">
            <w:pPr>
              <w:rPr>
                <w:rFonts w:ascii="宋体" w:hAnsi="宋体"/>
                <w:color w:val="auto"/>
              </w:rPr>
            </w:pPr>
            <w:r>
              <w:rPr>
                <w:rFonts w:hint="eastAsia" w:ascii="宋体" w:hAnsi="宋体"/>
                <w:color w:val="auto"/>
              </w:rPr>
              <w:t>灾难，数人死亡或很大财产损失</w:t>
            </w:r>
          </w:p>
        </w:tc>
        <w:tc>
          <w:tcPr>
            <w:tcW w:w="866" w:type="dxa"/>
            <w:tcBorders>
              <w:top w:val="single" w:color="auto" w:sz="6" w:space="0"/>
              <w:left w:val="double" w:color="auto" w:sz="4" w:space="0"/>
              <w:bottom w:val="single" w:color="auto" w:sz="6" w:space="0"/>
            </w:tcBorders>
            <w:vAlign w:val="center"/>
          </w:tcPr>
          <w:p w14:paraId="6540A099">
            <w:pPr>
              <w:jc w:val="center"/>
              <w:rPr>
                <w:rFonts w:ascii="宋体" w:hAnsi="宋体"/>
                <w:color w:val="auto"/>
              </w:rPr>
            </w:pPr>
            <w:r>
              <w:rPr>
                <w:rFonts w:ascii="宋体" w:hAnsi="宋体"/>
                <w:color w:val="auto"/>
              </w:rPr>
              <w:t>3</w:t>
            </w:r>
          </w:p>
        </w:tc>
        <w:tc>
          <w:tcPr>
            <w:tcW w:w="3646" w:type="dxa"/>
            <w:vAlign w:val="center"/>
          </w:tcPr>
          <w:p w14:paraId="22218CF3">
            <w:pPr>
              <w:rPr>
                <w:rFonts w:ascii="宋体" w:hAnsi="宋体"/>
                <w:color w:val="auto"/>
              </w:rPr>
            </w:pPr>
            <w:r>
              <w:rPr>
                <w:rFonts w:hint="eastAsia" w:ascii="宋体" w:hAnsi="宋体"/>
                <w:color w:val="auto"/>
              </w:rPr>
              <w:t>重大，致残或很小的财产损失</w:t>
            </w:r>
          </w:p>
        </w:tc>
      </w:tr>
      <w:tr w14:paraId="37DB1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90" w:type="dxa"/>
            <w:vAlign w:val="center"/>
          </w:tcPr>
          <w:p w14:paraId="2BF3E93C">
            <w:pPr>
              <w:jc w:val="center"/>
              <w:rPr>
                <w:rFonts w:ascii="宋体" w:hAnsi="宋体"/>
                <w:color w:val="auto"/>
              </w:rPr>
            </w:pPr>
            <w:r>
              <w:rPr>
                <w:rFonts w:ascii="宋体" w:hAnsi="宋体"/>
                <w:color w:val="auto"/>
              </w:rPr>
              <w:t>15</w:t>
            </w:r>
          </w:p>
        </w:tc>
        <w:tc>
          <w:tcPr>
            <w:tcW w:w="3669" w:type="dxa"/>
            <w:tcBorders>
              <w:top w:val="single" w:color="auto" w:sz="6" w:space="0"/>
              <w:bottom w:val="single" w:color="auto" w:sz="12" w:space="0"/>
              <w:right w:val="double" w:color="auto" w:sz="4" w:space="0"/>
            </w:tcBorders>
            <w:vAlign w:val="center"/>
          </w:tcPr>
          <w:p w14:paraId="631CDA4E">
            <w:pPr>
              <w:rPr>
                <w:rFonts w:ascii="宋体" w:hAnsi="宋体"/>
                <w:color w:val="auto"/>
              </w:rPr>
            </w:pPr>
            <w:r>
              <w:rPr>
                <w:rFonts w:hint="eastAsia" w:ascii="宋体" w:hAnsi="宋体"/>
                <w:color w:val="auto"/>
              </w:rPr>
              <w:t>非常严重，一人死亡或一定的财产损失</w:t>
            </w:r>
          </w:p>
        </w:tc>
        <w:tc>
          <w:tcPr>
            <w:tcW w:w="866" w:type="dxa"/>
            <w:tcBorders>
              <w:top w:val="single" w:color="auto" w:sz="6" w:space="0"/>
              <w:left w:val="double" w:color="auto" w:sz="4" w:space="0"/>
              <w:bottom w:val="single" w:color="auto" w:sz="12" w:space="0"/>
            </w:tcBorders>
            <w:vAlign w:val="center"/>
          </w:tcPr>
          <w:p w14:paraId="58CB6979">
            <w:pPr>
              <w:jc w:val="center"/>
              <w:rPr>
                <w:rFonts w:ascii="宋体" w:hAnsi="宋体"/>
                <w:color w:val="auto"/>
              </w:rPr>
            </w:pPr>
            <w:r>
              <w:rPr>
                <w:rFonts w:ascii="宋体" w:hAnsi="宋体"/>
                <w:color w:val="auto"/>
              </w:rPr>
              <w:t>1</w:t>
            </w:r>
          </w:p>
        </w:tc>
        <w:tc>
          <w:tcPr>
            <w:tcW w:w="3646" w:type="dxa"/>
            <w:vAlign w:val="center"/>
          </w:tcPr>
          <w:p w14:paraId="4F72527B">
            <w:pPr>
              <w:rPr>
                <w:rFonts w:ascii="宋体" w:hAnsi="宋体"/>
                <w:color w:val="auto"/>
              </w:rPr>
            </w:pPr>
            <w:r>
              <w:rPr>
                <w:rFonts w:hint="eastAsia" w:ascii="宋体" w:hAnsi="宋体"/>
                <w:color w:val="auto"/>
              </w:rPr>
              <w:t>引人注目，不利于基本的安全卫生要求</w:t>
            </w:r>
          </w:p>
        </w:tc>
      </w:tr>
    </w:tbl>
    <w:p w14:paraId="4B02EF7E">
      <w:pPr>
        <w:spacing w:line="600" w:lineRule="exact"/>
        <w:ind w:firstLine="570"/>
        <w:rPr>
          <w:rFonts w:ascii="宋体" w:hAnsi="宋体"/>
          <w:color w:val="auto"/>
          <w:sz w:val="28"/>
          <w:szCs w:val="28"/>
        </w:rPr>
      </w:pPr>
      <w:r>
        <w:rPr>
          <w:rFonts w:hint="eastAsia" w:ascii="宋体" w:hAnsi="宋体"/>
          <w:color w:val="auto"/>
          <w:sz w:val="28"/>
          <w:szCs w:val="28"/>
        </w:rPr>
        <w:t>（4）</w:t>
      </w:r>
      <w:r>
        <w:rPr>
          <w:rFonts w:ascii="宋体" w:hAnsi="宋体"/>
          <w:color w:val="auto"/>
          <w:sz w:val="28"/>
          <w:szCs w:val="28"/>
        </w:rPr>
        <w:t>危险等级划分标准</w:t>
      </w:r>
    </w:p>
    <w:p w14:paraId="4AC701E2">
      <w:pPr>
        <w:spacing w:line="600" w:lineRule="exact"/>
        <w:ind w:firstLine="570"/>
        <w:rPr>
          <w:rFonts w:ascii="宋体" w:hAnsi="宋体"/>
          <w:color w:val="auto"/>
          <w:sz w:val="28"/>
          <w:szCs w:val="28"/>
        </w:rPr>
      </w:pPr>
      <w:r>
        <w:rPr>
          <w:rFonts w:ascii="宋体" w:hAnsi="宋体"/>
          <w:color w:val="auto"/>
          <w:sz w:val="28"/>
          <w:szCs w:val="28"/>
        </w:rPr>
        <w:t>根据经验，危险性分值在20分以下为低危险性，这样的危险比日常生活中骑自行车去上班还要安全些；如果危险性分值在20</w:t>
      </w:r>
      <w:r>
        <w:rPr>
          <w:rFonts w:hint="eastAsia" w:ascii="宋体" w:hAnsi="宋体"/>
          <w:color w:val="auto"/>
          <w:sz w:val="28"/>
          <w:szCs w:val="28"/>
        </w:rPr>
        <w:t>～</w:t>
      </w:r>
      <w:r>
        <w:rPr>
          <w:rFonts w:ascii="宋体" w:hAnsi="宋体"/>
          <w:color w:val="auto"/>
          <w:sz w:val="28"/>
          <w:szCs w:val="28"/>
        </w:rPr>
        <w:t>70之间，为</w:t>
      </w:r>
      <w:r>
        <w:rPr>
          <w:rFonts w:hint="eastAsia" w:ascii="宋体" w:hAnsi="宋体"/>
          <w:color w:val="auto"/>
          <w:sz w:val="28"/>
          <w:szCs w:val="28"/>
          <w:lang w:eastAsia="zh-CN"/>
        </w:rPr>
        <w:t>一般</w:t>
      </w:r>
      <w:r>
        <w:rPr>
          <w:rFonts w:ascii="宋体" w:hAnsi="宋体"/>
          <w:color w:val="auto"/>
          <w:sz w:val="28"/>
          <w:szCs w:val="28"/>
        </w:rPr>
        <w:t>危险，需要注意；如果危险性分值在70</w:t>
      </w:r>
      <w:r>
        <w:rPr>
          <w:rFonts w:hint="eastAsia" w:ascii="宋体" w:hAnsi="宋体"/>
          <w:color w:val="auto"/>
          <w:sz w:val="28"/>
          <w:szCs w:val="28"/>
        </w:rPr>
        <w:t>～</w:t>
      </w:r>
      <w:r>
        <w:rPr>
          <w:rFonts w:ascii="宋体" w:hAnsi="宋体"/>
          <w:color w:val="auto"/>
          <w:sz w:val="28"/>
          <w:szCs w:val="28"/>
        </w:rPr>
        <w:t>160之间，有显著的危险性，需要采取措施整改；如果危险性分值在160</w:t>
      </w:r>
      <w:r>
        <w:rPr>
          <w:rFonts w:hint="eastAsia" w:ascii="宋体" w:hAnsi="宋体"/>
          <w:color w:val="auto"/>
          <w:sz w:val="28"/>
          <w:szCs w:val="28"/>
        </w:rPr>
        <w:t>～</w:t>
      </w:r>
      <w:r>
        <w:rPr>
          <w:rFonts w:ascii="宋体" w:hAnsi="宋体"/>
          <w:color w:val="auto"/>
          <w:sz w:val="28"/>
          <w:szCs w:val="28"/>
        </w:rPr>
        <w:t>320之间，有高度危险性，必须立即整改；如果危险性分值大于320，极度危险，应立即停止作业，彻底整改。按危险性分值划分危险性等级的标准见表4</w:t>
      </w:r>
      <w:r>
        <w:rPr>
          <w:rFonts w:hint="eastAsia" w:ascii="宋体" w:hAnsi="宋体"/>
          <w:color w:val="auto"/>
          <w:sz w:val="28"/>
          <w:szCs w:val="28"/>
        </w:rPr>
        <w:t>.2-4</w:t>
      </w:r>
      <w:r>
        <w:rPr>
          <w:rFonts w:ascii="宋体" w:hAnsi="宋体"/>
          <w:color w:val="auto"/>
          <w:sz w:val="28"/>
          <w:szCs w:val="28"/>
        </w:rPr>
        <w:t>。</w:t>
      </w:r>
    </w:p>
    <w:p w14:paraId="32801227">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.2-4</w:t>
      </w:r>
      <w:r>
        <w:rPr>
          <w:rFonts w:ascii="宋体" w:hAnsi="宋体"/>
          <w:color w:val="auto"/>
          <w:sz w:val="28"/>
          <w:szCs w:val="28"/>
        </w:rPr>
        <w:t xml:space="preserve">  危险性等级划分标准</w:t>
      </w:r>
    </w:p>
    <w:tbl>
      <w:tblPr>
        <w:tblStyle w:val="25"/>
        <w:tblW w:w="500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66"/>
        <w:gridCol w:w="3522"/>
        <w:gridCol w:w="1275"/>
        <w:gridCol w:w="2934"/>
      </w:tblGrid>
      <w:tr w14:paraId="6061B9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tblHeader/>
          <w:jc w:val="center"/>
        </w:trPr>
        <w:tc>
          <w:tcPr>
            <w:tcW w:w="842" w:type="pct"/>
            <w:vAlign w:val="center"/>
          </w:tcPr>
          <w:p w14:paraId="75696A42">
            <w:pPr>
              <w:jc w:val="center"/>
              <w:rPr>
                <w:rFonts w:ascii="宋体" w:hAnsi="宋体"/>
                <w:b/>
                <w:color w:val="auto"/>
              </w:rPr>
            </w:pPr>
            <w:r>
              <w:rPr>
                <w:rFonts w:ascii="宋体" w:hAnsi="宋体"/>
                <w:b/>
                <w:color w:val="auto"/>
              </w:rPr>
              <w:t>D</w:t>
            </w:r>
            <w:r>
              <w:rPr>
                <w:rFonts w:hint="eastAsia" w:ascii="宋体" w:hAnsi="宋体"/>
                <w:b/>
                <w:color w:val="auto"/>
              </w:rPr>
              <w:t>值</w:t>
            </w:r>
          </w:p>
        </w:tc>
        <w:tc>
          <w:tcPr>
            <w:tcW w:w="1893" w:type="pct"/>
            <w:tcBorders>
              <w:top w:val="single" w:color="auto" w:sz="12" w:space="0"/>
              <w:bottom w:val="single" w:color="auto" w:sz="6" w:space="0"/>
              <w:right w:val="double" w:color="auto" w:sz="4" w:space="0"/>
            </w:tcBorders>
            <w:vAlign w:val="center"/>
          </w:tcPr>
          <w:p w14:paraId="34300B90">
            <w:pPr>
              <w:jc w:val="center"/>
              <w:rPr>
                <w:rFonts w:ascii="宋体" w:hAnsi="宋体"/>
                <w:b/>
                <w:color w:val="auto"/>
              </w:rPr>
            </w:pPr>
            <w:r>
              <w:rPr>
                <w:rFonts w:hint="eastAsia" w:ascii="宋体" w:hAnsi="宋体"/>
                <w:b/>
                <w:color w:val="auto"/>
              </w:rPr>
              <w:t>危险程度</w:t>
            </w:r>
          </w:p>
        </w:tc>
        <w:tc>
          <w:tcPr>
            <w:tcW w:w="685" w:type="pct"/>
            <w:tcBorders>
              <w:top w:val="single" w:color="auto" w:sz="12" w:space="0"/>
              <w:left w:val="double" w:color="auto" w:sz="4" w:space="0"/>
              <w:bottom w:val="single" w:color="auto" w:sz="6" w:space="0"/>
            </w:tcBorders>
            <w:vAlign w:val="center"/>
          </w:tcPr>
          <w:p w14:paraId="681A623C">
            <w:pPr>
              <w:jc w:val="center"/>
              <w:rPr>
                <w:rFonts w:ascii="宋体" w:hAnsi="宋体"/>
                <w:b/>
                <w:color w:val="auto"/>
              </w:rPr>
            </w:pPr>
            <w:r>
              <w:rPr>
                <w:rFonts w:ascii="宋体" w:hAnsi="宋体"/>
                <w:b/>
                <w:color w:val="auto"/>
              </w:rPr>
              <w:t>D</w:t>
            </w:r>
            <w:r>
              <w:rPr>
                <w:rFonts w:hint="eastAsia" w:ascii="宋体" w:hAnsi="宋体"/>
                <w:b/>
                <w:color w:val="auto"/>
              </w:rPr>
              <w:t>值</w:t>
            </w:r>
          </w:p>
        </w:tc>
        <w:tc>
          <w:tcPr>
            <w:tcW w:w="1577" w:type="pct"/>
            <w:vAlign w:val="center"/>
          </w:tcPr>
          <w:p w14:paraId="354CE328">
            <w:pPr>
              <w:jc w:val="center"/>
              <w:rPr>
                <w:rFonts w:ascii="宋体" w:hAnsi="宋体"/>
                <w:b/>
                <w:color w:val="auto"/>
              </w:rPr>
            </w:pPr>
            <w:r>
              <w:rPr>
                <w:rFonts w:hint="eastAsia" w:ascii="宋体" w:hAnsi="宋体"/>
                <w:b/>
                <w:color w:val="auto"/>
              </w:rPr>
              <w:t>危险程度</w:t>
            </w:r>
          </w:p>
        </w:tc>
      </w:tr>
      <w:tr w14:paraId="7EA9F3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842" w:type="pct"/>
            <w:vAlign w:val="center"/>
          </w:tcPr>
          <w:p w14:paraId="0D3F1F21">
            <w:pPr>
              <w:jc w:val="center"/>
              <w:rPr>
                <w:rFonts w:ascii="宋体" w:hAnsi="宋体"/>
                <w:color w:val="auto"/>
              </w:rPr>
            </w:pPr>
            <w:r>
              <w:rPr>
                <w:rFonts w:ascii="宋体" w:hAnsi="宋体"/>
                <w:color w:val="auto"/>
              </w:rPr>
              <w:t>＞320</w:t>
            </w:r>
          </w:p>
        </w:tc>
        <w:tc>
          <w:tcPr>
            <w:tcW w:w="1893" w:type="pct"/>
            <w:tcBorders>
              <w:top w:val="single" w:color="auto" w:sz="6" w:space="0"/>
              <w:bottom w:val="single" w:color="auto" w:sz="6" w:space="0"/>
              <w:right w:val="double" w:color="auto" w:sz="4" w:space="0"/>
            </w:tcBorders>
            <w:vAlign w:val="center"/>
          </w:tcPr>
          <w:p w14:paraId="7F2C2A1C">
            <w:pPr>
              <w:rPr>
                <w:rFonts w:ascii="宋体" w:hAnsi="宋体"/>
                <w:color w:val="auto"/>
              </w:rPr>
            </w:pPr>
            <w:r>
              <w:rPr>
                <w:rFonts w:ascii="宋体" w:hAnsi="宋体"/>
                <w:color w:val="auto"/>
              </w:rPr>
              <w:t>极其危险，不能继续作业</w:t>
            </w:r>
          </w:p>
        </w:tc>
        <w:tc>
          <w:tcPr>
            <w:tcW w:w="685" w:type="pct"/>
            <w:tcBorders>
              <w:top w:val="single" w:color="auto" w:sz="6" w:space="0"/>
              <w:left w:val="double" w:color="auto" w:sz="4" w:space="0"/>
              <w:bottom w:val="single" w:color="auto" w:sz="6" w:space="0"/>
            </w:tcBorders>
            <w:vAlign w:val="center"/>
          </w:tcPr>
          <w:p w14:paraId="5D90B4B3">
            <w:pPr>
              <w:jc w:val="center"/>
              <w:rPr>
                <w:rFonts w:ascii="宋体" w:hAnsi="宋体"/>
                <w:color w:val="auto"/>
              </w:rPr>
            </w:pPr>
            <w:r>
              <w:rPr>
                <w:rFonts w:ascii="宋体" w:hAnsi="宋体"/>
                <w:color w:val="auto"/>
              </w:rPr>
              <w:t>20</w:t>
            </w:r>
            <w:r>
              <w:rPr>
                <w:rFonts w:hint="eastAsia" w:ascii="宋体" w:hAnsi="宋体"/>
                <w:color w:val="auto"/>
                <w:lang w:eastAsia="zh-CN"/>
              </w:rPr>
              <w:t>~</w:t>
            </w:r>
            <w:r>
              <w:rPr>
                <w:rFonts w:ascii="宋体" w:hAnsi="宋体"/>
                <w:color w:val="auto"/>
              </w:rPr>
              <w:t>70</w:t>
            </w:r>
          </w:p>
        </w:tc>
        <w:tc>
          <w:tcPr>
            <w:tcW w:w="1577" w:type="pct"/>
            <w:vAlign w:val="center"/>
          </w:tcPr>
          <w:p w14:paraId="2BEAEDFA">
            <w:pPr>
              <w:rPr>
                <w:rFonts w:ascii="宋体" w:hAnsi="宋体"/>
                <w:color w:val="auto"/>
              </w:rPr>
            </w:pPr>
            <w:r>
              <w:rPr>
                <w:rFonts w:ascii="宋体" w:hAnsi="宋体"/>
                <w:color w:val="auto"/>
              </w:rPr>
              <w:t>一般危险，需要注意</w:t>
            </w:r>
          </w:p>
        </w:tc>
      </w:tr>
      <w:tr w14:paraId="532BA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842" w:type="pct"/>
            <w:vAlign w:val="center"/>
          </w:tcPr>
          <w:p w14:paraId="17635BDC">
            <w:pPr>
              <w:jc w:val="center"/>
              <w:rPr>
                <w:rFonts w:ascii="宋体" w:hAnsi="宋体"/>
                <w:color w:val="auto"/>
              </w:rPr>
            </w:pPr>
            <w:r>
              <w:rPr>
                <w:rFonts w:ascii="宋体" w:hAnsi="宋体"/>
                <w:color w:val="auto"/>
              </w:rPr>
              <w:t>160</w:t>
            </w:r>
            <w:r>
              <w:rPr>
                <w:rFonts w:hint="eastAsia" w:ascii="宋体" w:hAnsi="宋体"/>
                <w:color w:val="auto"/>
                <w:lang w:eastAsia="zh-CN"/>
              </w:rPr>
              <w:t>~</w:t>
            </w:r>
            <w:r>
              <w:rPr>
                <w:rFonts w:ascii="宋体" w:hAnsi="宋体"/>
                <w:color w:val="auto"/>
              </w:rPr>
              <w:t>320</w:t>
            </w:r>
          </w:p>
        </w:tc>
        <w:tc>
          <w:tcPr>
            <w:tcW w:w="1893" w:type="pct"/>
            <w:tcBorders>
              <w:top w:val="single" w:color="auto" w:sz="6" w:space="0"/>
              <w:bottom w:val="single" w:color="auto" w:sz="6" w:space="0"/>
              <w:right w:val="double" w:color="auto" w:sz="4" w:space="0"/>
            </w:tcBorders>
            <w:vAlign w:val="center"/>
          </w:tcPr>
          <w:p w14:paraId="3466869F">
            <w:pPr>
              <w:rPr>
                <w:rFonts w:ascii="宋体" w:hAnsi="宋体"/>
                <w:color w:val="auto"/>
              </w:rPr>
            </w:pPr>
            <w:r>
              <w:rPr>
                <w:rFonts w:ascii="宋体" w:hAnsi="宋体"/>
                <w:color w:val="auto"/>
              </w:rPr>
              <w:t>高度危险，需立即整改</w:t>
            </w:r>
          </w:p>
        </w:tc>
        <w:tc>
          <w:tcPr>
            <w:tcW w:w="685" w:type="pct"/>
            <w:tcBorders>
              <w:top w:val="single" w:color="auto" w:sz="6" w:space="0"/>
              <w:left w:val="double" w:color="auto" w:sz="4" w:space="0"/>
              <w:bottom w:val="single" w:color="auto" w:sz="6" w:space="0"/>
            </w:tcBorders>
            <w:vAlign w:val="center"/>
          </w:tcPr>
          <w:p w14:paraId="6AE26E63">
            <w:pPr>
              <w:jc w:val="center"/>
              <w:rPr>
                <w:rFonts w:ascii="宋体" w:hAnsi="宋体"/>
                <w:color w:val="auto"/>
              </w:rPr>
            </w:pPr>
            <w:r>
              <w:rPr>
                <w:rFonts w:ascii="宋体" w:hAnsi="宋体"/>
                <w:color w:val="auto"/>
              </w:rPr>
              <w:t>＜20</w:t>
            </w:r>
          </w:p>
        </w:tc>
        <w:tc>
          <w:tcPr>
            <w:tcW w:w="1577" w:type="pct"/>
            <w:vAlign w:val="center"/>
          </w:tcPr>
          <w:p w14:paraId="2BF96613">
            <w:pPr>
              <w:rPr>
                <w:rFonts w:ascii="宋体" w:hAnsi="宋体"/>
                <w:color w:val="auto"/>
              </w:rPr>
            </w:pPr>
            <w:r>
              <w:rPr>
                <w:rFonts w:ascii="宋体" w:hAnsi="宋体"/>
                <w:color w:val="auto"/>
              </w:rPr>
              <w:t>稍有危险，可以接受</w:t>
            </w:r>
          </w:p>
        </w:tc>
      </w:tr>
      <w:tr w14:paraId="021058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842" w:type="pct"/>
            <w:vAlign w:val="center"/>
          </w:tcPr>
          <w:p w14:paraId="338122C1">
            <w:pPr>
              <w:jc w:val="center"/>
              <w:rPr>
                <w:rFonts w:ascii="宋体" w:hAnsi="宋体"/>
                <w:color w:val="auto"/>
              </w:rPr>
            </w:pPr>
            <w:r>
              <w:rPr>
                <w:rFonts w:ascii="宋体" w:hAnsi="宋体"/>
                <w:color w:val="auto"/>
              </w:rPr>
              <w:t>70</w:t>
            </w:r>
            <w:r>
              <w:rPr>
                <w:rFonts w:hint="eastAsia" w:ascii="宋体" w:hAnsi="宋体"/>
                <w:color w:val="auto"/>
                <w:lang w:eastAsia="zh-CN"/>
              </w:rPr>
              <w:t>~</w:t>
            </w:r>
            <w:r>
              <w:rPr>
                <w:rFonts w:ascii="宋体" w:hAnsi="宋体"/>
                <w:color w:val="auto"/>
              </w:rPr>
              <w:t>160</w:t>
            </w:r>
          </w:p>
        </w:tc>
        <w:tc>
          <w:tcPr>
            <w:tcW w:w="1893" w:type="pct"/>
            <w:tcBorders>
              <w:top w:val="single" w:color="auto" w:sz="6" w:space="0"/>
              <w:bottom w:val="single" w:color="auto" w:sz="12" w:space="0"/>
              <w:right w:val="double" w:color="auto" w:sz="4" w:space="0"/>
            </w:tcBorders>
            <w:vAlign w:val="center"/>
          </w:tcPr>
          <w:p w14:paraId="07F8BBC6">
            <w:pPr>
              <w:rPr>
                <w:rFonts w:ascii="宋体" w:hAnsi="宋体"/>
                <w:color w:val="auto"/>
              </w:rPr>
            </w:pPr>
            <w:r>
              <w:rPr>
                <w:rFonts w:ascii="宋体" w:hAnsi="宋体"/>
                <w:color w:val="auto"/>
              </w:rPr>
              <w:t>显著危险，需要整改</w:t>
            </w:r>
          </w:p>
        </w:tc>
        <w:tc>
          <w:tcPr>
            <w:tcW w:w="685" w:type="pct"/>
            <w:tcBorders>
              <w:top w:val="single" w:color="auto" w:sz="6" w:space="0"/>
              <w:left w:val="double" w:color="auto" w:sz="4" w:space="0"/>
              <w:bottom w:val="single" w:color="auto" w:sz="12" w:space="0"/>
            </w:tcBorders>
            <w:vAlign w:val="center"/>
          </w:tcPr>
          <w:p w14:paraId="18E5EC57">
            <w:pPr>
              <w:jc w:val="center"/>
              <w:rPr>
                <w:rFonts w:ascii="宋体" w:hAnsi="宋体"/>
                <w:color w:val="auto"/>
              </w:rPr>
            </w:pPr>
          </w:p>
        </w:tc>
        <w:tc>
          <w:tcPr>
            <w:tcW w:w="1577" w:type="pct"/>
            <w:vAlign w:val="center"/>
          </w:tcPr>
          <w:p w14:paraId="5C0C5C87">
            <w:pPr>
              <w:rPr>
                <w:rFonts w:ascii="宋体" w:hAnsi="宋体"/>
                <w:color w:val="auto"/>
              </w:rPr>
            </w:pPr>
          </w:p>
        </w:tc>
      </w:tr>
    </w:tbl>
    <w:p w14:paraId="54A2394F">
      <w:pPr>
        <w:spacing w:line="600" w:lineRule="exact"/>
        <w:rPr>
          <w:rFonts w:ascii="宋体" w:hAnsi="宋体"/>
          <w:b/>
          <w:bCs/>
          <w:color w:val="auto"/>
          <w:sz w:val="28"/>
          <w:szCs w:val="28"/>
        </w:rPr>
      </w:pPr>
      <w:bookmarkStart w:id="124" w:name="_Toc22797"/>
      <w:bookmarkStart w:id="125" w:name="_Toc5789"/>
      <w:bookmarkStart w:id="126" w:name="_Toc20468421"/>
      <w:bookmarkStart w:id="127" w:name="_Toc92712584"/>
      <w:bookmarkStart w:id="128" w:name="_Toc7145"/>
      <w:r>
        <w:rPr>
          <w:rFonts w:ascii="宋体" w:hAnsi="宋体"/>
          <w:b/>
          <w:bCs/>
          <w:color w:val="auto"/>
          <w:sz w:val="28"/>
          <w:szCs w:val="28"/>
        </w:rPr>
        <w:t>4.2.3 危险度评价法</w:t>
      </w:r>
      <w:bookmarkEnd w:id="124"/>
      <w:bookmarkEnd w:id="125"/>
      <w:bookmarkEnd w:id="126"/>
      <w:bookmarkEnd w:id="127"/>
      <w:bookmarkEnd w:id="128"/>
    </w:p>
    <w:p w14:paraId="2BB55B09">
      <w:pPr>
        <w:spacing w:line="600" w:lineRule="exact"/>
        <w:ind w:firstLine="570"/>
        <w:rPr>
          <w:rFonts w:ascii="宋体" w:hAnsi="宋体"/>
          <w:color w:val="auto"/>
          <w:sz w:val="28"/>
          <w:szCs w:val="28"/>
        </w:rPr>
      </w:pPr>
      <w:r>
        <w:rPr>
          <w:rFonts w:ascii="宋体" w:hAnsi="宋体"/>
          <w:color w:val="auto"/>
          <w:sz w:val="28"/>
          <w:szCs w:val="28"/>
        </w:rPr>
        <w:t>危险度评价法是根据日本劳动省“六阶段法”的定量评价表，结合我国《石油化工企业设计防火规范</w:t>
      </w:r>
      <w:r>
        <w:rPr>
          <w:rFonts w:hint="eastAsia" w:ascii="宋体" w:hAnsi="宋体"/>
          <w:color w:val="auto"/>
          <w:sz w:val="28"/>
          <w:szCs w:val="28"/>
        </w:rPr>
        <w:t>（2018年版）</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50160-2008）等有关标准、规程，编制了“危险度评价取值表”。规定单元危险度由物质、容量、温度、压力和操作5个项目共同确定。其危险性分别按A=10分，B=5分，C=2分，D=0分赋值计分，由累计分值确定单元危险度。危险度评价取值表见表4</w:t>
      </w:r>
      <w:r>
        <w:rPr>
          <w:rFonts w:hint="eastAsia" w:ascii="宋体" w:hAnsi="宋体"/>
          <w:color w:val="auto"/>
          <w:sz w:val="28"/>
          <w:szCs w:val="28"/>
        </w:rPr>
        <w:t>.2-5</w:t>
      </w:r>
      <w:r>
        <w:rPr>
          <w:rFonts w:ascii="宋体" w:hAnsi="宋体"/>
          <w:color w:val="auto"/>
          <w:sz w:val="28"/>
          <w:szCs w:val="28"/>
        </w:rPr>
        <w:t>。</w:t>
      </w:r>
    </w:p>
    <w:p w14:paraId="2980E5D3">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w:t>
      </w:r>
      <w:r>
        <w:rPr>
          <w:rFonts w:ascii="宋体" w:hAnsi="宋体"/>
          <w:color w:val="auto"/>
          <w:sz w:val="28"/>
          <w:szCs w:val="28"/>
        </w:rPr>
        <w:t>-</w:t>
      </w:r>
      <w:r>
        <w:rPr>
          <w:rFonts w:hint="eastAsia" w:ascii="宋体" w:hAnsi="宋体"/>
          <w:color w:val="auto"/>
          <w:sz w:val="28"/>
          <w:szCs w:val="28"/>
        </w:rPr>
        <w:t>5</w:t>
      </w:r>
      <w:r>
        <w:rPr>
          <w:rFonts w:ascii="宋体" w:hAnsi="宋体"/>
          <w:color w:val="auto"/>
          <w:sz w:val="28"/>
          <w:szCs w:val="28"/>
        </w:rPr>
        <w:t xml:space="preserve">  危险度评价取值表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8"/>
        <w:gridCol w:w="2353"/>
        <w:gridCol w:w="2353"/>
        <w:gridCol w:w="1960"/>
        <w:gridCol w:w="1517"/>
      </w:tblGrid>
      <w:tr w14:paraId="493E19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591" w:type="pct"/>
            <w:tcBorders>
              <w:tl2br w:val="single" w:color="auto" w:sz="12" w:space="0"/>
            </w:tcBorders>
            <w:vAlign w:val="center"/>
          </w:tcPr>
          <w:p w14:paraId="108AB8DA">
            <w:pPr>
              <w:jc w:val="right"/>
              <w:rPr>
                <w:rFonts w:ascii="宋体" w:hAnsi="宋体"/>
                <w:b/>
                <w:color w:val="auto"/>
              </w:rPr>
            </w:pPr>
            <w:r>
              <w:rPr>
                <w:rFonts w:hint="eastAsia" w:ascii="宋体" w:hAnsi="宋体"/>
                <w:b/>
                <w:color w:val="auto"/>
              </w:rPr>
              <w:t>分值</w:t>
            </w:r>
          </w:p>
          <w:p w14:paraId="5E10EE36">
            <w:pPr>
              <w:rPr>
                <w:rFonts w:ascii="宋体" w:hAnsi="宋体"/>
                <w:b/>
                <w:color w:val="auto"/>
              </w:rPr>
            </w:pPr>
            <w:r>
              <w:rPr>
                <w:rFonts w:hint="eastAsia" w:ascii="宋体" w:hAnsi="宋体"/>
                <w:b/>
                <w:color w:val="auto"/>
              </w:rPr>
              <w:t>项目</w:t>
            </w:r>
          </w:p>
        </w:tc>
        <w:tc>
          <w:tcPr>
            <w:tcW w:w="1267" w:type="pct"/>
            <w:vAlign w:val="center"/>
          </w:tcPr>
          <w:p w14:paraId="515B9C74">
            <w:pPr>
              <w:jc w:val="center"/>
              <w:rPr>
                <w:rFonts w:ascii="宋体" w:hAnsi="宋体"/>
                <w:b/>
                <w:color w:val="auto"/>
              </w:rPr>
            </w:pPr>
            <w:r>
              <w:rPr>
                <w:rFonts w:ascii="宋体" w:hAnsi="宋体"/>
                <w:b/>
                <w:color w:val="auto"/>
              </w:rPr>
              <w:t>A（10分）</w:t>
            </w:r>
          </w:p>
        </w:tc>
        <w:tc>
          <w:tcPr>
            <w:tcW w:w="1267" w:type="pct"/>
            <w:vAlign w:val="center"/>
          </w:tcPr>
          <w:p w14:paraId="70B0CC2D">
            <w:pPr>
              <w:jc w:val="center"/>
              <w:rPr>
                <w:rFonts w:ascii="宋体" w:hAnsi="宋体"/>
                <w:b/>
                <w:color w:val="auto"/>
              </w:rPr>
            </w:pPr>
            <w:r>
              <w:rPr>
                <w:rFonts w:ascii="宋体" w:hAnsi="宋体"/>
                <w:b/>
                <w:color w:val="auto"/>
              </w:rPr>
              <w:t>B（5分）</w:t>
            </w:r>
          </w:p>
        </w:tc>
        <w:tc>
          <w:tcPr>
            <w:tcW w:w="1055" w:type="pct"/>
            <w:vAlign w:val="center"/>
          </w:tcPr>
          <w:p w14:paraId="7B8987D5">
            <w:pPr>
              <w:jc w:val="center"/>
              <w:rPr>
                <w:rFonts w:ascii="宋体" w:hAnsi="宋体"/>
                <w:b/>
                <w:color w:val="auto"/>
              </w:rPr>
            </w:pPr>
            <w:r>
              <w:rPr>
                <w:rFonts w:ascii="宋体" w:hAnsi="宋体"/>
                <w:b/>
                <w:color w:val="auto"/>
              </w:rPr>
              <w:t>C（2分）</w:t>
            </w:r>
          </w:p>
        </w:tc>
        <w:tc>
          <w:tcPr>
            <w:tcW w:w="817" w:type="pct"/>
            <w:vAlign w:val="center"/>
          </w:tcPr>
          <w:p w14:paraId="5F8FC175">
            <w:pPr>
              <w:jc w:val="center"/>
              <w:rPr>
                <w:rFonts w:ascii="宋体" w:hAnsi="宋体"/>
                <w:b/>
                <w:color w:val="auto"/>
              </w:rPr>
            </w:pPr>
            <w:r>
              <w:rPr>
                <w:rFonts w:ascii="宋体" w:hAnsi="宋体"/>
                <w:b/>
                <w:color w:val="auto"/>
              </w:rPr>
              <w:t>D（0分）</w:t>
            </w:r>
          </w:p>
        </w:tc>
      </w:tr>
      <w:tr w14:paraId="56E99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2B7D1EFE">
            <w:pPr>
              <w:jc w:val="center"/>
              <w:rPr>
                <w:rFonts w:ascii="宋体" w:hAnsi="宋体"/>
                <w:color w:val="auto"/>
              </w:rPr>
            </w:pPr>
            <w:r>
              <w:rPr>
                <w:rFonts w:ascii="宋体" w:hAnsi="宋体"/>
                <w:color w:val="auto"/>
              </w:rPr>
              <w:t>物质</w:t>
            </w:r>
          </w:p>
        </w:tc>
        <w:tc>
          <w:tcPr>
            <w:tcW w:w="1267" w:type="pct"/>
            <w:vAlign w:val="center"/>
          </w:tcPr>
          <w:p w14:paraId="5838A262">
            <w:pPr>
              <w:rPr>
                <w:rFonts w:ascii="宋体" w:hAnsi="宋体"/>
                <w:color w:val="auto"/>
              </w:rPr>
            </w:pPr>
            <w:r>
              <w:rPr>
                <w:rFonts w:ascii="宋体" w:hAnsi="宋体"/>
                <w:color w:val="auto"/>
              </w:rPr>
              <w:t>甲类可燃气体；</w:t>
            </w:r>
          </w:p>
          <w:p w14:paraId="7FF047CE">
            <w:pPr>
              <w:rPr>
                <w:rFonts w:ascii="宋体" w:hAnsi="宋体"/>
                <w:color w:val="auto"/>
              </w:rPr>
            </w:pPr>
            <w:r>
              <w:rPr>
                <w:rFonts w:ascii="宋体" w:hAnsi="宋体"/>
                <w:color w:val="auto"/>
              </w:rPr>
              <w:t>甲</w:t>
            </w:r>
            <w:r>
              <w:rPr>
                <w:rFonts w:ascii="宋体" w:hAnsi="宋体"/>
                <w:color w:val="auto"/>
                <w:vertAlign w:val="subscript"/>
              </w:rPr>
              <w:t>A</w:t>
            </w:r>
            <w:r>
              <w:rPr>
                <w:rFonts w:ascii="宋体" w:hAnsi="宋体"/>
                <w:color w:val="auto"/>
              </w:rPr>
              <w:t>类物质及液态烃类；</w:t>
            </w:r>
          </w:p>
          <w:p w14:paraId="2DCD6250">
            <w:pPr>
              <w:rPr>
                <w:rFonts w:ascii="宋体" w:hAnsi="宋体"/>
                <w:color w:val="auto"/>
              </w:rPr>
            </w:pPr>
            <w:r>
              <w:rPr>
                <w:rFonts w:ascii="宋体" w:hAnsi="宋体"/>
                <w:color w:val="auto"/>
              </w:rPr>
              <w:t>甲类固体；</w:t>
            </w:r>
          </w:p>
          <w:p w14:paraId="20750FEF">
            <w:pPr>
              <w:rPr>
                <w:rFonts w:ascii="宋体" w:hAnsi="宋体"/>
                <w:color w:val="auto"/>
              </w:rPr>
            </w:pPr>
            <w:r>
              <w:rPr>
                <w:rFonts w:ascii="宋体" w:hAnsi="宋体"/>
                <w:color w:val="auto"/>
              </w:rPr>
              <w:t>极度危害介质</w:t>
            </w:r>
          </w:p>
        </w:tc>
        <w:tc>
          <w:tcPr>
            <w:tcW w:w="1267" w:type="pct"/>
            <w:vAlign w:val="center"/>
          </w:tcPr>
          <w:p w14:paraId="29C75739">
            <w:pPr>
              <w:rPr>
                <w:rFonts w:ascii="宋体" w:hAnsi="宋体"/>
                <w:color w:val="auto"/>
              </w:rPr>
            </w:pPr>
            <w:r>
              <w:rPr>
                <w:rFonts w:ascii="宋体" w:hAnsi="宋体"/>
                <w:color w:val="auto"/>
              </w:rPr>
              <w:t>乙类气体；</w:t>
            </w:r>
          </w:p>
          <w:p w14:paraId="775C98A8">
            <w:pPr>
              <w:rPr>
                <w:rFonts w:ascii="宋体" w:hAnsi="宋体"/>
                <w:color w:val="auto"/>
              </w:rPr>
            </w:pPr>
            <w:r>
              <w:rPr>
                <w:rFonts w:ascii="宋体" w:hAnsi="宋体"/>
                <w:color w:val="auto"/>
              </w:rPr>
              <w:t>甲</w:t>
            </w:r>
            <w:r>
              <w:rPr>
                <w:rFonts w:ascii="宋体" w:hAnsi="宋体"/>
                <w:color w:val="auto"/>
                <w:vertAlign w:val="subscript"/>
              </w:rPr>
              <w:t>B</w:t>
            </w:r>
            <w:r>
              <w:rPr>
                <w:rFonts w:ascii="宋体" w:hAnsi="宋体"/>
                <w:color w:val="auto"/>
              </w:rPr>
              <w:t>、乙</w:t>
            </w:r>
            <w:r>
              <w:rPr>
                <w:rFonts w:ascii="宋体" w:hAnsi="宋体"/>
                <w:color w:val="auto"/>
                <w:vertAlign w:val="subscript"/>
              </w:rPr>
              <w:t>A</w:t>
            </w:r>
            <w:r>
              <w:rPr>
                <w:rFonts w:ascii="宋体" w:hAnsi="宋体"/>
                <w:color w:val="auto"/>
              </w:rPr>
              <w:t>类可燃液体；</w:t>
            </w:r>
          </w:p>
          <w:p w14:paraId="6A7F6255">
            <w:pPr>
              <w:rPr>
                <w:rFonts w:ascii="宋体" w:hAnsi="宋体"/>
                <w:color w:val="auto"/>
              </w:rPr>
            </w:pPr>
            <w:r>
              <w:rPr>
                <w:rFonts w:ascii="宋体" w:hAnsi="宋体"/>
                <w:color w:val="auto"/>
              </w:rPr>
              <w:t>乙类固体</w:t>
            </w:r>
            <w:r>
              <w:rPr>
                <w:rFonts w:hint="eastAsia" w:ascii="宋体" w:hAnsi="宋体"/>
                <w:color w:val="auto"/>
                <w:lang w:eastAsia="zh-CN"/>
              </w:rPr>
              <w:t>；</w:t>
            </w:r>
          </w:p>
          <w:p w14:paraId="536F3095">
            <w:pPr>
              <w:rPr>
                <w:rFonts w:ascii="宋体" w:hAnsi="宋体"/>
                <w:color w:val="auto"/>
              </w:rPr>
            </w:pPr>
            <w:r>
              <w:rPr>
                <w:rFonts w:ascii="宋体" w:hAnsi="宋体"/>
                <w:color w:val="auto"/>
              </w:rPr>
              <w:t>高度危害介质</w:t>
            </w:r>
          </w:p>
        </w:tc>
        <w:tc>
          <w:tcPr>
            <w:tcW w:w="1055" w:type="pct"/>
            <w:vAlign w:val="center"/>
          </w:tcPr>
          <w:p w14:paraId="777D7BB4">
            <w:pPr>
              <w:rPr>
                <w:rFonts w:ascii="宋体" w:hAnsi="宋体"/>
                <w:color w:val="auto"/>
              </w:rPr>
            </w:pPr>
            <w:r>
              <w:rPr>
                <w:rFonts w:ascii="宋体" w:hAnsi="宋体"/>
                <w:color w:val="auto"/>
              </w:rPr>
              <w:t>乙</w:t>
            </w:r>
            <w:r>
              <w:rPr>
                <w:rFonts w:ascii="宋体" w:hAnsi="宋体"/>
                <w:color w:val="auto"/>
                <w:vertAlign w:val="subscript"/>
              </w:rPr>
              <w:t>B</w:t>
            </w:r>
            <w:r>
              <w:rPr>
                <w:rFonts w:ascii="宋体" w:hAnsi="宋体"/>
                <w:color w:val="auto"/>
              </w:rPr>
              <w:t>、丙</w:t>
            </w:r>
            <w:r>
              <w:rPr>
                <w:rFonts w:ascii="宋体" w:hAnsi="宋体"/>
                <w:color w:val="auto"/>
                <w:vertAlign w:val="subscript"/>
              </w:rPr>
              <w:t>A</w:t>
            </w:r>
            <w:r>
              <w:rPr>
                <w:rFonts w:ascii="宋体" w:hAnsi="宋体"/>
                <w:color w:val="auto"/>
              </w:rPr>
              <w:t>、丙</w:t>
            </w:r>
            <w:r>
              <w:rPr>
                <w:rFonts w:ascii="宋体" w:hAnsi="宋体"/>
                <w:color w:val="auto"/>
                <w:vertAlign w:val="subscript"/>
              </w:rPr>
              <w:t>B</w:t>
            </w:r>
            <w:r>
              <w:rPr>
                <w:rFonts w:ascii="宋体" w:hAnsi="宋体"/>
                <w:color w:val="auto"/>
              </w:rPr>
              <w:t>类可燃液体；</w:t>
            </w:r>
          </w:p>
          <w:p w14:paraId="4ED6D23A">
            <w:pPr>
              <w:rPr>
                <w:rFonts w:ascii="宋体" w:hAnsi="宋体"/>
                <w:color w:val="auto"/>
              </w:rPr>
            </w:pPr>
            <w:r>
              <w:rPr>
                <w:rFonts w:ascii="宋体" w:hAnsi="宋体"/>
                <w:color w:val="auto"/>
              </w:rPr>
              <w:t>丙类固体；</w:t>
            </w:r>
          </w:p>
          <w:p w14:paraId="647B4FC3">
            <w:pPr>
              <w:rPr>
                <w:rFonts w:ascii="宋体" w:hAnsi="宋体"/>
                <w:color w:val="auto"/>
              </w:rPr>
            </w:pPr>
            <w:r>
              <w:rPr>
                <w:rFonts w:ascii="宋体" w:hAnsi="宋体"/>
                <w:color w:val="auto"/>
              </w:rPr>
              <w:t>中、轻度危害介质</w:t>
            </w:r>
          </w:p>
        </w:tc>
        <w:tc>
          <w:tcPr>
            <w:tcW w:w="817" w:type="pct"/>
            <w:vAlign w:val="center"/>
          </w:tcPr>
          <w:p w14:paraId="3089920B">
            <w:pPr>
              <w:rPr>
                <w:rFonts w:ascii="宋体" w:hAnsi="宋体"/>
                <w:color w:val="auto"/>
              </w:rPr>
            </w:pPr>
            <w:r>
              <w:rPr>
                <w:rFonts w:ascii="宋体" w:hAnsi="宋体"/>
                <w:color w:val="auto"/>
              </w:rPr>
              <w:t>不属A、B、C项之物质</w:t>
            </w:r>
          </w:p>
        </w:tc>
      </w:tr>
      <w:tr w14:paraId="742D9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356074BE">
            <w:pPr>
              <w:jc w:val="center"/>
              <w:rPr>
                <w:rFonts w:ascii="宋体" w:hAnsi="宋体"/>
                <w:color w:val="auto"/>
              </w:rPr>
            </w:pPr>
            <w:r>
              <w:rPr>
                <w:rFonts w:ascii="宋体" w:hAnsi="宋体"/>
                <w:color w:val="auto"/>
              </w:rPr>
              <w:t>容量</w:t>
            </w:r>
          </w:p>
        </w:tc>
        <w:tc>
          <w:tcPr>
            <w:tcW w:w="1267" w:type="pct"/>
            <w:vAlign w:val="center"/>
          </w:tcPr>
          <w:p w14:paraId="60A0947B">
            <w:pPr>
              <w:rPr>
                <w:rFonts w:ascii="宋体" w:hAnsi="宋体"/>
                <w:color w:val="auto"/>
              </w:rPr>
            </w:pPr>
            <w:r>
              <w:rPr>
                <w:rFonts w:ascii="宋体" w:hAnsi="宋体"/>
                <w:color w:val="auto"/>
              </w:rPr>
              <w:t>气体1000m</w:t>
            </w:r>
            <w:r>
              <w:rPr>
                <w:rFonts w:ascii="宋体" w:hAnsi="宋体"/>
                <w:color w:val="auto"/>
                <w:vertAlign w:val="superscript"/>
              </w:rPr>
              <w:t>3</w:t>
            </w:r>
            <w:r>
              <w:rPr>
                <w:rFonts w:ascii="宋体" w:hAnsi="宋体"/>
                <w:color w:val="auto"/>
              </w:rPr>
              <w:t>以上</w:t>
            </w:r>
          </w:p>
          <w:p w14:paraId="3DCE545F">
            <w:pPr>
              <w:rPr>
                <w:rFonts w:ascii="宋体" w:hAnsi="宋体"/>
                <w:color w:val="auto"/>
              </w:rPr>
            </w:pPr>
            <w:r>
              <w:rPr>
                <w:rFonts w:ascii="宋体" w:hAnsi="宋体"/>
                <w:color w:val="auto"/>
              </w:rPr>
              <w:t>液体100m</w:t>
            </w:r>
            <w:r>
              <w:rPr>
                <w:rFonts w:ascii="宋体" w:hAnsi="宋体"/>
                <w:color w:val="auto"/>
                <w:vertAlign w:val="superscript"/>
              </w:rPr>
              <w:t>3</w:t>
            </w:r>
            <w:r>
              <w:rPr>
                <w:rFonts w:ascii="宋体" w:hAnsi="宋体"/>
                <w:color w:val="auto"/>
              </w:rPr>
              <w:t>以上</w:t>
            </w:r>
          </w:p>
        </w:tc>
        <w:tc>
          <w:tcPr>
            <w:tcW w:w="1267" w:type="pct"/>
            <w:vAlign w:val="center"/>
          </w:tcPr>
          <w:p w14:paraId="3EC06C9C">
            <w:pPr>
              <w:rPr>
                <w:rFonts w:ascii="宋体" w:hAnsi="宋体"/>
                <w:color w:val="auto"/>
              </w:rPr>
            </w:pPr>
            <w:r>
              <w:rPr>
                <w:rFonts w:ascii="宋体" w:hAnsi="宋体"/>
                <w:color w:val="auto"/>
              </w:rPr>
              <w:t>气体500</w:t>
            </w:r>
            <w:r>
              <w:rPr>
                <w:rFonts w:hint="eastAsia" w:ascii="宋体" w:hAnsi="宋体"/>
                <w:color w:val="auto"/>
              </w:rPr>
              <w:t>～</w:t>
            </w:r>
            <w:r>
              <w:rPr>
                <w:rFonts w:ascii="宋体" w:hAnsi="宋体"/>
                <w:color w:val="auto"/>
              </w:rPr>
              <w:t>1000m</w:t>
            </w:r>
            <w:r>
              <w:rPr>
                <w:rFonts w:ascii="宋体" w:hAnsi="宋体"/>
                <w:color w:val="auto"/>
                <w:vertAlign w:val="superscript"/>
              </w:rPr>
              <w:t>3</w:t>
            </w:r>
          </w:p>
          <w:p w14:paraId="03671E80">
            <w:pPr>
              <w:rPr>
                <w:rFonts w:ascii="宋体" w:hAnsi="宋体"/>
                <w:color w:val="auto"/>
              </w:rPr>
            </w:pPr>
            <w:r>
              <w:rPr>
                <w:rFonts w:ascii="宋体" w:hAnsi="宋体"/>
                <w:color w:val="auto"/>
              </w:rPr>
              <w:t>液体50</w:t>
            </w:r>
            <w:r>
              <w:rPr>
                <w:rFonts w:hint="eastAsia" w:ascii="宋体" w:hAnsi="宋体"/>
                <w:color w:val="auto"/>
              </w:rPr>
              <w:t>～</w:t>
            </w:r>
            <w:r>
              <w:rPr>
                <w:rFonts w:ascii="宋体" w:hAnsi="宋体"/>
                <w:color w:val="auto"/>
              </w:rPr>
              <w:t>100m</w:t>
            </w:r>
            <w:r>
              <w:rPr>
                <w:rFonts w:ascii="宋体" w:hAnsi="宋体"/>
                <w:color w:val="auto"/>
                <w:vertAlign w:val="superscript"/>
              </w:rPr>
              <w:t>3</w:t>
            </w:r>
          </w:p>
        </w:tc>
        <w:tc>
          <w:tcPr>
            <w:tcW w:w="1055" w:type="pct"/>
            <w:vAlign w:val="center"/>
          </w:tcPr>
          <w:p w14:paraId="609F8723">
            <w:pPr>
              <w:rPr>
                <w:rFonts w:ascii="宋体" w:hAnsi="宋体"/>
                <w:color w:val="auto"/>
              </w:rPr>
            </w:pPr>
            <w:r>
              <w:rPr>
                <w:rFonts w:ascii="宋体" w:hAnsi="宋体"/>
                <w:color w:val="auto"/>
              </w:rPr>
              <w:t>气体100</w:t>
            </w:r>
            <w:r>
              <w:rPr>
                <w:rFonts w:hint="eastAsia" w:ascii="宋体" w:hAnsi="宋体"/>
                <w:color w:val="auto"/>
              </w:rPr>
              <w:t>～</w:t>
            </w:r>
            <w:r>
              <w:rPr>
                <w:rFonts w:ascii="宋体" w:hAnsi="宋体"/>
                <w:color w:val="auto"/>
              </w:rPr>
              <w:t>500m</w:t>
            </w:r>
            <w:r>
              <w:rPr>
                <w:rFonts w:ascii="宋体" w:hAnsi="宋体"/>
                <w:color w:val="auto"/>
                <w:vertAlign w:val="superscript"/>
              </w:rPr>
              <w:t>3</w:t>
            </w:r>
          </w:p>
          <w:p w14:paraId="03960FD6">
            <w:pPr>
              <w:rPr>
                <w:rFonts w:ascii="宋体" w:hAnsi="宋体"/>
                <w:color w:val="auto"/>
              </w:rPr>
            </w:pPr>
            <w:r>
              <w:rPr>
                <w:rFonts w:ascii="宋体" w:hAnsi="宋体"/>
                <w:color w:val="auto"/>
              </w:rPr>
              <w:t>液体10</w:t>
            </w:r>
            <w:r>
              <w:rPr>
                <w:rFonts w:hint="eastAsia" w:ascii="宋体" w:hAnsi="宋体"/>
                <w:color w:val="auto"/>
              </w:rPr>
              <w:t>～</w:t>
            </w:r>
            <w:r>
              <w:rPr>
                <w:rFonts w:ascii="宋体" w:hAnsi="宋体"/>
                <w:color w:val="auto"/>
              </w:rPr>
              <w:t>50m</w:t>
            </w:r>
            <w:r>
              <w:rPr>
                <w:rFonts w:ascii="宋体" w:hAnsi="宋体"/>
                <w:color w:val="auto"/>
                <w:vertAlign w:val="superscript"/>
              </w:rPr>
              <w:t>3</w:t>
            </w:r>
          </w:p>
        </w:tc>
        <w:tc>
          <w:tcPr>
            <w:tcW w:w="817" w:type="pct"/>
            <w:vAlign w:val="center"/>
          </w:tcPr>
          <w:p w14:paraId="453AFF65">
            <w:pPr>
              <w:rPr>
                <w:rFonts w:ascii="宋体" w:hAnsi="宋体"/>
                <w:color w:val="auto"/>
              </w:rPr>
            </w:pPr>
            <w:r>
              <w:rPr>
                <w:rFonts w:ascii="宋体" w:hAnsi="宋体"/>
                <w:color w:val="auto"/>
              </w:rPr>
              <w:t>气体＜100m</w:t>
            </w:r>
            <w:r>
              <w:rPr>
                <w:rFonts w:ascii="宋体" w:hAnsi="宋体"/>
                <w:color w:val="auto"/>
                <w:vertAlign w:val="superscript"/>
              </w:rPr>
              <w:t>3</w:t>
            </w:r>
          </w:p>
          <w:p w14:paraId="155D5D3A">
            <w:pPr>
              <w:rPr>
                <w:rFonts w:ascii="宋体" w:hAnsi="宋体"/>
                <w:color w:val="auto"/>
              </w:rPr>
            </w:pPr>
            <w:r>
              <w:rPr>
                <w:rFonts w:ascii="宋体" w:hAnsi="宋体"/>
                <w:color w:val="auto"/>
              </w:rPr>
              <w:t>液体＜10m</w:t>
            </w:r>
            <w:r>
              <w:rPr>
                <w:rFonts w:ascii="宋体" w:hAnsi="宋体"/>
                <w:color w:val="auto"/>
                <w:vertAlign w:val="superscript"/>
              </w:rPr>
              <w:t>3</w:t>
            </w:r>
          </w:p>
        </w:tc>
      </w:tr>
      <w:tr w14:paraId="74965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1017ADF4">
            <w:pPr>
              <w:jc w:val="center"/>
              <w:rPr>
                <w:rFonts w:ascii="宋体" w:hAnsi="宋体"/>
                <w:color w:val="auto"/>
              </w:rPr>
            </w:pPr>
            <w:r>
              <w:rPr>
                <w:rFonts w:ascii="宋体" w:hAnsi="宋体"/>
                <w:color w:val="auto"/>
              </w:rPr>
              <w:t>温度</w:t>
            </w:r>
          </w:p>
        </w:tc>
        <w:tc>
          <w:tcPr>
            <w:tcW w:w="1267" w:type="pct"/>
            <w:vAlign w:val="center"/>
          </w:tcPr>
          <w:p w14:paraId="074820EF">
            <w:pPr>
              <w:rPr>
                <w:rFonts w:ascii="宋体" w:hAnsi="宋体"/>
                <w:color w:val="auto"/>
              </w:rPr>
            </w:pPr>
            <w:r>
              <w:rPr>
                <w:rFonts w:ascii="宋体" w:hAnsi="宋体"/>
                <w:color w:val="auto"/>
              </w:rPr>
              <w:t>1000℃以上使用，其操作温度在燃点以上</w:t>
            </w:r>
          </w:p>
        </w:tc>
        <w:tc>
          <w:tcPr>
            <w:tcW w:w="1267" w:type="pct"/>
            <w:vAlign w:val="center"/>
          </w:tcPr>
          <w:p w14:paraId="02F60CCE">
            <w:pPr>
              <w:rPr>
                <w:rFonts w:ascii="宋体" w:hAnsi="宋体"/>
                <w:color w:val="auto"/>
              </w:rPr>
            </w:pPr>
            <w:r>
              <w:rPr>
                <w:rFonts w:ascii="宋体" w:hAnsi="宋体"/>
                <w:color w:val="auto"/>
              </w:rPr>
              <w:t>1000℃以上使用，但操作温度在燃点以下；</w:t>
            </w:r>
          </w:p>
          <w:p w14:paraId="172D6032">
            <w:pPr>
              <w:rPr>
                <w:rFonts w:ascii="宋体" w:hAnsi="宋体"/>
                <w:color w:val="auto"/>
              </w:rPr>
            </w:pPr>
            <w:r>
              <w:rPr>
                <w:rFonts w:ascii="宋体" w:hAnsi="宋体"/>
                <w:color w:val="auto"/>
              </w:rPr>
              <w:t>在250</w:t>
            </w:r>
            <w:r>
              <w:rPr>
                <w:rFonts w:hint="eastAsia" w:ascii="宋体" w:hAnsi="宋体"/>
                <w:color w:val="auto"/>
              </w:rPr>
              <w:t>～</w:t>
            </w:r>
            <w:r>
              <w:rPr>
                <w:rFonts w:ascii="宋体" w:hAnsi="宋体"/>
                <w:color w:val="auto"/>
              </w:rPr>
              <w:t>1000℃使用，其操作温度在燃点以上</w:t>
            </w:r>
          </w:p>
        </w:tc>
        <w:tc>
          <w:tcPr>
            <w:tcW w:w="1055" w:type="pct"/>
            <w:vAlign w:val="center"/>
          </w:tcPr>
          <w:p w14:paraId="76F8950B">
            <w:pPr>
              <w:rPr>
                <w:rFonts w:ascii="宋体" w:hAnsi="宋体"/>
                <w:color w:val="auto"/>
              </w:rPr>
            </w:pPr>
            <w:r>
              <w:rPr>
                <w:rFonts w:ascii="宋体" w:hAnsi="宋体"/>
                <w:color w:val="auto"/>
              </w:rPr>
              <w:t>在250</w:t>
            </w:r>
            <w:r>
              <w:rPr>
                <w:rFonts w:hint="eastAsia" w:ascii="宋体" w:hAnsi="宋体"/>
                <w:color w:val="auto"/>
              </w:rPr>
              <w:t>～</w:t>
            </w:r>
            <w:r>
              <w:rPr>
                <w:rFonts w:ascii="宋体" w:hAnsi="宋体"/>
                <w:color w:val="auto"/>
              </w:rPr>
              <w:t>1000℃使用，但操作温度在燃点以下；</w:t>
            </w:r>
          </w:p>
          <w:p w14:paraId="235A5B63">
            <w:pPr>
              <w:rPr>
                <w:rFonts w:ascii="宋体" w:hAnsi="宋体"/>
                <w:color w:val="auto"/>
              </w:rPr>
            </w:pPr>
            <w:r>
              <w:rPr>
                <w:rFonts w:ascii="宋体" w:hAnsi="宋体"/>
                <w:color w:val="auto"/>
              </w:rPr>
              <w:t>在</w:t>
            </w:r>
            <w:r>
              <w:rPr>
                <w:rFonts w:hint="eastAsia" w:ascii="宋体" w:hAnsi="宋体"/>
                <w:color w:val="auto"/>
                <w:lang w:eastAsia="zh-CN"/>
              </w:rPr>
              <w:t>低于</w:t>
            </w:r>
            <w:r>
              <w:rPr>
                <w:rFonts w:ascii="宋体" w:hAnsi="宋体"/>
                <w:color w:val="auto"/>
              </w:rPr>
              <w:t>250℃使用，其操作温度在燃点以上</w:t>
            </w:r>
          </w:p>
        </w:tc>
        <w:tc>
          <w:tcPr>
            <w:tcW w:w="817" w:type="pct"/>
            <w:vAlign w:val="center"/>
          </w:tcPr>
          <w:p w14:paraId="432222FF">
            <w:pPr>
              <w:rPr>
                <w:rFonts w:ascii="宋体" w:hAnsi="宋体"/>
                <w:color w:val="auto"/>
              </w:rPr>
            </w:pPr>
            <w:r>
              <w:rPr>
                <w:rFonts w:ascii="宋体" w:hAnsi="宋体"/>
                <w:color w:val="auto"/>
              </w:rPr>
              <w:t>在</w:t>
            </w:r>
            <w:r>
              <w:rPr>
                <w:rFonts w:hint="eastAsia" w:ascii="宋体" w:hAnsi="宋体"/>
                <w:color w:val="auto"/>
                <w:lang w:eastAsia="zh-CN"/>
              </w:rPr>
              <w:t>低于</w:t>
            </w:r>
            <w:r>
              <w:rPr>
                <w:rFonts w:ascii="宋体" w:hAnsi="宋体"/>
                <w:color w:val="auto"/>
              </w:rPr>
              <w:t>250℃使用，其操作温度在燃点以下</w:t>
            </w:r>
          </w:p>
        </w:tc>
      </w:tr>
      <w:tr w14:paraId="668EC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76F4196D">
            <w:pPr>
              <w:jc w:val="center"/>
              <w:rPr>
                <w:rFonts w:ascii="宋体" w:hAnsi="宋体"/>
                <w:color w:val="auto"/>
              </w:rPr>
            </w:pPr>
            <w:r>
              <w:rPr>
                <w:rFonts w:ascii="宋体" w:hAnsi="宋体"/>
                <w:color w:val="auto"/>
              </w:rPr>
              <w:t>压力</w:t>
            </w:r>
          </w:p>
        </w:tc>
        <w:tc>
          <w:tcPr>
            <w:tcW w:w="1267" w:type="pct"/>
            <w:vAlign w:val="center"/>
          </w:tcPr>
          <w:p w14:paraId="76CA8DAC">
            <w:pPr>
              <w:rPr>
                <w:rFonts w:ascii="宋体" w:hAnsi="宋体"/>
                <w:color w:val="auto"/>
              </w:rPr>
            </w:pPr>
            <w:r>
              <w:rPr>
                <w:rFonts w:ascii="宋体" w:hAnsi="宋体"/>
                <w:color w:val="auto"/>
              </w:rPr>
              <w:t>100MPa</w:t>
            </w:r>
          </w:p>
        </w:tc>
        <w:tc>
          <w:tcPr>
            <w:tcW w:w="1267" w:type="pct"/>
            <w:vAlign w:val="center"/>
          </w:tcPr>
          <w:p w14:paraId="5507D94E">
            <w:pPr>
              <w:rPr>
                <w:rFonts w:ascii="宋体" w:hAnsi="宋体"/>
                <w:color w:val="auto"/>
              </w:rPr>
            </w:pPr>
            <w:r>
              <w:rPr>
                <w:rFonts w:ascii="宋体" w:hAnsi="宋体"/>
                <w:color w:val="auto"/>
              </w:rPr>
              <w:t>20</w:t>
            </w:r>
            <w:r>
              <w:rPr>
                <w:rFonts w:hint="eastAsia" w:ascii="宋体" w:hAnsi="宋体"/>
                <w:color w:val="auto"/>
                <w:lang w:eastAsia="zh-CN"/>
              </w:rPr>
              <w:t>~</w:t>
            </w:r>
            <w:r>
              <w:rPr>
                <w:rFonts w:ascii="宋体" w:hAnsi="宋体"/>
                <w:color w:val="auto"/>
              </w:rPr>
              <w:t>100MPa</w:t>
            </w:r>
          </w:p>
        </w:tc>
        <w:tc>
          <w:tcPr>
            <w:tcW w:w="1055" w:type="pct"/>
            <w:vAlign w:val="center"/>
          </w:tcPr>
          <w:p w14:paraId="76CEFB1D">
            <w:pPr>
              <w:rPr>
                <w:rFonts w:ascii="宋体" w:hAnsi="宋体"/>
                <w:color w:val="auto"/>
              </w:rPr>
            </w:pPr>
            <w:r>
              <w:rPr>
                <w:rFonts w:ascii="宋体" w:hAnsi="宋体"/>
                <w:color w:val="auto"/>
              </w:rPr>
              <w:t>1</w:t>
            </w:r>
            <w:r>
              <w:rPr>
                <w:rFonts w:hint="eastAsia" w:ascii="宋体" w:hAnsi="宋体"/>
                <w:color w:val="auto"/>
                <w:lang w:eastAsia="zh-CN"/>
              </w:rPr>
              <w:t>~</w:t>
            </w:r>
            <w:r>
              <w:rPr>
                <w:rFonts w:ascii="宋体" w:hAnsi="宋体"/>
                <w:color w:val="auto"/>
              </w:rPr>
              <w:t>20MPa</w:t>
            </w:r>
          </w:p>
        </w:tc>
        <w:tc>
          <w:tcPr>
            <w:tcW w:w="817" w:type="pct"/>
            <w:vAlign w:val="center"/>
          </w:tcPr>
          <w:p w14:paraId="0C8BFF72">
            <w:pPr>
              <w:rPr>
                <w:rFonts w:ascii="宋体" w:hAnsi="宋体"/>
                <w:color w:val="auto"/>
              </w:rPr>
            </w:pPr>
            <w:r>
              <w:rPr>
                <w:rFonts w:ascii="宋体" w:hAnsi="宋体"/>
                <w:color w:val="auto"/>
              </w:rPr>
              <w:t>1M</w:t>
            </w:r>
            <w:r>
              <w:rPr>
                <w:rFonts w:hint="eastAsia" w:ascii="宋体" w:hAnsi="宋体"/>
                <w:color w:val="auto"/>
              </w:rPr>
              <w:t>P</w:t>
            </w:r>
            <w:r>
              <w:rPr>
                <w:rFonts w:ascii="宋体" w:hAnsi="宋体"/>
                <w:color w:val="auto"/>
              </w:rPr>
              <w:t>a以下</w:t>
            </w:r>
          </w:p>
        </w:tc>
      </w:tr>
      <w:tr w14:paraId="5E3D9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47B0B9DB">
            <w:pPr>
              <w:jc w:val="center"/>
              <w:rPr>
                <w:rFonts w:ascii="宋体" w:hAnsi="宋体"/>
                <w:color w:val="auto"/>
              </w:rPr>
            </w:pPr>
            <w:r>
              <w:rPr>
                <w:rFonts w:ascii="宋体" w:hAnsi="宋体"/>
                <w:color w:val="auto"/>
              </w:rPr>
              <w:t>操作</w:t>
            </w:r>
          </w:p>
        </w:tc>
        <w:tc>
          <w:tcPr>
            <w:tcW w:w="1267" w:type="pct"/>
            <w:vAlign w:val="center"/>
          </w:tcPr>
          <w:p w14:paraId="552D0AA1">
            <w:pPr>
              <w:rPr>
                <w:rFonts w:ascii="宋体" w:hAnsi="宋体"/>
                <w:color w:val="auto"/>
              </w:rPr>
            </w:pPr>
            <w:r>
              <w:rPr>
                <w:rFonts w:ascii="宋体" w:hAnsi="宋体"/>
                <w:color w:val="auto"/>
              </w:rPr>
              <w:t>临界放热和特别剧烈的反应操作</w:t>
            </w:r>
          </w:p>
          <w:p w14:paraId="4751549B">
            <w:pPr>
              <w:rPr>
                <w:rFonts w:ascii="宋体" w:hAnsi="宋体"/>
                <w:color w:val="auto"/>
              </w:rPr>
            </w:pPr>
            <w:r>
              <w:rPr>
                <w:rFonts w:ascii="宋体" w:hAnsi="宋体"/>
                <w:color w:val="auto"/>
              </w:rPr>
              <w:t>在爆炸极限范围内或其附近操作</w:t>
            </w:r>
          </w:p>
        </w:tc>
        <w:tc>
          <w:tcPr>
            <w:tcW w:w="1267" w:type="pct"/>
            <w:vAlign w:val="center"/>
          </w:tcPr>
          <w:p w14:paraId="1434A3B6">
            <w:pPr>
              <w:rPr>
                <w:rFonts w:ascii="宋体" w:hAnsi="宋体"/>
                <w:color w:val="auto"/>
              </w:rPr>
            </w:pPr>
            <w:r>
              <w:rPr>
                <w:rFonts w:ascii="宋体" w:hAnsi="宋体"/>
                <w:color w:val="auto"/>
              </w:rPr>
              <w:t>中等放热反应；</w:t>
            </w:r>
          </w:p>
          <w:p w14:paraId="12284B46">
            <w:pPr>
              <w:rPr>
                <w:rFonts w:ascii="宋体" w:hAnsi="宋体"/>
                <w:color w:val="auto"/>
              </w:rPr>
            </w:pPr>
            <w:r>
              <w:rPr>
                <w:rFonts w:ascii="宋体" w:hAnsi="宋体"/>
                <w:color w:val="auto"/>
              </w:rPr>
              <w:t>系统进入空气或不纯物质，可能发生危险的操作；</w:t>
            </w:r>
          </w:p>
          <w:p w14:paraId="26B3DAB4">
            <w:pPr>
              <w:rPr>
                <w:rFonts w:ascii="宋体" w:hAnsi="宋体"/>
                <w:color w:val="auto"/>
              </w:rPr>
            </w:pPr>
            <w:r>
              <w:rPr>
                <w:rFonts w:ascii="宋体" w:hAnsi="宋体"/>
                <w:color w:val="auto"/>
              </w:rPr>
              <w:t>使用粉状或雾状物质，有可能发生粉尘爆炸的操作</w:t>
            </w:r>
          </w:p>
          <w:p w14:paraId="5DFA9F50">
            <w:pPr>
              <w:rPr>
                <w:rFonts w:ascii="宋体" w:hAnsi="宋体"/>
                <w:color w:val="auto"/>
              </w:rPr>
            </w:pPr>
            <w:r>
              <w:rPr>
                <w:rFonts w:ascii="宋体" w:hAnsi="宋体"/>
                <w:color w:val="auto"/>
              </w:rPr>
              <w:t>单批式操作</w:t>
            </w:r>
          </w:p>
        </w:tc>
        <w:tc>
          <w:tcPr>
            <w:tcW w:w="1055" w:type="pct"/>
            <w:vAlign w:val="center"/>
          </w:tcPr>
          <w:p w14:paraId="67F722ED">
            <w:pPr>
              <w:rPr>
                <w:rFonts w:ascii="宋体" w:hAnsi="宋体"/>
                <w:color w:val="auto"/>
              </w:rPr>
            </w:pPr>
            <w:r>
              <w:rPr>
                <w:rFonts w:ascii="宋体" w:hAnsi="宋体"/>
                <w:color w:val="auto"/>
              </w:rPr>
              <w:t>轻微放热反应；</w:t>
            </w:r>
          </w:p>
          <w:p w14:paraId="046F4DF4">
            <w:pPr>
              <w:rPr>
                <w:rFonts w:ascii="宋体" w:hAnsi="宋体"/>
                <w:color w:val="auto"/>
              </w:rPr>
            </w:pPr>
            <w:r>
              <w:rPr>
                <w:rFonts w:ascii="宋体" w:hAnsi="宋体"/>
                <w:color w:val="auto"/>
              </w:rPr>
              <w:t>在精制过程中伴有化学反应；</w:t>
            </w:r>
          </w:p>
          <w:p w14:paraId="3B40DF67">
            <w:pPr>
              <w:rPr>
                <w:rFonts w:ascii="宋体" w:hAnsi="宋体"/>
                <w:color w:val="auto"/>
              </w:rPr>
            </w:pPr>
            <w:r>
              <w:rPr>
                <w:rFonts w:ascii="宋体" w:hAnsi="宋体"/>
                <w:color w:val="auto"/>
              </w:rPr>
              <w:t>单批式操作，但开始使用机械进行程序操作；</w:t>
            </w:r>
          </w:p>
          <w:p w14:paraId="6DFBE3F2">
            <w:pPr>
              <w:rPr>
                <w:rFonts w:ascii="宋体" w:hAnsi="宋体"/>
                <w:color w:val="auto"/>
              </w:rPr>
            </w:pPr>
            <w:r>
              <w:rPr>
                <w:rFonts w:ascii="宋体" w:hAnsi="宋体"/>
                <w:color w:val="auto"/>
              </w:rPr>
              <w:t>有一定危险的操作</w:t>
            </w:r>
          </w:p>
        </w:tc>
        <w:tc>
          <w:tcPr>
            <w:tcW w:w="817" w:type="pct"/>
            <w:vAlign w:val="center"/>
          </w:tcPr>
          <w:p w14:paraId="08D8DCCC">
            <w:pPr>
              <w:rPr>
                <w:rFonts w:ascii="宋体" w:hAnsi="宋体"/>
                <w:color w:val="auto"/>
              </w:rPr>
            </w:pPr>
            <w:r>
              <w:rPr>
                <w:rFonts w:ascii="宋体" w:hAnsi="宋体"/>
                <w:color w:val="auto"/>
              </w:rPr>
              <w:t>无危险的操作</w:t>
            </w:r>
          </w:p>
        </w:tc>
      </w:tr>
    </w:tbl>
    <w:p w14:paraId="598762AF">
      <w:pPr>
        <w:spacing w:line="600" w:lineRule="exact"/>
        <w:ind w:firstLine="570"/>
        <w:rPr>
          <w:rFonts w:ascii="宋体" w:hAnsi="宋体"/>
          <w:color w:val="auto"/>
          <w:sz w:val="28"/>
          <w:szCs w:val="28"/>
        </w:rPr>
      </w:pPr>
      <w:r>
        <w:rPr>
          <w:rFonts w:ascii="宋体" w:hAnsi="宋体"/>
          <w:color w:val="auto"/>
          <w:sz w:val="28"/>
          <w:szCs w:val="28"/>
        </w:rPr>
        <w:t>危险度分级见表</w:t>
      </w:r>
      <w:r>
        <w:rPr>
          <w:rFonts w:hint="eastAsia" w:ascii="宋体" w:hAnsi="宋体"/>
          <w:color w:val="auto"/>
          <w:sz w:val="28"/>
          <w:szCs w:val="28"/>
        </w:rPr>
        <w:t>4.2-6</w:t>
      </w:r>
      <w:r>
        <w:rPr>
          <w:rFonts w:ascii="宋体" w:hAnsi="宋体"/>
          <w:color w:val="auto"/>
          <w:sz w:val="28"/>
          <w:szCs w:val="28"/>
        </w:rPr>
        <w:t>。</w:t>
      </w:r>
    </w:p>
    <w:p w14:paraId="644E6571">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4.2-6</w:t>
      </w:r>
      <w:r>
        <w:rPr>
          <w:rFonts w:ascii="宋体" w:hAnsi="宋体"/>
          <w:color w:val="auto"/>
          <w:sz w:val="28"/>
          <w:szCs w:val="28"/>
        </w:rPr>
        <w:t xml:space="preserve">  危险度分级表</w:t>
      </w:r>
    </w:p>
    <w:tbl>
      <w:tblPr>
        <w:tblStyle w:val="25"/>
        <w:tblW w:w="49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95"/>
        <w:gridCol w:w="2289"/>
        <w:gridCol w:w="2404"/>
        <w:gridCol w:w="2289"/>
      </w:tblGrid>
      <w:tr w14:paraId="3813A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00" w:hRule="atLeast"/>
          <w:jc w:val="center"/>
        </w:trPr>
        <w:tc>
          <w:tcPr>
            <w:tcW w:w="1237" w:type="pct"/>
            <w:vAlign w:val="center"/>
          </w:tcPr>
          <w:p w14:paraId="2D93DC1D">
            <w:pPr>
              <w:jc w:val="center"/>
              <w:rPr>
                <w:rFonts w:ascii="宋体" w:hAnsi="宋体"/>
                <w:b/>
                <w:color w:val="auto"/>
              </w:rPr>
            </w:pPr>
            <w:r>
              <w:rPr>
                <w:rFonts w:ascii="宋体" w:hAnsi="宋体"/>
                <w:b/>
                <w:color w:val="auto"/>
              </w:rPr>
              <w:t>总分值</w:t>
            </w:r>
          </w:p>
        </w:tc>
        <w:tc>
          <w:tcPr>
            <w:tcW w:w="1233" w:type="pct"/>
            <w:tcBorders>
              <w:top w:val="single" w:color="auto" w:sz="12" w:space="0"/>
              <w:bottom w:val="single" w:color="auto" w:sz="6" w:space="0"/>
              <w:right w:val="nil"/>
            </w:tcBorders>
            <w:vAlign w:val="center"/>
          </w:tcPr>
          <w:p w14:paraId="667D47FD">
            <w:pPr>
              <w:jc w:val="center"/>
              <w:rPr>
                <w:rFonts w:ascii="宋体" w:hAnsi="宋体"/>
                <w:color w:val="auto"/>
              </w:rPr>
            </w:pPr>
            <w:r>
              <w:rPr>
                <w:rFonts w:ascii="宋体" w:hAnsi="宋体"/>
                <w:color w:val="auto"/>
              </w:rPr>
              <w:t>≥16分</w:t>
            </w:r>
          </w:p>
        </w:tc>
        <w:tc>
          <w:tcPr>
            <w:tcW w:w="1295" w:type="pct"/>
            <w:tcBorders>
              <w:top w:val="single" w:color="auto" w:sz="12" w:space="0"/>
              <w:left w:val="nil"/>
              <w:bottom w:val="single" w:color="auto" w:sz="6" w:space="0"/>
            </w:tcBorders>
            <w:vAlign w:val="center"/>
          </w:tcPr>
          <w:p w14:paraId="33406758">
            <w:pPr>
              <w:jc w:val="center"/>
              <w:rPr>
                <w:rFonts w:ascii="宋体" w:hAnsi="宋体"/>
                <w:color w:val="auto"/>
              </w:rPr>
            </w:pPr>
            <w:r>
              <w:rPr>
                <w:rFonts w:ascii="宋体" w:hAnsi="宋体"/>
                <w:color w:val="auto"/>
              </w:rPr>
              <w:t>11</w:t>
            </w:r>
            <w:r>
              <w:rPr>
                <w:rFonts w:hint="eastAsia" w:ascii="宋体" w:hAnsi="宋体"/>
                <w:color w:val="auto"/>
              </w:rPr>
              <w:t>～</w:t>
            </w:r>
            <w:r>
              <w:rPr>
                <w:rFonts w:ascii="宋体" w:hAnsi="宋体"/>
                <w:color w:val="auto"/>
              </w:rPr>
              <w:t>15分</w:t>
            </w:r>
          </w:p>
        </w:tc>
        <w:tc>
          <w:tcPr>
            <w:tcW w:w="1233" w:type="pct"/>
            <w:vAlign w:val="center"/>
          </w:tcPr>
          <w:p w14:paraId="02D84777">
            <w:pPr>
              <w:jc w:val="center"/>
              <w:rPr>
                <w:rFonts w:ascii="宋体" w:hAnsi="宋体"/>
                <w:color w:val="auto"/>
              </w:rPr>
            </w:pPr>
            <w:r>
              <w:rPr>
                <w:rFonts w:ascii="宋体" w:hAnsi="宋体"/>
                <w:color w:val="auto"/>
              </w:rPr>
              <w:t>≤10分</w:t>
            </w:r>
          </w:p>
        </w:tc>
      </w:tr>
      <w:tr w14:paraId="7D3ED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1237" w:type="pct"/>
            <w:vAlign w:val="center"/>
          </w:tcPr>
          <w:p w14:paraId="19A4CA3B">
            <w:pPr>
              <w:jc w:val="center"/>
              <w:rPr>
                <w:rFonts w:ascii="宋体" w:hAnsi="宋体"/>
                <w:b/>
                <w:color w:val="auto"/>
              </w:rPr>
            </w:pPr>
            <w:r>
              <w:rPr>
                <w:rFonts w:ascii="宋体" w:hAnsi="宋体"/>
                <w:b/>
                <w:color w:val="auto"/>
              </w:rPr>
              <w:t>等级</w:t>
            </w:r>
          </w:p>
        </w:tc>
        <w:tc>
          <w:tcPr>
            <w:tcW w:w="1233" w:type="pct"/>
            <w:tcBorders>
              <w:top w:val="single" w:color="auto" w:sz="6" w:space="0"/>
              <w:bottom w:val="single" w:color="auto" w:sz="6" w:space="0"/>
              <w:right w:val="nil"/>
            </w:tcBorders>
            <w:vAlign w:val="center"/>
          </w:tcPr>
          <w:p w14:paraId="054B578F">
            <w:pPr>
              <w:jc w:val="center"/>
              <w:rPr>
                <w:rFonts w:ascii="宋体" w:hAnsi="宋体"/>
                <w:color w:val="auto"/>
              </w:rPr>
            </w:pPr>
            <w:r>
              <w:rPr>
                <w:rFonts w:ascii="宋体" w:hAnsi="宋体"/>
                <w:color w:val="auto"/>
              </w:rPr>
              <w:t>Ⅰ</w:t>
            </w:r>
          </w:p>
        </w:tc>
        <w:tc>
          <w:tcPr>
            <w:tcW w:w="1295" w:type="pct"/>
            <w:tcBorders>
              <w:top w:val="single" w:color="auto" w:sz="6" w:space="0"/>
              <w:left w:val="nil"/>
              <w:bottom w:val="single" w:color="auto" w:sz="6" w:space="0"/>
            </w:tcBorders>
            <w:vAlign w:val="center"/>
          </w:tcPr>
          <w:p w14:paraId="05CADEDA">
            <w:pPr>
              <w:jc w:val="center"/>
              <w:rPr>
                <w:rFonts w:ascii="宋体" w:hAnsi="宋体"/>
                <w:color w:val="auto"/>
              </w:rPr>
            </w:pPr>
            <w:r>
              <w:rPr>
                <w:rFonts w:ascii="宋体" w:hAnsi="宋体"/>
                <w:color w:val="auto"/>
              </w:rPr>
              <w:t>Ⅱ</w:t>
            </w:r>
          </w:p>
        </w:tc>
        <w:tc>
          <w:tcPr>
            <w:tcW w:w="1233" w:type="pct"/>
            <w:vAlign w:val="center"/>
          </w:tcPr>
          <w:p w14:paraId="496FD122">
            <w:pPr>
              <w:jc w:val="center"/>
              <w:rPr>
                <w:rFonts w:ascii="宋体" w:hAnsi="宋体"/>
                <w:color w:val="auto"/>
              </w:rPr>
            </w:pPr>
            <w:r>
              <w:rPr>
                <w:rFonts w:ascii="宋体" w:hAnsi="宋体"/>
                <w:color w:val="auto"/>
              </w:rPr>
              <w:t>Ⅲ</w:t>
            </w:r>
          </w:p>
        </w:tc>
      </w:tr>
      <w:tr w14:paraId="030267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1237" w:type="pct"/>
            <w:vAlign w:val="center"/>
          </w:tcPr>
          <w:p w14:paraId="6FEBF544">
            <w:pPr>
              <w:jc w:val="center"/>
              <w:rPr>
                <w:rFonts w:ascii="宋体" w:hAnsi="宋体"/>
                <w:b/>
                <w:color w:val="auto"/>
              </w:rPr>
            </w:pPr>
            <w:r>
              <w:rPr>
                <w:rFonts w:ascii="宋体" w:hAnsi="宋体"/>
                <w:b/>
                <w:color w:val="auto"/>
              </w:rPr>
              <w:t>危险程度</w:t>
            </w:r>
          </w:p>
        </w:tc>
        <w:tc>
          <w:tcPr>
            <w:tcW w:w="1233" w:type="pct"/>
            <w:tcBorders>
              <w:top w:val="single" w:color="auto" w:sz="6" w:space="0"/>
              <w:bottom w:val="single" w:color="auto" w:sz="12" w:space="0"/>
              <w:right w:val="nil"/>
            </w:tcBorders>
            <w:vAlign w:val="center"/>
          </w:tcPr>
          <w:p w14:paraId="2A0B8624">
            <w:pPr>
              <w:jc w:val="center"/>
              <w:rPr>
                <w:rFonts w:ascii="宋体" w:hAnsi="宋体"/>
                <w:color w:val="auto"/>
              </w:rPr>
            </w:pPr>
            <w:r>
              <w:rPr>
                <w:rFonts w:ascii="宋体" w:hAnsi="宋体"/>
                <w:color w:val="auto"/>
              </w:rPr>
              <w:t>高度危险</w:t>
            </w:r>
          </w:p>
        </w:tc>
        <w:tc>
          <w:tcPr>
            <w:tcW w:w="1295" w:type="pct"/>
            <w:tcBorders>
              <w:top w:val="single" w:color="auto" w:sz="6" w:space="0"/>
              <w:left w:val="nil"/>
              <w:bottom w:val="single" w:color="auto" w:sz="12" w:space="0"/>
            </w:tcBorders>
            <w:vAlign w:val="center"/>
          </w:tcPr>
          <w:p w14:paraId="4BAA35E8">
            <w:pPr>
              <w:jc w:val="center"/>
              <w:rPr>
                <w:rFonts w:ascii="宋体" w:hAnsi="宋体"/>
                <w:color w:val="auto"/>
              </w:rPr>
            </w:pPr>
            <w:r>
              <w:rPr>
                <w:rFonts w:ascii="宋体" w:hAnsi="宋体"/>
                <w:color w:val="auto"/>
              </w:rPr>
              <w:t>中度危险</w:t>
            </w:r>
          </w:p>
        </w:tc>
        <w:tc>
          <w:tcPr>
            <w:tcW w:w="1233" w:type="pct"/>
            <w:vAlign w:val="center"/>
          </w:tcPr>
          <w:p w14:paraId="1B480469">
            <w:pPr>
              <w:jc w:val="center"/>
              <w:rPr>
                <w:rFonts w:ascii="宋体" w:hAnsi="宋体"/>
                <w:color w:val="auto"/>
              </w:rPr>
            </w:pPr>
            <w:r>
              <w:rPr>
                <w:rFonts w:ascii="宋体" w:hAnsi="宋体"/>
                <w:color w:val="auto"/>
              </w:rPr>
              <w:t>低度危险</w:t>
            </w:r>
          </w:p>
        </w:tc>
      </w:tr>
    </w:tbl>
    <w:p w14:paraId="63795E42">
      <w:pPr>
        <w:rPr>
          <w:color w:val="auto"/>
        </w:rPr>
      </w:pPr>
    </w:p>
    <w:p w14:paraId="6290BBF2">
      <w:pPr>
        <w:rPr>
          <w:color w:val="auto"/>
        </w:rPr>
        <w:sectPr>
          <w:pgSz w:w="11906" w:h="16838"/>
          <w:pgMar w:top="1417" w:right="1417" w:bottom="1417" w:left="1417" w:header="907" w:footer="907" w:gutter="0"/>
          <w:pgNumType w:start="1"/>
          <w:cols w:space="720" w:num="1"/>
          <w:docGrid w:type="lines" w:linePitch="312" w:charSpace="0"/>
        </w:sectPr>
      </w:pPr>
    </w:p>
    <w:p w14:paraId="55DFE6A1">
      <w:pPr>
        <w:pStyle w:val="2"/>
        <w:jc w:val="center"/>
        <w:rPr>
          <w:rFonts w:ascii="宋体" w:hAnsi="宋体"/>
          <w:color w:val="auto"/>
          <w:sz w:val="32"/>
          <w:szCs w:val="32"/>
        </w:rPr>
      </w:pPr>
      <w:bookmarkStart w:id="129" w:name="_Toc2146"/>
      <w:bookmarkStart w:id="130" w:name="_Toc92712585"/>
      <w:bookmarkStart w:id="131" w:name="_Toc2095"/>
      <w:bookmarkStart w:id="132" w:name="_Toc22426"/>
      <w:bookmarkStart w:id="133" w:name="_Toc90566112"/>
      <w:bookmarkStart w:id="134" w:name="_Toc20468422"/>
      <w:r>
        <w:rPr>
          <w:rFonts w:ascii="宋体" w:hAnsi="宋体"/>
          <w:color w:val="auto"/>
          <w:sz w:val="32"/>
          <w:szCs w:val="32"/>
        </w:rPr>
        <w:t xml:space="preserve">5 </w:t>
      </w:r>
      <w:r>
        <w:rPr>
          <w:rFonts w:hint="eastAsia" w:ascii="宋体" w:hAnsi="宋体"/>
          <w:color w:val="auto"/>
          <w:sz w:val="32"/>
          <w:szCs w:val="32"/>
        </w:rPr>
        <w:t>定性、定量评价</w:t>
      </w:r>
      <w:bookmarkEnd w:id="129"/>
      <w:bookmarkEnd w:id="130"/>
      <w:bookmarkEnd w:id="131"/>
      <w:bookmarkEnd w:id="132"/>
      <w:bookmarkEnd w:id="133"/>
      <w:bookmarkEnd w:id="134"/>
    </w:p>
    <w:p w14:paraId="7CB541F5">
      <w:pPr>
        <w:pStyle w:val="3"/>
        <w:jc w:val="center"/>
        <w:rPr>
          <w:rFonts w:ascii="宋体" w:hAnsi="宋体"/>
          <w:color w:val="auto"/>
          <w:sz w:val="30"/>
          <w:szCs w:val="30"/>
        </w:rPr>
      </w:pPr>
      <w:bookmarkStart w:id="135" w:name="_Toc21479"/>
      <w:bookmarkStart w:id="136" w:name="_Toc7568"/>
      <w:bookmarkStart w:id="137" w:name="_Toc92712586"/>
      <w:bookmarkStart w:id="138" w:name="_Toc3486"/>
      <w:bookmarkStart w:id="139" w:name="_Toc20468423"/>
      <w:bookmarkStart w:id="140" w:name="_Toc24115"/>
      <w:bookmarkStart w:id="141" w:name="_Toc4733"/>
      <w:bookmarkStart w:id="142" w:name="_Toc343692262"/>
      <w:r>
        <w:rPr>
          <w:rFonts w:ascii="宋体" w:hAnsi="宋体"/>
          <w:color w:val="auto"/>
          <w:sz w:val="30"/>
          <w:szCs w:val="30"/>
        </w:rPr>
        <w:t>5.1 作业条件危险性评价法（</w:t>
      </w:r>
      <w:r>
        <w:rPr>
          <w:rFonts w:hint="eastAsia" w:ascii="宋体" w:hAnsi="宋体"/>
          <w:color w:val="auto"/>
          <w:sz w:val="30"/>
          <w:szCs w:val="30"/>
        </w:rPr>
        <w:t>D＝</w:t>
      </w:r>
      <w:r>
        <w:rPr>
          <w:rFonts w:ascii="宋体" w:hAnsi="宋体"/>
          <w:color w:val="auto"/>
          <w:sz w:val="30"/>
          <w:szCs w:val="30"/>
        </w:rPr>
        <w:t>LEC）</w:t>
      </w:r>
      <w:bookmarkEnd w:id="135"/>
      <w:bookmarkEnd w:id="136"/>
      <w:bookmarkEnd w:id="137"/>
      <w:bookmarkEnd w:id="138"/>
      <w:bookmarkEnd w:id="139"/>
      <w:bookmarkEnd w:id="140"/>
      <w:bookmarkEnd w:id="141"/>
      <w:bookmarkEnd w:id="142"/>
    </w:p>
    <w:p w14:paraId="0D207C57">
      <w:pPr>
        <w:spacing w:line="560" w:lineRule="exact"/>
        <w:rPr>
          <w:rFonts w:ascii="宋体" w:hAnsi="宋体"/>
          <w:b/>
          <w:bCs/>
          <w:color w:val="auto"/>
          <w:sz w:val="30"/>
          <w:szCs w:val="30"/>
        </w:rPr>
      </w:pPr>
      <w:bookmarkStart w:id="143" w:name="_Toc4861"/>
      <w:bookmarkStart w:id="144" w:name="_Toc22504"/>
      <w:bookmarkStart w:id="145" w:name="_Toc20468424"/>
      <w:bookmarkStart w:id="146" w:name="_Toc25880"/>
      <w:bookmarkStart w:id="147" w:name="_Toc92712587"/>
      <w:r>
        <w:rPr>
          <w:rFonts w:ascii="宋体" w:hAnsi="宋体"/>
          <w:b/>
          <w:bCs/>
          <w:color w:val="auto"/>
          <w:sz w:val="30"/>
          <w:szCs w:val="30"/>
        </w:rPr>
        <w:t>5.1.1</w:t>
      </w:r>
      <w:r>
        <w:rPr>
          <w:rFonts w:hint="eastAsia" w:ascii="宋体" w:hAnsi="宋体"/>
          <w:b/>
          <w:bCs/>
          <w:color w:val="auto"/>
          <w:sz w:val="30"/>
          <w:szCs w:val="30"/>
        </w:rPr>
        <w:t xml:space="preserve"> </w:t>
      </w:r>
      <w:r>
        <w:rPr>
          <w:rFonts w:ascii="宋体" w:hAnsi="宋体"/>
          <w:b/>
          <w:bCs/>
          <w:color w:val="auto"/>
          <w:sz w:val="30"/>
          <w:szCs w:val="30"/>
        </w:rPr>
        <w:t>评价单元</w:t>
      </w:r>
      <w:bookmarkEnd w:id="143"/>
      <w:bookmarkEnd w:id="144"/>
      <w:bookmarkEnd w:id="145"/>
      <w:bookmarkEnd w:id="146"/>
      <w:bookmarkEnd w:id="147"/>
    </w:p>
    <w:p w14:paraId="29A42390">
      <w:pPr>
        <w:spacing w:line="560" w:lineRule="exact"/>
        <w:ind w:firstLine="570"/>
        <w:rPr>
          <w:rFonts w:ascii="宋体" w:hAnsi="宋体"/>
          <w:color w:val="auto"/>
          <w:sz w:val="28"/>
          <w:szCs w:val="28"/>
        </w:rPr>
      </w:pPr>
      <w:r>
        <w:rPr>
          <w:rFonts w:ascii="宋体" w:hAnsi="宋体"/>
          <w:color w:val="auto"/>
          <w:sz w:val="28"/>
          <w:szCs w:val="28"/>
        </w:rPr>
        <w:t>根据本项目经营过程及分析，确定评价单元为：油罐区卸油作业、加油区加油作业、加油站内车辆道路引导作业</w:t>
      </w:r>
      <w:r>
        <w:rPr>
          <w:rFonts w:hint="eastAsia" w:ascii="宋体" w:hAnsi="宋体"/>
          <w:color w:val="auto"/>
          <w:sz w:val="28"/>
          <w:szCs w:val="28"/>
        </w:rPr>
        <w:t>、配电间</w:t>
      </w:r>
      <w:r>
        <w:rPr>
          <w:rFonts w:ascii="宋体" w:hAnsi="宋体"/>
          <w:color w:val="auto"/>
          <w:sz w:val="28"/>
          <w:szCs w:val="28"/>
        </w:rPr>
        <w:t>作业等单元。</w:t>
      </w:r>
    </w:p>
    <w:p w14:paraId="068A3030">
      <w:pPr>
        <w:spacing w:line="560" w:lineRule="exact"/>
        <w:rPr>
          <w:rFonts w:ascii="宋体" w:hAnsi="宋体"/>
          <w:b/>
          <w:bCs/>
          <w:color w:val="auto"/>
          <w:sz w:val="30"/>
          <w:szCs w:val="30"/>
        </w:rPr>
      </w:pPr>
      <w:bookmarkStart w:id="148" w:name="_Toc92712588"/>
      <w:bookmarkStart w:id="149" w:name="_Toc23097"/>
      <w:bookmarkStart w:id="150" w:name="_Toc20468425"/>
      <w:bookmarkStart w:id="151" w:name="_Toc32059"/>
      <w:bookmarkStart w:id="152" w:name="_Toc9784"/>
      <w:r>
        <w:rPr>
          <w:rFonts w:ascii="宋体" w:hAnsi="宋体"/>
          <w:b/>
          <w:bCs/>
          <w:color w:val="auto"/>
          <w:sz w:val="30"/>
          <w:szCs w:val="30"/>
        </w:rPr>
        <w:t>5.1.2</w:t>
      </w:r>
      <w:r>
        <w:rPr>
          <w:rFonts w:hint="eastAsia" w:ascii="宋体" w:hAnsi="宋体"/>
          <w:b/>
          <w:bCs/>
          <w:color w:val="auto"/>
          <w:sz w:val="30"/>
          <w:szCs w:val="30"/>
        </w:rPr>
        <w:t xml:space="preserve"> </w:t>
      </w:r>
      <w:r>
        <w:rPr>
          <w:rFonts w:ascii="宋体" w:hAnsi="宋体"/>
          <w:b/>
          <w:bCs/>
          <w:color w:val="auto"/>
          <w:sz w:val="30"/>
          <w:szCs w:val="30"/>
        </w:rPr>
        <w:t>作业条件危险性评价法的计算结果</w:t>
      </w:r>
      <w:bookmarkEnd w:id="148"/>
      <w:bookmarkEnd w:id="149"/>
      <w:bookmarkEnd w:id="150"/>
      <w:bookmarkEnd w:id="151"/>
      <w:bookmarkEnd w:id="152"/>
    </w:p>
    <w:p w14:paraId="380A6771">
      <w:pPr>
        <w:spacing w:line="560" w:lineRule="exact"/>
        <w:ind w:firstLine="570"/>
        <w:rPr>
          <w:rFonts w:ascii="宋体" w:hAnsi="宋体"/>
          <w:color w:val="auto"/>
          <w:sz w:val="28"/>
          <w:szCs w:val="28"/>
        </w:rPr>
      </w:pPr>
      <w:r>
        <w:rPr>
          <w:rFonts w:ascii="宋体" w:hAnsi="宋体"/>
          <w:color w:val="auto"/>
          <w:sz w:val="28"/>
          <w:szCs w:val="28"/>
        </w:rPr>
        <w:t>各单元计算结果及等级划分见表5</w:t>
      </w:r>
      <w:r>
        <w:rPr>
          <w:rFonts w:hint="eastAsia" w:ascii="宋体" w:hAnsi="宋体"/>
          <w:color w:val="auto"/>
          <w:sz w:val="28"/>
          <w:szCs w:val="28"/>
        </w:rPr>
        <w:t>.1</w:t>
      </w:r>
      <w:r>
        <w:rPr>
          <w:rFonts w:ascii="宋体" w:hAnsi="宋体"/>
          <w:color w:val="auto"/>
          <w:sz w:val="28"/>
          <w:szCs w:val="28"/>
        </w:rPr>
        <w:t>-1。</w:t>
      </w:r>
    </w:p>
    <w:p w14:paraId="3C18F20A">
      <w:pPr>
        <w:spacing w:line="560" w:lineRule="exact"/>
        <w:ind w:firstLine="570"/>
        <w:rPr>
          <w:rFonts w:ascii="宋体" w:hAnsi="宋体"/>
          <w:color w:val="auto"/>
          <w:sz w:val="28"/>
          <w:szCs w:val="28"/>
        </w:rPr>
      </w:pPr>
      <w:r>
        <w:rPr>
          <w:rFonts w:ascii="宋体" w:hAnsi="宋体"/>
          <w:color w:val="auto"/>
          <w:sz w:val="28"/>
          <w:szCs w:val="28"/>
        </w:rPr>
        <w:t>以</w:t>
      </w:r>
      <w:r>
        <w:rPr>
          <w:rFonts w:hint="eastAsia" w:ascii="宋体" w:hAnsi="宋体"/>
          <w:color w:val="auto"/>
          <w:sz w:val="28"/>
          <w:szCs w:val="28"/>
        </w:rPr>
        <w:t>卸</w:t>
      </w:r>
      <w:r>
        <w:rPr>
          <w:rFonts w:ascii="宋体" w:hAnsi="宋体"/>
          <w:color w:val="auto"/>
          <w:sz w:val="28"/>
          <w:szCs w:val="28"/>
        </w:rPr>
        <w:t>油作业单元为例说明LEC法的取值及计算过程。</w:t>
      </w:r>
    </w:p>
    <w:p w14:paraId="49C73E22">
      <w:pPr>
        <w:spacing w:line="56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事故发生的可能性L：在接卸油品作业操作过程中，由于物质为易燃液体，遇到火源可能发生火灾、爆炸事故，</w:t>
      </w:r>
      <w:r>
        <w:rPr>
          <w:rFonts w:ascii="宋体" w:hAnsi="宋体"/>
          <w:color w:val="auto"/>
          <w:spacing w:val="-6"/>
          <w:sz w:val="28"/>
          <w:szCs w:val="28"/>
        </w:rPr>
        <w:t>但在安全设施完备、严格按规程作业时一般不会发生事故，故属“</w:t>
      </w:r>
      <w:r>
        <w:rPr>
          <w:rFonts w:hint="eastAsia" w:ascii="宋体" w:hAnsi="宋体"/>
          <w:color w:val="auto"/>
          <w:spacing w:val="-6"/>
          <w:sz w:val="28"/>
          <w:szCs w:val="28"/>
        </w:rPr>
        <w:t>可能性小，完全意外</w:t>
      </w:r>
      <w:r>
        <w:rPr>
          <w:rFonts w:ascii="宋体" w:hAnsi="宋体"/>
          <w:color w:val="auto"/>
          <w:spacing w:val="-6"/>
          <w:sz w:val="28"/>
          <w:szCs w:val="28"/>
        </w:rPr>
        <w:t>”，故其分值L＝</w:t>
      </w:r>
      <w:r>
        <w:rPr>
          <w:rFonts w:hint="eastAsia" w:ascii="宋体" w:hAnsi="宋体"/>
          <w:color w:val="auto"/>
          <w:spacing w:val="-6"/>
          <w:sz w:val="28"/>
          <w:szCs w:val="28"/>
        </w:rPr>
        <w:t>1</w:t>
      </w:r>
      <w:r>
        <w:rPr>
          <w:rFonts w:ascii="宋体" w:hAnsi="宋体"/>
          <w:color w:val="auto"/>
          <w:spacing w:val="-6"/>
          <w:sz w:val="28"/>
          <w:szCs w:val="28"/>
        </w:rPr>
        <w:t>；</w:t>
      </w:r>
    </w:p>
    <w:p w14:paraId="2378D93E">
      <w:pPr>
        <w:spacing w:line="560" w:lineRule="exact"/>
        <w:ind w:firstLine="570"/>
        <w:rPr>
          <w:rFonts w:ascii="宋体" w:hAnsi="宋体"/>
          <w:color w:val="auto"/>
          <w:spacing w:val="-11"/>
          <w:sz w:val="28"/>
          <w:szCs w:val="28"/>
        </w:rPr>
      </w:pPr>
      <w:r>
        <w:rPr>
          <w:rFonts w:hint="eastAsia" w:ascii="宋体" w:hAnsi="宋体"/>
          <w:color w:val="auto"/>
          <w:spacing w:val="-11"/>
          <w:sz w:val="28"/>
          <w:szCs w:val="28"/>
        </w:rPr>
        <w:t>②</w:t>
      </w:r>
      <w:r>
        <w:rPr>
          <w:rFonts w:ascii="宋体" w:hAnsi="宋体"/>
          <w:color w:val="auto"/>
          <w:spacing w:val="-11"/>
          <w:sz w:val="28"/>
          <w:szCs w:val="28"/>
        </w:rPr>
        <w:t>暴露于危险环境的频繁程度E：员工每周1次作业或偶然暴露，故取E＝3；</w:t>
      </w:r>
    </w:p>
    <w:p w14:paraId="2819792E">
      <w:pPr>
        <w:spacing w:line="560" w:lineRule="exact"/>
        <w:ind w:firstLine="570"/>
        <w:rPr>
          <w:rFonts w:ascii="宋体" w:hAnsi="宋体"/>
          <w:color w:val="auto"/>
          <w:sz w:val="28"/>
          <w:szCs w:val="28"/>
        </w:rPr>
      </w:pPr>
      <w:r>
        <w:rPr>
          <w:rFonts w:hint="eastAsia" w:ascii="宋体" w:hAnsi="宋体"/>
          <w:color w:val="auto"/>
          <w:sz w:val="28"/>
          <w:szCs w:val="28"/>
        </w:rPr>
        <w:t>③</w:t>
      </w:r>
      <w:r>
        <w:rPr>
          <w:rFonts w:ascii="宋体" w:hAnsi="宋体"/>
          <w:color w:val="auto"/>
          <w:sz w:val="28"/>
          <w:szCs w:val="28"/>
        </w:rPr>
        <w:t>发生事故产生的后果C：发生火灾、爆炸事故，可能造成人员死亡或重大的财产损失。故取C＝15；D＝L×E×C＝</w:t>
      </w:r>
      <w:r>
        <w:rPr>
          <w:rFonts w:hint="eastAsia" w:ascii="宋体" w:hAnsi="宋体"/>
          <w:color w:val="auto"/>
          <w:sz w:val="28"/>
          <w:szCs w:val="28"/>
        </w:rPr>
        <w:t>1</w:t>
      </w:r>
      <w:r>
        <w:rPr>
          <w:rFonts w:ascii="宋体" w:hAnsi="宋体"/>
          <w:color w:val="auto"/>
          <w:sz w:val="28"/>
          <w:szCs w:val="28"/>
        </w:rPr>
        <w:t>×3×15＝</w:t>
      </w:r>
      <w:r>
        <w:rPr>
          <w:rFonts w:hint="eastAsia" w:ascii="宋体" w:hAnsi="宋体"/>
          <w:color w:val="auto"/>
          <w:sz w:val="28"/>
          <w:szCs w:val="28"/>
        </w:rPr>
        <w:t>4</w:t>
      </w:r>
      <w:r>
        <w:rPr>
          <w:rFonts w:ascii="宋体" w:hAnsi="宋体"/>
          <w:color w:val="auto"/>
          <w:sz w:val="28"/>
          <w:szCs w:val="28"/>
        </w:rPr>
        <w:t>5。</w:t>
      </w:r>
    </w:p>
    <w:p w14:paraId="7FC80F3C">
      <w:pPr>
        <w:spacing w:line="560" w:lineRule="exact"/>
        <w:ind w:firstLine="570"/>
        <w:rPr>
          <w:rFonts w:ascii="宋体" w:hAnsi="宋体"/>
          <w:color w:val="auto"/>
          <w:sz w:val="28"/>
          <w:szCs w:val="28"/>
        </w:rPr>
      </w:pPr>
      <w:r>
        <w:rPr>
          <w:rFonts w:hint="eastAsia" w:ascii="宋体" w:hAnsi="宋体"/>
          <w:color w:val="auto"/>
          <w:sz w:val="28"/>
          <w:szCs w:val="28"/>
        </w:rPr>
        <w:t>④</w:t>
      </w:r>
      <w:r>
        <w:rPr>
          <w:rFonts w:ascii="宋体" w:hAnsi="宋体"/>
          <w:color w:val="auto"/>
          <w:sz w:val="28"/>
          <w:szCs w:val="28"/>
        </w:rPr>
        <w:t>结论：储罐区接卸油作业</w:t>
      </w:r>
      <w:r>
        <w:rPr>
          <w:rFonts w:hint="eastAsia" w:ascii="宋体" w:hAnsi="宋体"/>
          <w:color w:val="auto"/>
          <w:sz w:val="28"/>
          <w:szCs w:val="28"/>
          <w:lang w:eastAsia="zh-CN"/>
        </w:rPr>
        <w:t>属于</w:t>
      </w:r>
      <w:r>
        <w:rPr>
          <w:rFonts w:ascii="宋体" w:hAnsi="宋体"/>
          <w:color w:val="auto"/>
          <w:sz w:val="28"/>
          <w:szCs w:val="28"/>
        </w:rPr>
        <w:t>“一般危险”范围。</w:t>
      </w:r>
    </w:p>
    <w:p w14:paraId="10DEBA12">
      <w:pPr>
        <w:spacing w:line="560" w:lineRule="exact"/>
        <w:jc w:val="center"/>
        <w:rPr>
          <w:rFonts w:ascii="宋体" w:hAnsi="宋体"/>
          <w:color w:val="auto"/>
          <w:sz w:val="28"/>
          <w:szCs w:val="28"/>
        </w:rPr>
      </w:pPr>
      <w:r>
        <w:rPr>
          <w:rFonts w:ascii="宋体" w:hAnsi="宋体"/>
          <w:color w:val="auto"/>
          <w:sz w:val="28"/>
          <w:szCs w:val="28"/>
        </w:rPr>
        <w:t>表5</w:t>
      </w:r>
      <w:r>
        <w:rPr>
          <w:rFonts w:hint="eastAsia" w:ascii="宋体" w:hAnsi="宋体"/>
          <w:color w:val="auto"/>
          <w:sz w:val="28"/>
          <w:szCs w:val="28"/>
        </w:rPr>
        <w:t>.1</w:t>
      </w:r>
      <w:r>
        <w:rPr>
          <w:rFonts w:ascii="宋体" w:hAnsi="宋体"/>
          <w:color w:val="auto"/>
          <w:sz w:val="28"/>
          <w:szCs w:val="28"/>
        </w:rPr>
        <w:t>-1  各单元危险评价表</w:t>
      </w:r>
    </w:p>
    <w:tbl>
      <w:tblPr>
        <w:tblStyle w:val="25"/>
        <w:tblW w:w="49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45"/>
        <w:gridCol w:w="2985"/>
        <w:gridCol w:w="581"/>
        <w:gridCol w:w="349"/>
        <w:gridCol w:w="462"/>
        <w:gridCol w:w="696"/>
        <w:gridCol w:w="1163"/>
      </w:tblGrid>
      <w:tr w14:paraId="2CC86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7" w:hRule="atLeast"/>
          <w:tblHeader/>
          <w:jc w:val="center"/>
        </w:trPr>
        <w:tc>
          <w:tcPr>
            <w:tcW w:w="375" w:type="pct"/>
            <w:vAlign w:val="center"/>
          </w:tcPr>
          <w:p w14:paraId="56E34399">
            <w:pPr>
              <w:jc w:val="center"/>
              <w:rPr>
                <w:rFonts w:ascii="宋体" w:hAnsi="宋体"/>
                <w:b/>
                <w:color w:val="auto"/>
              </w:rPr>
            </w:pPr>
            <w:r>
              <w:rPr>
                <w:rFonts w:ascii="宋体" w:hAnsi="宋体"/>
                <w:b/>
                <w:color w:val="auto"/>
              </w:rPr>
              <w:t>序号</w:t>
            </w:r>
          </w:p>
        </w:tc>
        <w:tc>
          <w:tcPr>
            <w:tcW w:w="1263" w:type="pct"/>
            <w:vAlign w:val="center"/>
          </w:tcPr>
          <w:p w14:paraId="2E83A4E5">
            <w:pPr>
              <w:jc w:val="center"/>
              <w:rPr>
                <w:rFonts w:ascii="宋体" w:hAnsi="宋体"/>
                <w:b/>
                <w:color w:val="auto"/>
              </w:rPr>
            </w:pPr>
            <w:r>
              <w:rPr>
                <w:rFonts w:ascii="宋体" w:hAnsi="宋体"/>
                <w:b/>
                <w:color w:val="auto"/>
              </w:rPr>
              <w:t>评价单元</w:t>
            </w:r>
          </w:p>
        </w:tc>
        <w:tc>
          <w:tcPr>
            <w:tcW w:w="1608" w:type="pct"/>
            <w:vAlign w:val="center"/>
          </w:tcPr>
          <w:p w14:paraId="3F5E314C">
            <w:pPr>
              <w:jc w:val="center"/>
              <w:rPr>
                <w:rFonts w:ascii="宋体" w:hAnsi="宋体"/>
                <w:b/>
                <w:color w:val="auto"/>
              </w:rPr>
            </w:pPr>
            <w:r>
              <w:rPr>
                <w:rFonts w:ascii="宋体" w:hAnsi="宋体"/>
                <w:b/>
                <w:color w:val="auto"/>
              </w:rPr>
              <w:t>危险类别</w:t>
            </w:r>
          </w:p>
        </w:tc>
        <w:tc>
          <w:tcPr>
            <w:tcW w:w="313" w:type="pct"/>
            <w:vAlign w:val="center"/>
          </w:tcPr>
          <w:p w14:paraId="76CE2032">
            <w:pPr>
              <w:jc w:val="center"/>
              <w:rPr>
                <w:rFonts w:ascii="宋体" w:hAnsi="宋体"/>
                <w:b/>
                <w:color w:val="auto"/>
              </w:rPr>
            </w:pPr>
            <w:r>
              <w:rPr>
                <w:rFonts w:ascii="宋体" w:hAnsi="宋体"/>
                <w:b/>
                <w:color w:val="auto"/>
              </w:rPr>
              <w:t>L</w:t>
            </w:r>
          </w:p>
        </w:tc>
        <w:tc>
          <w:tcPr>
            <w:tcW w:w="188" w:type="pct"/>
            <w:vAlign w:val="center"/>
          </w:tcPr>
          <w:p w14:paraId="19DD42E5">
            <w:pPr>
              <w:jc w:val="center"/>
              <w:rPr>
                <w:rFonts w:ascii="宋体" w:hAnsi="宋体"/>
                <w:b/>
                <w:color w:val="auto"/>
              </w:rPr>
            </w:pPr>
            <w:r>
              <w:rPr>
                <w:rFonts w:ascii="宋体" w:hAnsi="宋体"/>
                <w:b/>
                <w:color w:val="auto"/>
              </w:rPr>
              <w:t>E</w:t>
            </w:r>
          </w:p>
        </w:tc>
        <w:tc>
          <w:tcPr>
            <w:tcW w:w="249" w:type="pct"/>
            <w:vAlign w:val="center"/>
          </w:tcPr>
          <w:p w14:paraId="47559C40">
            <w:pPr>
              <w:jc w:val="center"/>
              <w:rPr>
                <w:rFonts w:ascii="宋体" w:hAnsi="宋体"/>
                <w:b/>
                <w:color w:val="auto"/>
              </w:rPr>
            </w:pPr>
            <w:r>
              <w:rPr>
                <w:rFonts w:ascii="宋体" w:hAnsi="宋体"/>
                <w:b/>
                <w:color w:val="auto"/>
              </w:rPr>
              <w:t>C</w:t>
            </w:r>
          </w:p>
        </w:tc>
        <w:tc>
          <w:tcPr>
            <w:tcW w:w="375" w:type="pct"/>
            <w:vAlign w:val="center"/>
          </w:tcPr>
          <w:p w14:paraId="3F3DA766">
            <w:pPr>
              <w:jc w:val="center"/>
              <w:rPr>
                <w:rFonts w:ascii="宋体" w:hAnsi="宋体"/>
                <w:b/>
                <w:color w:val="auto"/>
              </w:rPr>
            </w:pPr>
            <w:r>
              <w:rPr>
                <w:rFonts w:ascii="宋体" w:hAnsi="宋体"/>
                <w:b/>
                <w:color w:val="auto"/>
              </w:rPr>
              <w:t>D</w:t>
            </w:r>
          </w:p>
        </w:tc>
        <w:tc>
          <w:tcPr>
            <w:tcW w:w="626" w:type="pct"/>
            <w:tcBorders>
              <w:bottom w:val="single" w:color="auto" w:sz="6" w:space="0"/>
            </w:tcBorders>
            <w:vAlign w:val="center"/>
          </w:tcPr>
          <w:p w14:paraId="02149214">
            <w:pPr>
              <w:jc w:val="center"/>
              <w:rPr>
                <w:rFonts w:ascii="宋体" w:hAnsi="宋体"/>
                <w:b/>
                <w:color w:val="auto"/>
              </w:rPr>
            </w:pPr>
            <w:r>
              <w:rPr>
                <w:rFonts w:ascii="宋体" w:hAnsi="宋体"/>
                <w:b/>
                <w:color w:val="auto"/>
              </w:rPr>
              <w:t>危险程度</w:t>
            </w:r>
          </w:p>
        </w:tc>
      </w:tr>
      <w:tr w14:paraId="06513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restart"/>
            <w:shd w:val="clear" w:color="auto" w:fill="auto"/>
            <w:vAlign w:val="center"/>
          </w:tcPr>
          <w:p w14:paraId="0398B8FC">
            <w:pPr>
              <w:jc w:val="center"/>
              <w:rPr>
                <w:rFonts w:ascii="宋体" w:hAnsi="宋体"/>
                <w:color w:val="auto"/>
              </w:rPr>
            </w:pPr>
            <w:r>
              <w:rPr>
                <w:rFonts w:ascii="宋体" w:hAnsi="宋体"/>
                <w:color w:val="auto"/>
              </w:rPr>
              <w:t>1</w:t>
            </w:r>
          </w:p>
        </w:tc>
        <w:tc>
          <w:tcPr>
            <w:tcW w:w="1263" w:type="pct"/>
            <w:vMerge w:val="restart"/>
            <w:shd w:val="clear" w:color="auto" w:fill="auto"/>
            <w:vAlign w:val="center"/>
          </w:tcPr>
          <w:p w14:paraId="7F31441B">
            <w:pPr>
              <w:jc w:val="center"/>
              <w:rPr>
                <w:rFonts w:ascii="宋体" w:hAnsi="宋体"/>
                <w:color w:val="auto"/>
              </w:rPr>
            </w:pPr>
            <w:r>
              <w:rPr>
                <w:rFonts w:ascii="宋体" w:hAnsi="宋体"/>
                <w:color w:val="auto"/>
              </w:rPr>
              <w:t>油罐区卸油</w:t>
            </w:r>
            <w:r>
              <w:rPr>
                <w:rFonts w:hint="eastAsia" w:ascii="宋体" w:hAnsi="宋体"/>
                <w:color w:val="auto"/>
              </w:rPr>
              <w:t>、巡检</w:t>
            </w:r>
            <w:r>
              <w:rPr>
                <w:rFonts w:ascii="宋体" w:hAnsi="宋体"/>
                <w:color w:val="auto"/>
              </w:rPr>
              <w:t>作业</w:t>
            </w:r>
          </w:p>
        </w:tc>
        <w:tc>
          <w:tcPr>
            <w:tcW w:w="1608" w:type="pct"/>
            <w:shd w:val="clear" w:color="auto" w:fill="auto"/>
            <w:vAlign w:val="center"/>
          </w:tcPr>
          <w:p w14:paraId="3F8E5424">
            <w:pPr>
              <w:jc w:val="center"/>
              <w:rPr>
                <w:rFonts w:ascii="宋体" w:hAnsi="宋体"/>
                <w:color w:val="auto"/>
              </w:rPr>
            </w:pPr>
            <w:r>
              <w:rPr>
                <w:rFonts w:ascii="宋体" w:hAnsi="宋体"/>
                <w:color w:val="auto"/>
              </w:rPr>
              <w:t>火灾，爆炸</w:t>
            </w:r>
          </w:p>
        </w:tc>
        <w:tc>
          <w:tcPr>
            <w:tcW w:w="313" w:type="pct"/>
            <w:shd w:val="clear" w:color="auto" w:fill="auto"/>
            <w:vAlign w:val="center"/>
          </w:tcPr>
          <w:p w14:paraId="27A73469">
            <w:pPr>
              <w:jc w:val="center"/>
              <w:rPr>
                <w:rFonts w:ascii="宋体" w:hAnsi="宋体"/>
                <w:color w:val="auto"/>
              </w:rPr>
            </w:pPr>
            <w:r>
              <w:rPr>
                <w:rFonts w:hint="eastAsia" w:ascii="宋体" w:hAnsi="宋体"/>
                <w:color w:val="auto"/>
              </w:rPr>
              <w:t>1</w:t>
            </w:r>
          </w:p>
        </w:tc>
        <w:tc>
          <w:tcPr>
            <w:tcW w:w="188" w:type="pct"/>
            <w:shd w:val="clear" w:color="auto" w:fill="auto"/>
            <w:vAlign w:val="center"/>
          </w:tcPr>
          <w:p w14:paraId="69B7FBAE">
            <w:pPr>
              <w:jc w:val="center"/>
              <w:rPr>
                <w:rFonts w:ascii="宋体" w:hAnsi="宋体"/>
                <w:color w:val="auto"/>
              </w:rPr>
            </w:pPr>
            <w:r>
              <w:rPr>
                <w:rFonts w:ascii="宋体" w:hAnsi="宋体"/>
                <w:color w:val="auto"/>
              </w:rPr>
              <w:t>3</w:t>
            </w:r>
          </w:p>
        </w:tc>
        <w:tc>
          <w:tcPr>
            <w:tcW w:w="249" w:type="pct"/>
            <w:shd w:val="clear" w:color="auto" w:fill="auto"/>
            <w:vAlign w:val="center"/>
          </w:tcPr>
          <w:p w14:paraId="309AFCEF">
            <w:pPr>
              <w:jc w:val="center"/>
              <w:rPr>
                <w:rFonts w:ascii="宋体" w:hAnsi="宋体"/>
                <w:color w:val="auto"/>
              </w:rPr>
            </w:pPr>
            <w:r>
              <w:rPr>
                <w:rFonts w:ascii="宋体" w:hAnsi="宋体"/>
                <w:color w:val="auto"/>
              </w:rPr>
              <w:t>15</w:t>
            </w:r>
          </w:p>
        </w:tc>
        <w:tc>
          <w:tcPr>
            <w:tcW w:w="375" w:type="pct"/>
            <w:shd w:val="clear" w:color="auto" w:fill="auto"/>
            <w:vAlign w:val="center"/>
          </w:tcPr>
          <w:p w14:paraId="3562C9D6">
            <w:pPr>
              <w:jc w:val="center"/>
              <w:rPr>
                <w:rFonts w:ascii="宋体" w:hAnsi="宋体"/>
                <w:color w:val="auto"/>
              </w:rPr>
            </w:pPr>
            <w:r>
              <w:rPr>
                <w:rFonts w:hint="eastAsia" w:ascii="宋体" w:hAnsi="宋体"/>
                <w:color w:val="auto"/>
              </w:rPr>
              <w:t>4</w:t>
            </w:r>
            <w:r>
              <w:rPr>
                <w:rFonts w:ascii="宋体" w:hAnsi="宋体"/>
                <w:color w:val="auto"/>
              </w:rPr>
              <w:t>5</w:t>
            </w:r>
          </w:p>
        </w:tc>
        <w:tc>
          <w:tcPr>
            <w:tcW w:w="626" w:type="pct"/>
            <w:tcBorders>
              <w:top w:val="single" w:color="auto" w:sz="6" w:space="0"/>
              <w:bottom w:val="single" w:color="auto" w:sz="6" w:space="0"/>
            </w:tcBorders>
            <w:shd w:val="clear" w:color="auto" w:fill="0000FF"/>
            <w:vAlign w:val="center"/>
          </w:tcPr>
          <w:p w14:paraId="4BBC3209">
            <w:pPr>
              <w:jc w:val="center"/>
              <w:rPr>
                <w:rFonts w:ascii="宋体" w:hAnsi="宋体"/>
                <w:color w:val="auto"/>
              </w:rPr>
            </w:pPr>
            <w:r>
              <w:rPr>
                <w:rFonts w:ascii="宋体" w:hAnsi="宋体"/>
                <w:color w:val="auto"/>
              </w:rPr>
              <w:t>一般危险</w:t>
            </w:r>
          </w:p>
        </w:tc>
      </w:tr>
      <w:tr w14:paraId="6CC66C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3C8C0AF2">
            <w:pPr>
              <w:jc w:val="center"/>
              <w:rPr>
                <w:rFonts w:ascii="宋体" w:hAnsi="宋体"/>
                <w:color w:val="auto"/>
              </w:rPr>
            </w:pPr>
          </w:p>
        </w:tc>
        <w:tc>
          <w:tcPr>
            <w:tcW w:w="1263" w:type="pct"/>
            <w:vMerge w:val="continue"/>
            <w:shd w:val="clear" w:color="auto" w:fill="auto"/>
            <w:vAlign w:val="center"/>
          </w:tcPr>
          <w:p w14:paraId="78BAB5F5">
            <w:pPr>
              <w:jc w:val="center"/>
              <w:rPr>
                <w:rFonts w:ascii="宋体" w:hAnsi="宋体"/>
                <w:color w:val="auto"/>
              </w:rPr>
            </w:pPr>
          </w:p>
        </w:tc>
        <w:tc>
          <w:tcPr>
            <w:tcW w:w="1608" w:type="pct"/>
            <w:shd w:val="clear" w:color="auto" w:fill="auto"/>
            <w:vAlign w:val="center"/>
          </w:tcPr>
          <w:p w14:paraId="1969DDBB">
            <w:pPr>
              <w:jc w:val="center"/>
              <w:rPr>
                <w:rFonts w:ascii="宋体" w:hAnsi="宋体"/>
                <w:color w:val="auto"/>
              </w:rPr>
            </w:pPr>
            <w:r>
              <w:rPr>
                <w:rFonts w:hint="eastAsia" w:ascii="宋体" w:hAnsi="宋体"/>
                <w:color w:val="auto"/>
              </w:rPr>
              <w:t>厂(场)内车辆致害</w:t>
            </w:r>
          </w:p>
        </w:tc>
        <w:tc>
          <w:tcPr>
            <w:tcW w:w="313" w:type="pct"/>
            <w:shd w:val="clear" w:color="auto" w:fill="auto"/>
            <w:vAlign w:val="center"/>
          </w:tcPr>
          <w:p w14:paraId="6FE3D952">
            <w:pPr>
              <w:jc w:val="center"/>
              <w:rPr>
                <w:rFonts w:ascii="宋体" w:hAnsi="宋体"/>
                <w:color w:val="auto"/>
              </w:rPr>
            </w:pPr>
            <w:r>
              <w:rPr>
                <w:rFonts w:hint="eastAsia" w:ascii="宋体" w:hAnsi="宋体"/>
                <w:color w:val="auto"/>
              </w:rPr>
              <w:t>0.5</w:t>
            </w:r>
          </w:p>
        </w:tc>
        <w:tc>
          <w:tcPr>
            <w:tcW w:w="188" w:type="pct"/>
            <w:shd w:val="clear" w:color="auto" w:fill="auto"/>
            <w:vAlign w:val="center"/>
          </w:tcPr>
          <w:p w14:paraId="2C661D5C">
            <w:pPr>
              <w:jc w:val="center"/>
              <w:rPr>
                <w:rFonts w:ascii="宋体" w:hAnsi="宋体"/>
                <w:color w:val="auto"/>
              </w:rPr>
            </w:pPr>
            <w:r>
              <w:rPr>
                <w:rFonts w:ascii="宋体" w:hAnsi="宋体"/>
                <w:color w:val="auto"/>
              </w:rPr>
              <w:t>3</w:t>
            </w:r>
          </w:p>
        </w:tc>
        <w:tc>
          <w:tcPr>
            <w:tcW w:w="249" w:type="pct"/>
            <w:shd w:val="clear" w:color="auto" w:fill="auto"/>
            <w:vAlign w:val="center"/>
          </w:tcPr>
          <w:p w14:paraId="0BE67AD6">
            <w:pPr>
              <w:jc w:val="center"/>
              <w:rPr>
                <w:rFonts w:ascii="宋体" w:hAnsi="宋体"/>
                <w:color w:val="auto"/>
              </w:rPr>
            </w:pPr>
            <w:r>
              <w:rPr>
                <w:rFonts w:ascii="宋体" w:hAnsi="宋体"/>
                <w:color w:val="auto"/>
              </w:rPr>
              <w:t>15</w:t>
            </w:r>
          </w:p>
        </w:tc>
        <w:tc>
          <w:tcPr>
            <w:tcW w:w="375" w:type="pct"/>
            <w:shd w:val="clear" w:color="auto" w:fill="auto"/>
            <w:vAlign w:val="center"/>
          </w:tcPr>
          <w:p w14:paraId="46BA0418">
            <w:pPr>
              <w:jc w:val="center"/>
              <w:rPr>
                <w:rFonts w:ascii="宋体" w:hAnsi="宋体"/>
                <w:color w:val="auto"/>
              </w:rPr>
            </w:pPr>
            <w:r>
              <w:rPr>
                <w:rFonts w:hint="eastAsia" w:ascii="宋体" w:hAnsi="宋体"/>
                <w:color w:val="auto"/>
              </w:rPr>
              <w:t>22.</w:t>
            </w:r>
            <w:r>
              <w:rPr>
                <w:rFonts w:ascii="宋体" w:hAnsi="宋体"/>
                <w:color w:val="auto"/>
              </w:rPr>
              <w:t>5</w:t>
            </w:r>
          </w:p>
        </w:tc>
        <w:tc>
          <w:tcPr>
            <w:tcW w:w="626" w:type="pct"/>
            <w:tcBorders>
              <w:top w:val="single" w:color="auto" w:sz="6" w:space="0"/>
              <w:bottom w:val="single" w:color="auto" w:sz="12" w:space="0"/>
            </w:tcBorders>
            <w:shd w:val="clear" w:color="auto" w:fill="0000FF"/>
            <w:vAlign w:val="center"/>
          </w:tcPr>
          <w:p w14:paraId="19D6E488">
            <w:pPr>
              <w:jc w:val="center"/>
              <w:rPr>
                <w:rFonts w:ascii="宋体" w:hAnsi="宋体"/>
                <w:color w:val="auto"/>
              </w:rPr>
            </w:pPr>
            <w:r>
              <w:rPr>
                <w:rFonts w:ascii="宋体" w:hAnsi="宋体"/>
                <w:color w:val="auto"/>
              </w:rPr>
              <w:t>一般危险</w:t>
            </w:r>
          </w:p>
        </w:tc>
      </w:tr>
      <w:tr w14:paraId="55580B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375" w:type="pct"/>
            <w:vMerge w:val="continue"/>
            <w:shd w:val="clear" w:color="auto" w:fill="auto"/>
            <w:vAlign w:val="center"/>
          </w:tcPr>
          <w:p w14:paraId="3FCDA9C4">
            <w:pPr>
              <w:jc w:val="center"/>
              <w:rPr>
                <w:rFonts w:ascii="宋体" w:hAnsi="宋体"/>
                <w:color w:val="auto"/>
              </w:rPr>
            </w:pPr>
          </w:p>
        </w:tc>
        <w:tc>
          <w:tcPr>
            <w:tcW w:w="1263" w:type="pct"/>
            <w:vMerge w:val="continue"/>
            <w:shd w:val="clear" w:color="auto" w:fill="auto"/>
            <w:vAlign w:val="center"/>
          </w:tcPr>
          <w:p w14:paraId="0165DE72">
            <w:pPr>
              <w:jc w:val="center"/>
              <w:rPr>
                <w:rFonts w:ascii="宋体" w:hAnsi="宋体"/>
                <w:color w:val="auto"/>
              </w:rPr>
            </w:pPr>
          </w:p>
        </w:tc>
        <w:tc>
          <w:tcPr>
            <w:tcW w:w="1608" w:type="pct"/>
            <w:shd w:val="clear" w:color="auto" w:fill="auto"/>
            <w:vAlign w:val="center"/>
          </w:tcPr>
          <w:p w14:paraId="2AD5A4F4">
            <w:pPr>
              <w:jc w:val="center"/>
              <w:rPr>
                <w:rFonts w:ascii="宋体" w:hAnsi="宋体"/>
                <w:color w:val="auto"/>
              </w:rPr>
            </w:pPr>
            <w:r>
              <w:rPr>
                <w:rFonts w:ascii="宋体" w:hAnsi="宋体"/>
                <w:color w:val="auto"/>
              </w:rPr>
              <w:t>中毒</w:t>
            </w:r>
          </w:p>
        </w:tc>
        <w:tc>
          <w:tcPr>
            <w:tcW w:w="313" w:type="pct"/>
            <w:shd w:val="clear" w:color="auto" w:fill="auto"/>
            <w:vAlign w:val="center"/>
          </w:tcPr>
          <w:p w14:paraId="5AAA972A">
            <w:pPr>
              <w:jc w:val="center"/>
              <w:rPr>
                <w:rFonts w:ascii="宋体" w:hAnsi="宋体"/>
                <w:color w:val="auto"/>
              </w:rPr>
            </w:pPr>
            <w:r>
              <w:rPr>
                <w:rFonts w:ascii="宋体" w:hAnsi="宋体"/>
                <w:color w:val="auto"/>
              </w:rPr>
              <w:t>0.5</w:t>
            </w:r>
          </w:p>
        </w:tc>
        <w:tc>
          <w:tcPr>
            <w:tcW w:w="188" w:type="pct"/>
            <w:shd w:val="clear" w:color="auto" w:fill="auto"/>
            <w:vAlign w:val="center"/>
          </w:tcPr>
          <w:p w14:paraId="3026C3C4">
            <w:pPr>
              <w:jc w:val="center"/>
              <w:rPr>
                <w:rFonts w:ascii="宋体" w:hAnsi="宋体"/>
                <w:color w:val="auto"/>
              </w:rPr>
            </w:pPr>
            <w:r>
              <w:rPr>
                <w:rFonts w:ascii="宋体" w:hAnsi="宋体"/>
                <w:color w:val="auto"/>
              </w:rPr>
              <w:t>3</w:t>
            </w:r>
          </w:p>
        </w:tc>
        <w:tc>
          <w:tcPr>
            <w:tcW w:w="249" w:type="pct"/>
            <w:shd w:val="clear" w:color="auto" w:fill="auto"/>
            <w:vAlign w:val="center"/>
          </w:tcPr>
          <w:p w14:paraId="5ADC274A">
            <w:pPr>
              <w:jc w:val="center"/>
              <w:rPr>
                <w:rFonts w:ascii="宋体" w:hAnsi="宋体"/>
                <w:color w:val="auto"/>
              </w:rPr>
            </w:pPr>
            <w:r>
              <w:rPr>
                <w:rFonts w:ascii="宋体" w:hAnsi="宋体"/>
                <w:color w:val="auto"/>
              </w:rPr>
              <w:t>7</w:t>
            </w:r>
          </w:p>
        </w:tc>
        <w:tc>
          <w:tcPr>
            <w:tcW w:w="375" w:type="pct"/>
            <w:shd w:val="clear" w:color="auto" w:fill="auto"/>
            <w:vAlign w:val="center"/>
          </w:tcPr>
          <w:p w14:paraId="00567F22">
            <w:pPr>
              <w:jc w:val="center"/>
              <w:rPr>
                <w:rFonts w:ascii="宋体" w:hAnsi="宋体"/>
                <w:color w:val="auto"/>
              </w:rPr>
            </w:pPr>
            <w:r>
              <w:rPr>
                <w:rFonts w:ascii="宋体" w:hAnsi="宋体"/>
                <w:color w:val="auto"/>
              </w:rPr>
              <w:t>10.5</w:t>
            </w:r>
          </w:p>
        </w:tc>
        <w:tc>
          <w:tcPr>
            <w:tcW w:w="626" w:type="pct"/>
            <w:tcBorders>
              <w:top w:val="single" w:color="auto" w:sz="12" w:space="0"/>
              <w:bottom w:val="single" w:color="auto" w:sz="6" w:space="0"/>
            </w:tcBorders>
            <w:shd w:val="clear" w:color="auto" w:fill="99CCFF"/>
            <w:vAlign w:val="center"/>
          </w:tcPr>
          <w:p w14:paraId="5EE2A32D">
            <w:pPr>
              <w:jc w:val="center"/>
              <w:rPr>
                <w:rFonts w:ascii="宋体" w:hAnsi="宋体"/>
                <w:color w:val="auto"/>
              </w:rPr>
            </w:pPr>
            <w:r>
              <w:rPr>
                <w:rFonts w:ascii="宋体" w:hAnsi="宋体"/>
                <w:color w:val="auto"/>
              </w:rPr>
              <w:t>稍有危险</w:t>
            </w:r>
          </w:p>
        </w:tc>
      </w:tr>
      <w:tr w14:paraId="224E7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4C92DDB8">
            <w:pPr>
              <w:jc w:val="center"/>
              <w:rPr>
                <w:rFonts w:ascii="宋体" w:hAnsi="宋体"/>
                <w:color w:val="auto"/>
              </w:rPr>
            </w:pPr>
          </w:p>
        </w:tc>
        <w:tc>
          <w:tcPr>
            <w:tcW w:w="1263" w:type="pct"/>
            <w:vMerge w:val="continue"/>
            <w:shd w:val="clear" w:color="auto" w:fill="auto"/>
            <w:vAlign w:val="center"/>
          </w:tcPr>
          <w:p w14:paraId="7E24B7B5">
            <w:pPr>
              <w:jc w:val="center"/>
              <w:rPr>
                <w:rFonts w:ascii="宋体" w:hAnsi="宋体"/>
                <w:color w:val="auto"/>
              </w:rPr>
            </w:pPr>
          </w:p>
        </w:tc>
        <w:tc>
          <w:tcPr>
            <w:tcW w:w="1608" w:type="pct"/>
            <w:shd w:val="clear" w:color="auto" w:fill="auto"/>
            <w:vAlign w:val="center"/>
          </w:tcPr>
          <w:p w14:paraId="7E165CBC">
            <w:pPr>
              <w:jc w:val="center"/>
              <w:rPr>
                <w:rFonts w:ascii="宋体" w:hAnsi="宋体"/>
                <w:color w:val="auto"/>
              </w:rPr>
            </w:pPr>
            <w:r>
              <w:rPr>
                <w:rFonts w:ascii="宋体" w:hAnsi="宋体"/>
                <w:color w:val="auto"/>
              </w:rPr>
              <w:t>物体打击</w:t>
            </w:r>
          </w:p>
        </w:tc>
        <w:tc>
          <w:tcPr>
            <w:tcW w:w="313" w:type="pct"/>
            <w:shd w:val="clear" w:color="auto" w:fill="auto"/>
            <w:vAlign w:val="center"/>
          </w:tcPr>
          <w:p w14:paraId="3CE3692E">
            <w:pPr>
              <w:jc w:val="center"/>
              <w:rPr>
                <w:rFonts w:ascii="宋体" w:hAnsi="宋体"/>
                <w:color w:val="auto"/>
              </w:rPr>
            </w:pPr>
            <w:r>
              <w:rPr>
                <w:rFonts w:ascii="宋体" w:hAnsi="宋体"/>
                <w:color w:val="auto"/>
              </w:rPr>
              <w:t>0.5</w:t>
            </w:r>
          </w:p>
        </w:tc>
        <w:tc>
          <w:tcPr>
            <w:tcW w:w="188" w:type="pct"/>
            <w:shd w:val="clear" w:color="auto" w:fill="auto"/>
            <w:vAlign w:val="center"/>
          </w:tcPr>
          <w:p w14:paraId="0F2A87B5">
            <w:pPr>
              <w:jc w:val="center"/>
              <w:rPr>
                <w:rFonts w:ascii="宋体" w:hAnsi="宋体"/>
                <w:color w:val="auto"/>
              </w:rPr>
            </w:pPr>
            <w:r>
              <w:rPr>
                <w:rFonts w:ascii="宋体" w:hAnsi="宋体"/>
                <w:color w:val="auto"/>
              </w:rPr>
              <w:t>3</w:t>
            </w:r>
          </w:p>
        </w:tc>
        <w:tc>
          <w:tcPr>
            <w:tcW w:w="249" w:type="pct"/>
            <w:shd w:val="clear" w:color="auto" w:fill="auto"/>
            <w:vAlign w:val="center"/>
          </w:tcPr>
          <w:p w14:paraId="68EBBB87">
            <w:pPr>
              <w:jc w:val="center"/>
              <w:rPr>
                <w:rFonts w:ascii="宋体" w:hAnsi="宋体"/>
                <w:color w:val="auto"/>
              </w:rPr>
            </w:pPr>
            <w:r>
              <w:rPr>
                <w:rFonts w:ascii="宋体" w:hAnsi="宋体"/>
                <w:color w:val="auto"/>
              </w:rPr>
              <w:t>3</w:t>
            </w:r>
          </w:p>
        </w:tc>
        <w:tc>
          <w:tcPr>
            <w:tcW w:w="375" w:type="pct"/>
            <w:shd w:val="clear" w:color="auto" w:fill="auto"/>
            <w:vAlign w:val="center"/>
          </w:tcPr>
          <w:p w14:paraId="32232FDE">
            <w:pPr>
              <w:jc w:val="center"/>
              <w:rPr>
                <w:rFonts w:ascii="宋体" w:hAnsi="宋体"/>
                <w:color w:val="auto"/>
              </w:rPr>
            </w:pPr>
            <w:r>
              <w:rPr>
                <w:rFonts w:ascii="宋体" w:hAnsi="宋体"/>
                <w:color w:val="auto"/>
              </w:rPr>
              <w:t>4.5</w:t>
            </w:r>
          </w:p>
        </w:tc>
        <w:tc>
          <w:tcPr>
            <w:tcW w:w="626" w:type="pct"/>
            <w:tcBorders>
              <w:top w:val="single" w:color="auto" w:sz="6" w:space="0"/>
              <w:bottom w:val="single" w:color="auto" w:sz="6" w:space="0"/>
            </w:tcBorders>
            <w:shd w:val="clear" w:color="auto" w:fill="99CCFF"/>
            <w:vAlign w:val="center"/>
          </w:tcPr>
          <w:p w14:paraId="67AA307D">
            <w:pPr>
              <w:jc w:val="center"/>
              <w:rPr>
                <w:rFonts w:ascii="宋体" w:hAnsi="宋体"/>
                <w:color w:val="auto"/>
              </w:rPr>
            </w:pPr>
            <w:r>
              <w:rPr>
                <w:rFonts w:ascii="宋体" w:hAnsi="宋体"/>
                <w:color w:val="auto"/>
              </w:rPr>
              <w:t>稍有危险</w:t>
            </w:r>
          </w:p>
        </w:tc>
      </w:tr>
      <w:tr w14:paraId="601017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restart"/>
            <w:shd w:val="clear" w:color="auto" w:fill="auto"/>
            <w:vAlign w:val="center"/>
          </w:tcPr>
          <w:p w14:paraId="04D61D92">
            <w:pPr>
              <w:jc w:val="center"/>
              <w:rPr>
                <w:rFonts w:ascii="宋体" w:hAnsi="宋体"/>
                <w:color w:val="auto"/>
              </w:rPr>
            </w:pPr>
            <w:r>
              <w:rPr>
                <w:rFonts w:ascii="宋体" w:hAnsi="宋体"/>
                <w:color w:val="auto"/>
              </w:rPr>
              <w:t>2</w:t>
            </w:r>
          </w:p>
        </w:tc>
        <w:tc>
          <w:tcPr>
            <w:tcW w:w="1263" w:type="pct"/>
            <w:vMerge w:val="restart"/>
            <w:shd w:val="clear" w:color="auto" w:fill="auto"/>
            <w:vAlign w:val="center"/>
          </w:tcPr>
          <w:p w14:paraId="582F6F8C">
            <w:pPr>
              <w:jc w:val="center"/>
              <w:rPr>
                <w:rFonts w:ascii="宋体" w:hAnsi="宋体"/>
                <w:color w:val="auto"/>
              </w:rPr>
            </w:pPr>
            <w:r>
              <w:rPr>
                <w:rFonts w:ascii="宋体" w:hAnsi="宋体"/>
                <w:color w:val="auto"/>
              </w:rPr>
              <w:t>加油区加油作业</w:t>
            </w:r>
          </w:p>
        </w:tc>
        <w:tc>
          <w:tcPr>
            <w:tcW w:w="1608" w:type="pct"/>
            <w:shd w:val="clear" w:color="auto" w:fill="auto"/>
            <w:vAlign w:val="center"/>
          </w:tcPr>
          <w:p w14:paraId="03BBCA08">
            <w:pPr>
              <w:jc w:val="center"/>
              <w:rPr>
                <w:rFonts w:ascii="宋体" w:hAnsi="宋体"/>
                <w:color w:val="auto"/>
              </w:rPr>
            </w:pPr>
            <w:r>
              <w:rPr>
                <w:rFonts w:ascii="宋体" w:hAnsi="宋体"/>
                <w:color w:val="auto"/>
              </w:rPr>
              <w:t>火灾，爆炸</w:t>
            </w:r>
          </w:p>
        </w:tc>
        <w:tc>
          <w:tcPr>
            <w:tcW w:w="313" w:type="pct"/>
            <w:shd w:val="clear" w:color="auto" w:fill="auto"/>
            <w:vAlign w:val="center"/>
          </w:tcPr>
          <w:p w14:paraId="5CB52648">
            <w:pPr>
              <w:jc w:val="center"/>
              <w:rPr>
                <w:rFonts w:ascii="宋体" w:hAnsi="宋体"/>
                <w:color w:val="auto"/>
              </w:rPr>
            </w:pPr>
            <w:r>
              <w:rPr>
                <w:rFonts w:hint="eastAsia" w:ascii="宋体" w:hAnsi="宋体"/>
                <w:color w:val="auto"/>
              </w:rPr>
              <w:t>1</w:t>
            </w:r>
          </w:p>
        </w:tc>
        <w:tc>
          <w:tcPr>
            <w:tcW w:w="188" w:type="pct"/>
            <w:shd w:val="clear" w:color="auto" w:fill="auto"/>
            <w:vAlign w:val="center"/>
          </w:tcPr>
          <w:p w14:paraId="6AE98BD9">
            <w:pPr>
              <w:jc w:val="center"/>
              <w:rPr>
                <w:rFonts w:ascii="宋体" w:hAnsi="宋体"/>
                <w:color w:val="auto"/>
              </w:rPr>
            </w:pPr>
            <w:r>
              <w:rPr>
                <w:rFonts w:ascii="宋体" w:hAnsi="宋体"/>
                <w:color w:val="auto"/>
              </w:rPr>
              <w:t>6</w:t>
            </w:r>
          </w:p>
        </w:tc>
        <w:tc>
          <w:tcPr>
            <w:tcW w:w="249" w:type="pct"/>
            <w:shd w:val="clear" w:color="auto" w:fill="auto"/>
            <w:vAlign w:val="center"/>
          </w:tcPr>
          <w:p w14:paraId="0167CF0D">
            <w:pPr>
              <w:jc w:val="center"/>
              <w:rPr>
                <w:rFonts w:ascii="宋体" w:hAnsi="宋体"/>
                <w:color w:val="auto"/>
              </w:rPr>
            </w:pPr>
            <w:r>
              <w:rPr>
                <w:rFonts w:hint="eastAsia" w:ascii="宋体" w:hAnsi="宋体"/>
                <w:color w:val="auto"/>
              </w:rPr>
              <w:t>7</w:t>
            </w:r>
          </w:p>
        </w:tc>
        <w:tc>
          <w:tcPr>
            <w:tcW w:w="375" w:type="pct"/>
            <w:shd w:val="clear" w:color="auto" w:fill="auto"/>
            <w:vAlign w:val="center"/>
          </w:tcPr>
          <w:p w14:paraId="520D7024">
            <w:pPr>
              <w:jc w:val="center"/>
              <w:rPr>
                <w:rFonts w:ascii="宋体" w:hAnsi="宋体"/>
                <w:color w:val="auto"/>
              </w:rPr>
            </w:pPr>
            <w:r>
              <w:rPr>
                <w:rFonts w:hint="eastAsia" w:ascii="宋体" w:hAnsi="宋体"/>
                <w:color w:val="auto"/>
              </w:rPr>
              <w:t>42</w:t>
            </w:r>
          </w:p>
        </w:tc>
        <w:tc>
          <w:tcPr>
            <w:tcW w:w="626" w:type="pct"/>
            <w:tcBorders>
              <w:top w:val="single" w:color="auto" w:sz="6" w:space="0"/>
              <w:bottom w:val="single" w:color="auto" w:sz="12" w:space="0"/>
            </w:tcBorders>
            <w:shd w:val="clear" w:color="auto" w:fill="0000FF"/>
            <w:vAlign w:val="center"/>
          </w:tcPr>
          <w:p w14:paraId="67EE912F">
            <w:pPr>
              <w:jc w:val="center"/>
              <w:rPr>
                <w:rFonts w:ascii="宋体" w:hAnsi="宋体"/>
                <w:color w:val="auto"/>
              </w:rPr>
            </w:pPr>
            <w:r>
              <w:rPr>
                <w:rFonts w:ascii="宋体" w:hAnsi="宋体"/>
                <w:color w:val="auto"/>
              </w:rPr>
              <w:t>一般危险</w:t>
            </w:r>
          </w:p>
        </w:tc>
      </w:tr>
      <w:tr w14:paraId="73D23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375" w:type="pct"/>
            <w:vMerge w:val="continue"/>
            <w:shd w:val="clear" w:color="auto" w:fill="auto"/>
            <w:vAlign w:val="center"/>
          </w:tcPr>
          <w:p w14:paraId="253EEEF6">
            <w:pPr>
              <w:jc w:val="center"/>
              <w:rPr>
                <w:rFonts w:ascii="宋体" w:hAnsi="宋体"/>
                <w:color w:val="auto"/>
              </w:rPr>
            </w:pPr>
          </w:p>
        </w:tc>
        <w:tc>
          <w:tcPr>
            <w:tcW w:w="1263" w:type="pct"/>
            <w:vMerge w:val="continue"/>
            <w:shd w:val="clear" w:color="auto" w:fill="auto"/>
            <w:vAlign w:val="center"/>
          </w:tcPr>
          <w:p w14:paraId="23F2B14C">
            <w:pPr>
              <w:jc w:val="center"/>
              <w:rPr>
                <w:rFonts w:ascii="宋体" w:hAnsi="宋体"/>
                <w:color w:val="auto"/>
              </w:rPr>
            </w:pPr>
          </w:p>
        </w:tc>
        <w:tc>
          <w:tcPr>
            <w:tcW w:w="1608" w:type="pct"/>
            <w:shd w:val="clear" w:color="auto" w:fill="auto"/>
            <w:vAlign w:val="center"/>
          </w:tcPr>
          <w:p w14:paraId="62967B14">
            <w:pPr>
              <w:jc w:val="center"/>
              <w:rPr>
                <w:rFonts w:ascii="宋体" w:hAnsi="宋体"/>
                <w:color w:val="auto"/>
              </w:rPr>
            </w:pPr>
            <w:r>
              <w:rPr>
                <w:rFonts w:ascii="宋体" w:hAnsi="宋体"/>
                <w:color w:val="auto"/>
              </w:rPr>
              <w:t>中毒</w:t>
            </w:r>
          </w:p>
        </w:tc>
        <w:tc>
          <w:tcPr>
            <w:tcW w:w="313" w:type="pct"/>
            <w:shd w:val="clear" w:color="auto" w:fill="auto"/>
            <w:vAlign w:val="center"/>
          </w:tcPr>
          <w:p w14:paraId="6439C605">
            <w:pPr>
              <w:jc w:val="center"/>
              <w:rPr>
                <w:rFonts w:ascii="宋体" w:hAnsi="宋体"/>
                <w:color w:val="auto"/>
              </w:rPr>
            </w:pPr>
            <w:r>
              <w:rPr>
                <w:rFonts w:ascii="宋体" w:hAnsi="宋体"/>
                <w:color w:val="auto"/>
              </w:rPr>
              <w:t>0.5</w:t>
            </w:r>
          </w:p>
        </w:tc>
        <w:tc>
          <w:tcPr>
            <w:tcW w:w="188" w:type="pct"/>
            <w:shd w:val="clear" w:color="auto" w:fill="auto"/>
            <w:vAlign w:val="center"/>
          </w:tcPr>
          <w:p w14:paraId="0676542B">
            <w:pPr>
              <w:jc w:val="center"/>
              <w:rPr>
                <w:rFonts w:ascii="宋体" w:hAnsi="宋体"/>
                <w:color w:val="auto"/>
              </w:rPr>
            </w:pPr>
            <w:r>
              <w:rPr>
                <w:rFonts w:ascii="宋体" w:hAnsi="宋体"/>
                <w:color w:val="auto"/>
              </w:rPr>
              <w:t>6</w:t>
            </w:r>
          </w:p>
        </w:tc>
        <w:tc>
          <w:tcPr>
            <w:tcW w:w="249" w:type="pct"/>
            <w:shd w:val="clear" w:color="auto" w:fill="auto"/>
            <w:vAlign w:val="center"/>
          </w:tcPr>
          <w:p w14:paraId="5EE49518">
            <w:pPr>
              <w:jc w:val="center"/>
              <w:rPr>
                <w:rFonts w:ascii="宋体" w:hAnsi="宋体"/>
                <w:color w:val="auto"/>
              </w:rPr>
            </w:pPr>
            <w:r>
              <w:rPr>
                <w:rFonts w:ascii="宋体" w:hAnsi="宋体"/>
                <w:color w:val="auto"/>
              </w:rPr>
              <w:t>3</w:t>
            </w:r>
          </w:p>
        </w:tc>
        <w:tc>
          <w:tcPr>
            <w:tcW w:w="375" w:type="pct"/>
            <w:shd w:val="clear" w:color="auto" w:fill="auto"/>
            <w:vAlign w:val="center"/>
          </w:tcPr>
          <w:p w14:paraId="14E3E682">
            <w:pPr>
              <w:jc w:val="center"/>
              <w:rPr>
                <w:rFonts w:ascii="宋体" w:hAnsi="宋体"/>
                <w:color w:val="auto"/>
              </w:rPr>
            </w:pPr>
            <w:r>
              <w:rPr>
                <w:rFonts w:ascii="宋体" w:hAnsi="宋体"/>
                <w:color w:val="auto"/>
              </w:rPr>
              <w:t>9</w:t>
            </w:r>
          </w:p>
        </w:tc>
        <w:tc>
          <w:tcPr>
            <w:tcW w:w="626" w:type="pct"/>
            <w:tcBorders>
              <w:top w:val="single" w:color="auto" w:sz="12" w:space="0"/>
              <w:bottom w:val="single" w:color="auto" w:sz="6" w:space="0"/>
            </w:tcBorders>
            <w:shd w:val="clear" w:color="auto" w:fill="99CCFF"/>
            <w:vAlign w:val="center"/>
          </w:tcPr>
          <w:p w14:paraId="75AD35CB">
            <w:pPr>
              <w:jc w:val="center"/>
              <w:rPr>
                <w:rFonts w:ascii="宋体" w:hAnsi="宋体"/>
                <w:color w:val="auto"/>
              </w:rPr>
            </w:pPr>
            <w:r>
              <w:rPr>
                <w:rFonts w:ascii="宋体" w:hAnsi="宋体"/>
                <w:color w:val="auto"/>
              </w:rPr>
              <w:t>稍有危险</w:t>
            </w:r>
          </w:p>
        </w:tc>
      </w:tr>
      <w:tr w14:paraId="3BF46A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20947851">
            <w:pPr>
              <w:jc w:val="center"/>
              <w:rPr>
                <w:rFonts w:ascii="宋体" w:hAnsi="宋体"/>
                <w:color w:val="auto"/>
              </w:rPr>
            </w:pPr>
          </w:p>
        </w:tc>
        <w:tc>
          <w:tcPr>
            <w:tcW w:w="1263" w:type="pct"/>
            <w:vMerge w:val="continue"/>
            <w:shd w:val="clear" w:color="auto" w:fill="auto"/>
            <w:vAlign w:val="center"/>
          </w:tcPr>
          <w:p w14:paraId="299C8414">
            <w:pPr>
              <w:jc w:val="center"/>
              <w:rPr>
                <w:rFonts w:ascii="宋体" w:hAnsi="宋体"/>
                <w:color w:val="auto"/>
              </w:rPr>
            </w:pPr>
          </w:p>
        </w:tc>
        <w:tc>
          <w:tcPr>
            <w:tcW w:w="1608" w:type="pct"/>
            <w:shd w:val="clear" w:color="auto" w:fill="auto"/>
            <w:vAlign w:val="center"/>
          </w:tcPr>
          <w:p w14:paraId="21220DF8">
            <w:pPr>
              <w:jc w:val="center"/>
              <w:rPr>
                <w:rFonts w:ascii="宋体" w:hAnsi="宋体"/>
                <w:color w:val="auto"/>
              </w:rPr>
            </w:pPr>
            <w:r>
              <w:rPr>
                <w:rFonts w:ascii="宋体" w:hAnsi="宋体"/>
                <w:color w:val="auto"/>
              </w:rPr>
              <w:t>物体打击</w:t>
            </w:r>
          </w:p>
        </w:tc>
        <w:tc>
          <w:tcPr>
            <w:tcW w:w="313" w:type="pct"/>
            <w:shd w:val="clear" w:color="auto" w:fill="auto"/>
            <w:vAlign w:val="center"/>
          </w:tcPr>
          <w:p w14:paraId="23CCB6E8">
            <w:pPr>
              <w:jc w:val="center"/>
              <w:rPr>
                <w:rFonts w:ascii="宋体" w:hAnsi="宋体"/>
                <w:color w:val="auto"/>
              </w:rPr>
            </w:pPr>
            <w:r>
              <w:rPr>
                <w:rFonts w:hint="eastAsia" w:ascii="宋体" w:hAnsi="宋体"/>
                <w:color w:val="auto"/>
              </w:rPr>
              <w:t>0.5</w:t>
            </w:r>
          </w:p>
        </w:tc>
        <w:tc>
          <w:tcPr>
            <w:tcW w:w="188" w:type="pct"/>
            <w:shd w:val="clear" w:color="auto" w:fill="auto"/>
            <w:vAlign w:val="center"/>
          </w:tcPr>
          <w:p w14:paraId="7C045D95">
            <w:pPr>
              <w:jc w:val="center"/>
              <w:rPr>
                <w:rFonts w:ascii="宋体" w:hAnsi="宋体"/>
                <w:color w:val="auto"/>
              </w:rPr>
            </w:pPr>
            <w:r>
              <w:rPr>
                <w:rFonts w:ascii="宋体" w:hAnsi="宋体"/>
                <w:color w:val="auto"/>
              </w:rPr>
              <w:t>6</w:t>
            </w:r>
          </w:p>
        </w:tc>
        <w:tc>
          <w:tcPr>
            <w:tcW w:w="249" w:type="pct"/>
            <w:shd w:val="clear" w:color="auto" w:fill="auto"/>
            <w:vAlign w:val="center"/>
          </w:tcPr>
          <w:p w14:paraId="53CC749C">
            <w:pPr>
              <w:jc w:val="center"/>
              <w:rPr>
                <w:rFonts w:ascii="宋体" w:hAnsi="宋体"/>
                <w:color w:val="auto"/>
              </w:rPr>
            </w:pPr>
            <w:r>
              <w:rPr>
                <w:rFonts w:ascii="宋体" w:hAnsi="宋体"/>
                <w:color w:val="auto"/>
              </w:rPr>
              <w:t>3</w:t>
            </w:r>
          </w:p>
        </w:tc>
        <w:tc>
          <w:tcPr>
            <w:tcW w:w="375" w:type="pct"/>
            <w:shd w:val="clear" w:color="auto" w:fill="auto"/>
            <w:vAlign w:val="center"/>
          </w:tcPr>
          <w:p w14:paraId="0F40F842">
            <w:pPr>
              <w:jc w:val="center"/>
              <w:rPr>
                <w:rFonts w:ascii="宋体" w:hAnsi="宋体"/>
                <w:color w:val="auto"/>
              </w:rPr>
            </w:pPr>
            <w:r>
              <w:rPr>
                <w:rFonts w:hint="eastAsia" w:ascii="宋体" w:hAnsi="宋体"/>
                <w:color w:val="auto"/>
              </w:rPr>
              <w:t>9</w:t>
            </w:r>
          </w:p>
        </w:tc>
        <w:tc>
          <w:tcPr>
            <w:tcW w:w="626" w:type="pct"/>
            <w:tcBorders>
              <w:top w:val="single" w:color="auto" w:sz="6" w:space="0"/>
              <w:bottom w:val="single" w:color="auto" w:sz="6" w:space="0"/>
            </w:tcBorders>
            <w:shd w:val="clear" w:color="auto" w:fill="99CCFF"/>
            <w:vAlign w:val="center"/>
          </w:tcPr>
          <w:p w14:paraId="5E3E6EA1">
            <w:pPr>
              <w:jc w:val="center"/>
              <w:rPr>
                <w:rFonts w:ascii="宋体" w:hAnsi="宋体"/>
                <w:color w:val="auto"/>
              </w:rPr>
            </w:pPr>
            <w:r>
              <w:rPr>
                <w:rFonts w:ascii="宋体" w:hAnsi="宋体"/>
                <w:color w:val="auto"/>
              </w:rPr>
              <w:t>稍有危险</w:t>
            </w:r>
          </w:p>
        </w:tc>
      </w:tr>
      <w:tr w14:paraId="384743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5EC0ABBA">
            <w:pPr>
              <w:jc w:val="center"/>
              <w:rPr>
                <w:rFonts w:ascii="宋体" w:hAnsi="宋体"/>
                <w:color w:val="auto"/>
              </w:rPr>
            </w:pPr>
          </w:p>
        </w:tc>
        <w:tc>
          <w:tcPr>
            <w:tcW w:w="1263" w:type="pct"/>
            <w:vMerge w:val="continue"/>
            <w:shd w:val="clear" w:color="auto" w:fill="auto"/>
            <w:vAlign w:val="center"/>
          </w:tcPr>
          <w:p w14:paraId="72E43FA2">
            <w:pPr>
              <w:jc w:val="center"/>
              <w:rPr>
                <w:rFonts w:ascii="宋体" w:hAnsi="宋体"/>
                <w:color w:val="auto"/>
              </w:rPr>
            </w:pPr>
          </w:p>
        </w:tc>
        <w:tc>
          <w:tcPr>
            <w:tcW w:w="1608" w:type="pct"/>
            <w:shd w:val="clear" w:color="auto" w:fill="auto"/>
            <w:vAlign w:val="center"/>
          </w:tcPr>
          <w:p w14:paraId="2E4D9499">
            <w:pPr>
              <w:jc w:val="center"/>
              <w:rPr>
                <w:rFonts w:ascii="宋体" w:hAnsi="宋体"/>
                <w:color w:val="auto"/>
              </w:rPr>
            </w:pPr>
            <w:r>
              <w:rPr>
                <w:rFonts w:ascii="宋体" w:hAnsi="宋体"/>
                <w:color w:val="auto"/>
              </w:rPr>
              <w:t>噪声</w:t>
            </w:r>
          </w:p>
        </w:tc>
        <w:tc>
          <w:tcPr>
            <w:tcW w:w="313" w:type="pct"/>
            <w:shd w:val="clear" w:color="auto" w:fill="auto"/>
            <w:vAlign w:val="center"/>
          </w:tcPr>
          <w:p w14:paraId="17F8F048">
            <w:pPr>
              <w:jc w:val="center"/>
              <w:rPr>
                <w:rFonts w:ascii="宋体" w:hAnsi="宋体"/>
                <w:color w:val="auto"/>
              </w:rPr>
            </w:pPr>
            <w:r>
              <w:rPr>
                <w:rFonts w:ascii="宋体" w:hAnsi="宋体"/>
                <w:color w:val="auto"/>
              </w:rPr>
              <w:t>1</w:t>
            </w:r>
          </w:p>
        </w:tc>
        <w:tc>
          <w:tcPr>
            <w:tcW w:w="188" w:type="pct"/>
            <w:shd w:val="clear" w:color="auto" w:fill="auto"/>
            <w:vAlign w:val="center"/>
          </w:tcPr>
          <w:p w14:paraId="34D38D2A">
            <w:pPr>
              <w:jc w:val="center"/>
              <w:rPr>
                <w:rFonts w:ascii="宋体" w:hAnsi="宋体"/>
                <w:color w:val="auto"/>
              </w:rPr>
            </w:pPr>
            <w:r>
              <w:rPr>
                <w:rFonts w:ascii="宋体" w:hAnsi="宋体"/>
                <w:color w:val="auto"/>
              </w:rPr>
              <w:t>6</w:t>
            </w:r>
          </w:p>
        </w:tc>
        <w:tc>
          <w:tcPr>
            <w:tcW w:w="249" w:type="pct"/>
            <w:shd w:val="clear" w:color="auto" w:fill="auto"/>
            <w:vAlign w:val="center"/>
          </w:tcPr>
          <w:p w14:paraId="7302A298">
            <w:pPr>
              <w:jc w:val="center"/>
              <w:rPr>
                <w:rFonts w:ascii="宋体" w:hAnsi="宋体"/>
                <w:color w:val="auto"/>
              </w:rPr>
            </w:pPr>
            <w:r>
              <w:rPr>
                <w:rFonts w:ascii="宋体" w:hAnsi="宋体"/>
                <w:color w:val="auto"/>
              </w:rPr>
              <w:t>3</w:t>
            </w:r>
          </w:p>
        </w:tc>
        <w:tc>
          <w:tcPr>
            <w:tcW w:w="375" w:type="pct"/>
            <w:shd w:val="clear" w:color="auto" w:fill="auto"/>
            <w:vAlign w:val="center"/>
          </w:tcPr>
          <w:p w14:paraId="4D51BB91">
            <w:pPr>
              <w:jc w:val="center"/>
              <w:rPr>
                <w:rFonts w:ascii="宋体" w:hAnsi="宋体"/>
                <w:color w:val="auto"/>
              </w:rPr>
            </w:pPr>
            <w:r>
              <w:rPr>
                <w:rFonts w:ascii="宋体" w:hAnsi="宋体"/>
                <w:color w:val="auto"/>
              </w:rPr>
              <w:t>18</w:t>
            </w:r>
          </w:p>
        </w:tc>
        <w:tc>
          <w:tcPr>
            <w:tcW w:w="626" w:type="pct"/>
            <w:tcBorders>
              <w:top w:val="single" w:color="auto" w:sz="6" w:space="0"/>
              <w:bottom w:val="single" w:color="auto" w:sz="6" w:space="0"/>
            </w:tcBorders>
            <w:shd w:val="clear" w:color="auto" w:fill="99CCFF"/>
            <w:vAlign w:val="center"/>
          </w:tcPr>
          <w:p w14:paraId="2C103F93">
            <w:pPr>
              <w:jc w:val="center"/>
              <w:rPr>
                <w:rFonts w:ascii="宋体" w:hAnsi="宋体"/>
                <w:color w:val="auto"/>
              </w:rPr>
            </w:pPr>
            <w:r>
              <w:rPr>
                <w:rFonts w:ascii="宋体" w:hAnsi="宋体"/>
                <w:color w:val="auto"/>
              </w:rPr>
              <w:t>稍有危险</w:t>
            </w:r>
          </w:p>
        </w:tc>
      </w:tr>
      <w:tr w14:paraId="65A4D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4FEDA828">
            <w:pPr>
              <w:jc w:val="center"/>
              <w:rPr>
                <w:rFonts w:ascii="宋体" w:hAnsi="宋体"/>
                <w:color w:val="auto"/>
              </w:rPr>
            </w:pPr>
          </w:p>
        </w:tc>
        <w:tc>
          <w:tcPr>
            <w:tcW w:w="1263" w:type="pct"/>
            <w:vMerge w:val="continue"/>
            <w:shd w:val="clear" w:color="auto" w:fill="auto"/>
            <w:vAlign w:val="center"/>
          </w:tcPr>
          <w:p w14:paraId="3D2859D5">
            <w:pPr>
              <w:jc w:val="center"/>
              <w:rPr>
                <w:rFonts w:ascii="宋体" w:hAnsi="宋体"/>
                <w:color w:val="auto"/>
              </w:rPr>
            </w:pPr>
          </w:p>
        </w:tc>
        <w:tc>
          <w:tcPr>
            <w:tcW w:w="1608" w:type="pct"/>
            <w:shd w:val="clear" w:color="auto" w:fill="auto"/>
            <w:vAlign w:val="center"/>
          </w:tcPr>
          <w:p w14:paraId="035FD3AA">
            <w:pPr>
              <w:jc w:val="center"/>
              <w:rPr>
                <w:rFonts w:ascii="宋体" w:hAnsi="宋体"/>
                <w:color w:val="auto"/>
              </w:rPr>
            </w:pPr>
            <w:r>
              <w:rPr>
                <w:rFonts w:ascii="宋体" w:hAnsi="宋体"/>
                <w:color w:val="auto"/>
              </w:rPr>
              <w:t>寒冷、高温气候环境</w:t>
            </w:r>
          </w:p>
        </w:tc>
        <w:tc>
          <w:tcPr>
            <w:tcW w:w="313" w:type="pct"/>
            <w:shd w:val="clear" w:color="auto" w:fill="auto"/>
            <w:vAlign w:val="center"/>
          </w:tcPr>
          <w:p w14:paraId="54EF657A">
            <w:pPr>
              <w:jc w:val="center"/>
              <w:rPr>
                <w:rFonts w:ascii="宋体" w:hAnsi="宋体"/>
                <w:color w:val="auto"/>
              </w:rPr>
            </w:pPr>
            <w:r>
              <w:rPr>
                <w:rFonts w:ascii="宋体" w:hAnsi="宋体"/>
                <w:color w:val="auto"/>
              </w:rPr>
              <w:t>1</w:t>
            </w:r>
          </w:p>
        </w:tc>
        <w:tc>
          <w:tcPr>
            <w:tcW w:w="188" w:type="pct"/>
            <w:shd w:val="clear" w:color="auto" w:fill="auto"/>
            <w:vAlign w:val="center"/>
          </w:tcPr>
          <w:p w14:paraId="5C2C676E">
            <w:pPr>
              <w:jc w:val="center"/>
              <w:rPr>
                <w:rFonts w:ascii="宋体" w:hAnsi="宋体"/>
                <w:color w:val="auto"/>
              </w:rPr>
            </w:pPr>
            <w:r>
              <w:rPr>
                <w:rFonts w:ascii="宋体" w:hAnsi="宋体"/>
                <w:color w:val="auto"/>
              </w:rPr>
              <w:t>6</w:t>
            </w:r>
          </w:p>
        </w:tc>
        <w:tc>
          <w:tcPr>
            <w:tcW w:w="249" w:type="pct"/>
            <w:shd w:val="clear" w:color="auto" w:fill="auto"/>
            <w:vAlign w:val="center"/>
          </w:tcPr>
          <w:p w14:paraId="23475EB2">
            <w:pPr>
              <w:jc w:val="center"/>
              <w:rPr>
                <w:rFonts w:ascii="宋体" w:hAnsi="宋体"/>
                <w:color w:val="auto"/>
              </w:rPr>
            </w:pPr>
            <w:r>
              <w:rPr>
                <w:rFonts w:ascii="宋体" w:hAnsi="宋体"/>
                <w:color w:val="auto"/>
              </w:rPr>
              <w:t>1</w:t>
            </w:r>
          </w:p>
        </w:tc>
        <w:tc>
          <w:tcPr>
            <w:tcW w:w="375" w:type="pct"/>
            <w:shd w:val="clear" w:color="auto" w:fill="auto"/>
            <w:vAlign w:val="center"/>
          </w:tcPr>
          <w:p w14:paraId="7B6693EC">
            <w:pPr>
              <w:jc w:val="center"/>
              <w:rPr>
                <w:rFonts w:ascii="宋体" w:hAnsi="宋体"/>
                <w:color w:val="auto"/>
              </w:rPr>
            </w:pPr>
            <w:r>
              <w:rPr>
                <w:rFonts w:ascii="宋体" w:hAnsi="宋体"/>
                <w:color w:val="auto"/>
              </w:rPr>
              <w:t>6</w:t>
            </w:r>
          </w:p>
        </w:tc>
        <w:tc>
          <w:tcPr>
            <w:tcW w:w="626" w:type="pct"/>
            <w:tcBorders>
              <w:top w:val="single" w:color="auto" w:sz="6" w:space="0"/>
              <w:bottom w:val="single" w:color="auto" w:sz="6" w:space="0"/>
            </w:tcBorders>
            <w:shd w:val="clear" w:color="auto" w:fill="99CCFF"/>
            <w:vAlign w:val="center"/>
          </w:tcPr>
          <w:p w14:paraId="4DFBEC64">
            <w:pPr>
              <w:jc w:val="center"/>
              <w:rPr>
                <w:rFonts w:ascii="宋体" w:hAnsi="宋体"/>
                <w:color w:val="auto"/>
              </w:rPr>
            </w:pPr>
            <w:r>
              <w:rPr>
                <w:rFonts w:ascii="宋体" w:hAnsi="宋体"/>
                <w:color w:val="auto"/>
              </w:rPr>
              <w:t>稍有危险</w:t>
            </w:r>
          </w:p>
        </w:tc>
      </w:tr>
      <w:tr w14:paraId="1B67A5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restart"/>
            <w:shd w:val="clear" w:color="auto" w:fill="auto"/>
            <w:vAlign w:val="center"/>
          </w:tcPr>
          <w:p w14:paraId="144D4C23">
            <w:pPr>
              <w:jc w:val="center"/>
              <w:rPr>
                <w:rFonts w:ascii="宋体" w:hAnsi="宋体"/>
                <w:color w:val="auto"/>
              </w:rPr>
            </w:pPr>
            <w:r>
              <w:rPr>
                <w:rFonts w:ascii="宋体" w:hAnsi="宋体"/>
                <w:color w:val="auto"/>
              </w:rPr>
              <w:t>3</w:t>
            </w:r>
          </w:p>
        </w:tc>
        <w:tc>
          <w:tcPr>
            <w:tcW w:w="1263" w:type="pct"/>
            <w:vMerge w:val="restart"/>
            <w:shd w:val="clear" w:color="auto" w:fill="auto"/>
            <w:vAlign w:val="center"/>
          </w:tcPr>
          <w:p w14:paraId="1147D991">
            <w:pPr>
              <w:jc w:val="center"/>
              <w:rPr>
                <w:rFonts w:ascii="宋体" w:hAnsi="宋体"/>
                <w:color w:val="auto"/>
              </w:rPr>
            </w:pPr>
            <w:r>
              <w:rPr>
                <w:rFonts w:ascii="宋体" w:hAnsi="宋体"/>
                <w:color w:val="auto"/>
              </w:rPr>
              <w:t>加油站内车辆道路引导作业</w:t>
            </w:r>
          </w:p>
        </w:tc>
        <w:tc>
          <w:tcPr>
            <w:tcW w:w="1608" w:type="pct"/>
            <w:shd w:val="clear" w:color="auto" w:fill="auto"/>
            <w:vAlign w:val="center"/>
          </w:tcPr>
          <w:p w14:paraId="50773026">
            <w:pPr>
              <w:jc w:val="center"/>
              <w:rPr>
                <w:rFonts w:ascii="宋体" w:hAnsi="宋体"/>
                <w:color w:val="auto"/>
              </w:rPr>
            </w:pPr>
            <w:r>
              <w:rPr>
                <w:rFonts w:ascii="宋体" w:hAnsi="宋体"/>
                <w:color w:val="auto"/>
              </w:rPr>
              <w:t>火灾，爆炸</w:t>
            </w:r>
          </w:p>
        </w:tc>
        <w:tc>
          <w:tcPr>
            <w:tcW w:w="313" w:type="pct"/>
            <w:shd w:val="clear" w:color="auto" w:fill="auto"/>
            <w:vAlign w:val="center"/>
          </w:tcPr>
          <w:p w14:paraId="0FBD671D">
            <w:pPr>
              <w:jc w:val="center"/>
              <w:rPr>
                <w:rFonts w:ascii="宋体" w:hAnsi="宋体"/>
                <w:color w:val="auto"/>
              </w:rPr>
            </w:pPr>
            <w:r>
              <w:rPr>
                <w:rFonts w:hint="eastAsia" w:ascii="宋体" w:hAnsi="宋体"/>
                <w:color w:val="auto"/>
              </w:rPr>
              <w:t>0.5</w:t>
            </w:r>
          </w:p>
        </w:tc>
        <w:tc>
          <w:tcPr>
            <w:tcW w:w="188" w:type="pct"/>
            <w:shd w:val="clear" w:color="auto" w:fill="auto"/>
            <w:vAlign w:val="center"/>
          </w:tcPr>
          <w:p w14:paraId="5922D52E">
            <w:pPr>
              <w:jc w:val="center"/>
              <w:rPr>
                <w:rFonts w:ascii="宋体" w:hAnsi="宋体"/>
                <w:color w:val="auto"/>
              </w:rPr>
            </w:pPr>
            <w:r>
              <w:rPr>
                <w:rFonts w:ascii="宋体" w:hAnsi="宋体"/>
                <w:color w:val="auto"/>
              </w:rPr>
              <w:t>6</w:t>
            </w:r>
          </w:p>
        </w:tc>
        <w:tc>
          <w:tcPr>
            <w:tcW w:w="249" w:type="pct"/>
            <w:shd w:val="clear" w:color="auto" w:fill="auto"/>
            <w:vAlign w:val="center"/>
          </w:tcPr>
          <w:p w14:paraId="17FBEDC3">
            <w:pPr>
              <w:jc w:val="center"/>
              <w:rPr>
                <w:rFonts w:ascii="宋体" w:hAnsi="宋体"/>
                <w:color w:val="auto"/>
              </w:rPr>
            </w:pPr>
            <w:r>
              <w:rPr>
                <w:rFonts w:ascii="宋体" w:hAnsi="宋体"/>
                <w:color w:val="auto"/>
              </w:rPr>
              <w:t>7</w:t>
            </w:r>
          </w:p>
        </w:tc>
        <w:tc>
          <w:tcPr>
            <w:tcW w:w="375" w:type="pct"/>
            <w:shd w:val="clear" w:color="auto" w:fill="auto"/>
            <w:vAlign w:val="center"/>
          </w:tcPr>
          <w:p w14:paraId="4505CE33">
            <w:pPr>
              <w:jc w:val="center"/>
              <w:rPr>
                <w:rFonts w:ascii="宋体" w:hAnsi="宋体"/>
                <w:color w:val="auto"/>
              </w:rPr>
            </w:pPr>
            <w:r>
              <w:rPr>
                <w:rFonts w:hint="eastAsia" w:ascii="宋体" w:hAnsi="宋体"/>
                <w:color w:val="auto"/>
              </w:rPr>
              <w:t>21</w:t>
            </w:r>
          </w:p>
        </w:tc>
        <w:tc>
          <w:tcPr>
            <w:tcW w:w="626" w:type="pct"/>
            <w:tcBorders>
              <w:top w:val="single" w:color="auto" w:sz="6" w:space="0"/>
              <w:bottom w:val="single" w:color="auto" w:sz="6" w:space="0"/>
            </w:tcBorders>
            <w:shd w:val="clear" w:color="auto" w:fill="0000FF"/>
            <w:vAlign w:val="center"/>
          </w:tcPr>
          <w:p w14:paraId="2BC5AC12">
            <w:pPr>
              <w:jc w:val="center"/>
              <w:rPr>
                <w:rFonts w:ascii="宋体" w:hAnsi="宋体"/>
                <w:b/>
                <w:bCs/>
                <w:color w:val="auto"/>
              </w:rPr>
            </w:pPr>
            <w:r>
              <w:rPr>
                <w:rFonts w:ascii="宋体" w:hAnsi="宋体"/>
                <w:color w:val="auto"/>
              </w:rPr>
              <w:t>一般危险</w:t>
            </w:r>
          </w:p>
        </w:tc>
      </w:tr>
      <w:tr w14:paraId="4835F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4DC3717D">
            <w:pPr>
              <w:jc w:val="center"/>
              <w:rPr>
                <w:rFonts w:ascii="宋体" w:hAnsi="宋体"/>
                <w:color w:val="auto"/>
              </w:rPr>
            </w:pPr>
          </w:p>
        </w:tc>
        <w:tc>
          <w:tcPr>
            <w:tcW w:w="1263" w:type="pct"/>
            <w:vMerge w:val="continue"/>
            <w:shd w:val="clear" w:color="auto" w:fill="auto"/>
            <w:vAlign w:val="center"/>
          </w:tcPr>
          <w:p w14:paraId="031C303E">
            <w:pPr>
              <w:jc w:val="center"/>
              <w:rPr>
                <w:rFonts w:ascii="宋体" w:hAnsi="宋体"/>
                <w:color w:val="auto"/>
              </w:rPr>
            </w:pPr>
          </w:p>
        </w:tc>
        <w:tc>
          <w:tcPr>
            <w:tcW w:w="1608" w:type="pct"/>
            <w:shd w:val="clear" w:color="auto" w:fill="auto"/>
            <w:vAlign w:val="center"/>
          </w:tcPr>
          <w:p w14:paraId="49A1C951">
            <w:pPr>
              <w:jc w:val="center"/>
              <w:rPr>
                <w:rFonts w:ascii="宋体" w:hAnsi="宋体"/>
                <w:color w:val="auto"/>
              </w:rPr>
            </w:pPr>
            <w:r>
              <w:rPr>
                <w:rFonts w:hint="eastAsia" w:ascii="宋体" w:hAnsi="宋体"/>
                <w:color w:val="auto"/>
              </w:rPr>
              <w:t>厂(场)内车辆致害</w:t>
            </w:r>
          </w:p>
        </w:tc>
        <w:tc>
          <w:tcPr>
            <w:tcW w:w="313" w:type="pct"/>
            <w:shd w:val="clear" w:color="auto" w:fill="auto"/>
            <w:vAlign w:val="center"/>
          </w:tcPr>
          <w:p w14:paraId="2E1F6426">
            <w:pPr>
              <w:jc w:val="center"/>
              <w:rPr>
                <w:rFonts w:ascii="宋体" w:hAnsi="宋体"/>
                <w:color w:val="auto"/>
              </w:rPr>
            </w:pPr>
            <w:r>
              <w:rPr>
                <w:rFonts w:ascii="宋体" w:hAnsi="宋体"/>
                <w:color w:val="auto"/>
              </w:rPr>
              <w:t>1</w:t>
            </w:r>
          </w:p>
        </w:tc>
        <w:tc>
          <w:tcPr>
            <w:tcW w:w="188" w:type="pct"/>
            <w:shd w:val="clear" w:color="auto" w:fill="auto"/>
            <w:vAlign w:val="center"/>
          </w:tcPr>
          <w:p w14:paraId="3CEEE20B">
            <w:pPr>
              <w:jc w:val="center"/>
              <w:rPr>
                <w:rFonts w:ascii="宋体" w:hAnsi="宋体"/>
                <w:color w:val="auto"/>
              </w:rPr>
            </w:pPr>
            <w:r>
              <w:rPr>
                <w:rFonts w:ascii="宋体" w:hAnsi="宋体"/>
                <w:color w:val="auto"/>
              </w:rPr>
              <w:t>6</w:t>
            </w:r>
          </w:p>
        </w:tc>
        <w:tc>
          <w:tcPr>
            <w:tcW w:w="249" w:type="pct"/>
            <w:shd w:val="clear" w:color="auto" w:fill="auto"/>
            <w:vAlign w:val="center"/>
          </w:tcPr>
          <w:p w14:paraId="5E55D55A">
            <w:pPr>
              <w:jc w:val="center"/>
              <w:rPr>
                <w:rFonts w:ascii="宋体" w:hAnsi="宋体"/>
                <w:color w:val="auto"/>
              </w:rPr>
            </w:pPr>
            <w:r>
              <w:rPr>
                <w:rFonts w:ascii="宋体" w:hAnsi="宋体"/>
                <w:color w:val="auto"/>
              </w:rPr>
              <w:t>7</w:t>
            </w:r>
          </w:p>
        </w:tc>
        <w:tc>
          <w:tcPr>
            <w:tcW w:w="375" w:type="pct"/>
            <w:shd w:val="clear" w:color="auto" w:fill="auto"/>
            <w:vAlign w:val="center"/>
          </w:tcPr>
          <w:p w14:paraId="423117E9">
            <w:pPr>
              <w:jc w:val="center"/>
              <w:rPr>
                <w:rFonts w:ascii="宋体" w:hAnsi="宋体"/>
                <w:color w:val="auto"/>
              </w:rPr>
            </w:pPr>
            <w:r>
              <w:rPr>
                <w:rFonts w:ascii="宋体" w:hAnsi="宋体"/>
                <w:color w:val="auto"/>
              </w:rPr>
              <w:t>42</w:t>
            </w:r>
          </w:p>
        </w:tc>
        <w:tc>
          <w:tcPr>
            <w:tcW w:w="626" w:type="pct"/>
            <w:tcBorders>
              <w:top w:val="single" w:color="auto" w:sz="6" w:space="0"/>
              <w:bottom w:val="single" w:color="auto" w:sz="6" w:space="0"/>
            </w:tcBorders>
            <w:shd w:val="clear" w:color="auto" w:fill="0000FF"/>
            <w:vAlign w:val="center"/>
          </w:tcPr>
          <w:p w14:paraId="6C571213">
            <w:pPr>
              <w:jc w:val="center"/>
              <w:rPr>
                <w:rFonts w:ascii="宋体" w:hAnsi="宋体"/>
                <w:b/>
                <w:bCs/>
                <w:color w:val="auto"/>
              </w:rPr>
            </w:pPr>
            <w:r>
              <w:rPr>
                <w:rFonts w:ascii="宋体" w:hAnsi="宋体"/>
                <w:color w:val="auto"/>
              </w:rPr>
              <w:t>一般危险</w:t>
            </w:r>
          </w:p>
        </w:tc>
      </w:tr>
      <w:tr w14:paraId="23352B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2" w:hRule="atLeast"/>
          <w:jc w:val="center"/>
        </w:trPr>
        <w:tc>
          <w:tcPr>
            <w:tcW w:w="375" w:type="pct"/>
            <w:shd w:val="clear" w:color="auto" w:fill="auto"/>
            <w:vAlign w:val="center"/>
          </w:tcPr>
          <w:p w14:paraId="1921B1FF">
            <w:pPr>
              <w:jc w:val="center"/>
              <w:rPr>
                <w:rFonts w:ascii="宋体" w:hAnsi="宋体"/>
                <w:color w:val="auto"/>
              </w:rPr>
            </w:pPr>
            <w:r>
              <w:rPr>
                <w:rFonts w:ascii="宋体" w:hAnsi="宋体"/>
                <w:color w:val="auto"/>
              </w:rPr>
              <w:t>4</w:t>
            </w:r>
          </w:p>
        </w:tc>
        <w:tc>
          <w:tcPr>
            <w:tcW w:w="1263" w:type="pct"/>
            <w:shd w:val="clear" w:color="auto" w:fill="auto"/>
            <w:vAlign w:val="center"/>
          </w:tcPr>
          <w:p w14:paraId="3CA59BD0">
            <w:pPr>
              <w:jc w:val="center"/>
              <w:rPr>
                <w:rFonts w:ascii="宋体" w:hAnsi="宋体"/>
                <w:color w:val="auto"/>
              </w:rPr>
            </w:pPr>
            <w:r>
              <w:rPr>
                <w:rFonts w:hint="eastAsia" w:ascii="宋体" w:hAnsi="宋体"/>
                <w:color w:val="auto"/>
              </w:rPr>
              <w:t>配电间</w:t>
            </w:r>
            <w:r>
              <w:rPr>
                <w:rFonts w:ascii="宋体" w:hAnsi="宋体"/>
                <w:color w:val="auto"/>
              </w:rPr>
              <w:t>作业</w:t>
            </w:r>
          </w:p>
        </w:tc>
        <w:tc>
          <w:tcPr>
            <w:tcW w:w="1608" w:type="pct"/>
            <w:shd w:val="clear" w:color="auto" w:fill="auto"/>
            <w:vAlign w:val="center"/>
          </w:tcPr>
          <w:p w14:paraId="7E997DDD">
            <w:pPr>
              <w:jc w:val="center"/>
              <w:rPr>
                <w:rFonts w:ascii="宋体" w:hAnsi="宋体"/>
                <w:color w:val="auto"/>
              </w:rPr>
            </w:pPr>
            <w:r>
              <w:rPr>
                <w:rFonts w:ascii="宋体" w:hAnsi="宋体"/>
                <w:color w:val="auto"/>
              </w:rPr>
              <w:t>火灾、触电</w:t>
            </w:r>
            <w:r>
              <w:rPr>
                <w:rFonts w:hint="eastAsia" w:ascii="宋体" w:hAnsi="宋体"/>
                <w:color w:val="auto"/>
              </w:rPr>
              <w:t>、灼烫、机械伤害</w:t>
            </w:r>
          </w:p>
        </w:tc>
        <w:tc>
          <w:tcPr>
            <w:tcW w:w="313" w:type="pct"/>
            <w:shd w:val="clear" w:color="auto" w:fill="auto"/>
            <w:vAlign w:val="center"/>
          </w:tcPr>
          <w:p w14:paraId="5D422290">
            <w:pPr>
              <w:jc w:val="center"/>
              <w:rPr>
                <w:rFonts w:ascii="宋体" w:hAnsi="宋体"/>
                <w:color w:val="auto"/>
              </w:rPr>
            </w:pPr>
            <w:r>
              <w:rPr>
                <w:rFonts w:ascii="宋体" w:hAnsi="宋体"/>
                <w:color w:val="auto"/>
              </w:rPr>
              <w:t>1</w:t>
            </w:r>
          </w:p>
        </w:tc>
        <w:tc>
          <w:tcPr>
            <w:tcW w:w="188" w:type="pct"/>
            <w:shd w:val="clear" w:color="auto" w:fill="auto"/>
            <w:vAlign w:val="center"/>
          </w:tcPr>
          <w:p w14:paraId="456EC342">
            <w:pPr>
              <w:jc w:val="center"/>
              <w:rPr>
                <w:rFonts w:ascii="宋体" w:hAnsi="宋体"/>
                <w:color w:val="auto"/>
              </w:rPr>
            </w:pPr>
            <w:r>
              <w:rPr>
                <w:rFonts w:ascii="宋体" w:hAnsi="宋体"/>
                <w:color w:val="auto"/>
              </w:rPr>
              <w:t>3</w:t>
            </w:r>
          </w:p>
        </w:tc>
        <w:tc>
          <w:tcPr>
            <w:tcW w:w="249" w:type="pct"/>
            <w:shd w:val="clear" w:color="auto" w:fill="auto"/>
            <w:vAlign w:val="center"/>
          </w:tcPr>
          <w:p w14:paraId="10579A88">
            <w:pPr>
              <w:jc w:val="center"/>
              <w:rPr>
                <w:rFonts w:ascii="宋体" w:hAnsi="宋体"/>
                <w:color w:val="auto"/>
              </w:rPr>
            </w:pPr>
            <w:r>
              <w:rPr>
                <w:rFonts w:ascii="宋体" w:hAnsi="宋体"/>
                <w:color w:val="auto"/>
              </w:rPr>
              <w:t>7</w:t>
            </w:r>
          </w:p>
        </w:tc>
        <w:tc>
          <w:tcPr>
            <w:tcW w:w="375" w:type="pct"/>
            <w:shd w:val="clear" w:color="auto" w:fill="auto"/>
            <w:vAlign w:val="center"/>
          </w:tcPr>
          <w:p w14:paraId="69F589A7">
            <w:pPr>
              <w:jc w:val="center"/>
              <w:rPr>
                <w:rFonts w:ascii="宋体" w:hAnsi="宋体"/>
                <w:color w:val="auto"/>
              </w:rPr>
            </w:pPr>
            <w:r>
              <w:rPr>
                <w:rFonts w:ascii="宋体" w:hAnsi="宋体"/>
                <w:color w:val="auto"/>
              </w:rPr>
              <w:t>21</w:t>
            </w:r>
          </w:p>
        </w:tc>
        <w:tc>
          <w:tcPr>
            <w:tcW w:w="626" w:type="pct"/>
            <w:tcBorders>
              <w:top w:val="single" w:color="auto" w:sz="6" w:space="0"/>
              <w:bottom w:val="single" w:color="auto" w:sz="6" w:space="0"/>
            </w:tcBorders>
            <w:shd w:val="clear" w:color="auto" w:fill="0000FF"/>
            <w:vAlign w:val="center"/>
          </w:tcPr>
          <w:p w14:paraId="2D724DAB">
            <w:pPr>
              <w:jc w:val="center"/>
              <w:rPr>
                <w:rFonts w:ascii="宋体" w:hAnsi="宋体"/>
                <w:b/>
                <w:bCs/>
                <w:color w:val="auto"/>
              </w:rPr>
            </w:pPr>
            <w:r>
              <w:rPr>
                <w:rFonts w:ascii="宋体" w:hAnsi="宋体"/>
                <w:color w:val="auto"/>
              </w:rPr>
              <w:t>一般危险</w:t>
            </w:r>
          </w:p>
        </w:tc>
      </w:tr>
    </w:tbl>
    <w:p w14:paraId="2C2C54C6">
      <w:pPr>
        <w:spacing w:line="600" w:lineRule="exact"/>
        <w:ind w:firstLine="570"/>
        <w:rPr>
          <w:rFonts w:ascii="宋体" w:hAnsi="宋体"/>
          <w:color w:val="auto"/>
          <w:sz w:val="28"/>
          <w:szCs w:val="28"/>
        </w:rPr>
      </w:pPr>
      <w:r>
        <w:rPr>
          <w:rFonts w:ascii="宋体" w:hAnsi="宋体"/>
          <w:color w:val="auto"/>
          <w:sz w:val="28"/>
          <w:szCs w:val="28"/>
        </w:rPr>
        <w:t>由表5</w:t>
      </w:r>
      <w:r>
        <w:rPr>
          <w:rFonts w:hint="eastAsia" w:ascii="宋体" w:hAnsi="宋体"/>
          <w:color w:val="auto"/>
          <w:sz w:val="28"/>
          <w:szCs w:val="28"/>
        </w:rPr>
        <w:t>.1</w:t>
      </w:r>
      <w:r>
        <w:rPr>
          <w:rFonts w:ascii="宋体" w:hAnsi="宋体"/>
          <w:color w:val="auto"/>
          <w:sz w:val="28"/>
          <w:szCs w:val="28"/>
        </w:rPr>
        <w:t>-1的评价结果可以看出，该项目的作业条件相对比较安全。选定的评价单元中的作业均为一般危险或稍有危险，作业条件相对安全。平时作业过程中应当注意以下问题：</w:t>
      </w:r>
    </w:p>
    <w:p w14:paraId="29BB9516">
      <w:pPr>
        <w:spacing w:line="600" w:lineRule="exact"/>
        <w:ind w:firstLine="570"/>
        <w:rPr>
          <w:rFonts w:ascii="宋体" w:hAnsi="宋体"/>
          <w:color w:val="auto"/>
          <w:sz w:val="28"/>
          <w:szCs w:val="28"/>
        </w:rPr>
      </w:pPr>
      <w:r>
        <w:rPr>
          <w:rFonts w:ascii="宋体" w:hAnsi="宋体"/>
          <w:color w:val="auto"/>
          <w:sz w:val="28"/>
          <w:szCs w:val="28"/>
        </w:rPr>
        <w:t>安全经营运行首先应重点加强对油品储罐区、加油区的汽、柴油危险物质的严格控制，注重日常安全管理，加强输送</w:t>
      </w:r>
      <w:r>
        <w:rPr>
          <w:rFonts w:hint="eastAsia" w:ascii="宋体" w:hAnsi="宋体"/>
          <w:color w:val="auto"/>
          <w:sz w:val="28"/>
          <w:szCs w:val="28"/>
        </w:rPr>
        <w:t>易燃</w:t>
      </w:r>
      <w:r>
        <w:rPr>
          <w:rFonts w:ascii="宋体" w:hAnsi="宋体"/>
          <w:color w:val="auto"/>
          <w:sz w:val="28"/>
          <w:szCs w:val="28"/>
        </w:rPr>
        <w:t>液体管线的安全管理，加</w:t>
      </w:r>
      <w:r>
        <w:rPr>
          <w:rFonts w:hint="eastAsia" w:ascii="宋体" w:hAnsi="宋体"/>
          <w:color w:val="auto"/>
          <w:sz w:val="28"/>
          <w:szCs w:val="28"/>
          <w:lang w:eastAsia="zh-CN"/>
        </w:rPr>
        <w:t>强对</w:t>
      </w:r>
      <w:r>
        <w:rPr>
          <w:rFonts w:ascii="宋体" w:hAnsi="宋体"/>
          <w:color w:val="auto"/>
          <w:sz w:val="28"/>
          <w:szCs w:val="28"/>
        </w:rPr>
        <w:t>加油车辆的引导及相关人员的安全教育，严格控制其在建设项目区域拨打电话、吸烟和携带火种等；</w:t>
      </w:r>
    </w:p>
    <w:p w14:paraId="6E5B3705">
      <w:pPr>
        <w:spacing w:line="600" w:lineRule="exact"/>
        <w:ind w:firstLine="570"/>
        <w:rPr>
          <w:rFonts w:ascii="宋体" w:hAnsi="宋体"/>
          <w:color w:val="auto"/>
          <w:sz w:val="28"/>
          <w:szCs w:val="28"/>
        </w:rPr>
      </w:pPr>
      <w:r>
        <w:rPr>
          <w:rFonts w:ascii="宋体" w:hAnsi="宋体"/>
          <w:color w:val="auto"/>
          <w:sz w:val="28"/>
          <w:szCs w:val="28"/>
        </w:rPr>
        <w:t>其次要建立健全完善的安全生产责任制、安全管理制度、安全操作规程、技术操作规程并确保其贯彻落实；</w:t>
      </w:r>
    </w:p>
    <w:p w14:paraId="560DB5BB">
      <w:pPr>
        <w:spacing w:line="600" w:lineRule="exact"/>
        <w:ind w:firstLine="570"/>
        <w:rPr>
          <w:rFonts w:ascii="宋体" w:hAnsi="宋体"/>
          <w:color w:val="auto"/>
          <w:sz w:val="28"/>
          <w:szCs w:val="28"/>
        </w:rPr>
      </w:pPr>
      <w:r>
        <w:rPr>
          <w:rFonts w:ascii="宋体" w:hAnsi="宋体"/>
          <w:color w:val="auto"/>
          <w:sz w:val="28"/>
          <w:szCs w:val="28"/>
        </w:rPr>
        <w:t>要认真抓好加油站操作及管理人员的安全知识和操作技能的培训，确保人员具有与建设项目所需知识水平相适应的技术素质和安全素质，保证加油站安全作业。</w:t>
      </w:r>
    </w:p>
    <w:p w14:paraId="74A60162">
      <w:pPr>
        <w:pStyle w:val="3"/>
        <w:jc w:val="center"/>
        <w:rPr>
          <w:rFonts w:ascii="宋体" w:hAnsi="宋体"/>
          <w:color w:val="auto"/>
          <w:sz w:val="30"/>
          <w:szCs w:val="30"/>
        </w:rPr>
      </w:pPr>
      <w:bookmarkStart w:id="153" w:name="_Toc25652"/>
      <w:bookmarkStart w:id="154" w:name="_Toc92712589"/>
      <w:bookmarkStart w:id="155" w:name="_Toc18727"/>
      <w:bookmarkStart w:id="156" w:name="_Toc2584"/>
      <w:r>
        <w:rPr>
          <w:rFonts w:ascii="宋体" w:hAnsi="宋体"/>
          <w:color w:val="auto"/>
          <w:sz w:val="30"/>
          <w:szCs w:val="30"/>
        </w:rPr>
        <w:t xml:space="preserve">5.2 </w:t>
      </w:r>
      <w:r>
        <w:rPr>
          <w:rFonts w:hint="eastAsia" w:ascii="宋体" w:hAnsi="宋体"/>
          <w:color w:val="auto"/>
          <w:sz w:val="30"/>
          <w:szCs w:val="30"/>
        </w:rPr>
        <w:t>危险度评价</w:t>
      </w:r>
      <w:bookmarkEnd w:id="153"/>
      <w:bookmarkEnd w:id="154"/>
      <w:bookmarkEnd w:id="155"/>
      <w:bookmarkEnd w:id="156"/>
    </w:p>
    <w:p w14:paraId="21175109">
      <w:pPr>
        <w:spacing w:line="600" w:lineRule="exact"/>
        <w:ind w:firstLine="570"/>
        <w:rPr>
          <w:rFonts w:ascii="宋体" w:hAnsi="宋体"/>
          <w:color w:val="auto"/>
          <w:sz w:val="28"/>
          <w:szCs w:val="28"/>
        </w:rPr>
      </w:pP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w:t>
      </w:r>
      <w:r>
        <w:rPr>
          <w:rFonts w:hint="eastAsia" w:ascii="宋体" w:hAnsi="宋体"/>
          <w:color w:val="auto"/>
          <w:sz w:val="28"/>
          <w:szCs w:val="28"/>
        </w:rPr>
        <w:t>采用危险度评价法</w:t>
      </w:r>
      <w:r>
        <w:rPr>
          <w:rFonts w:ascii="宋体" w:hAnsi="宋体"/>
          <w:color w:val="auto"/>
          <w:sz w:val="28"/>
          <w:szCs w:val="28"/>
        </w:rPr>
        <w:t>。</w:t>
      </w:r>
    </w:p>
    <w:p w14:paraId="539AF97A">
      <w:pPr>
        <w:spacing w:line="600" w:lineRule="exact"/>
        <w:ind w:firstLine="570"/>
        <w:rPr>
          <w:rFonts w:ascii="宋体" w:hAnsi="宋体"/>
          <w:color w:val="auto"/>
          <w:sz w:val="28"/>
          <w:szCs w:val="28"/>
        </w:rPr>
      </w:pP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储罐区主要危险物质为汽油、</w:t>
      </w:r>
      <w:r>
        <w:rPr>
          <w:rFonts w:hint="eastAsia" w:ascii="宋体" w:hAnsi="宋体"/>
          <w:color w:val="auto"/>
          <w:sz w:val="28"/>
          <w:szCs w:val="28"/>
        </w:rPr>
        <w:t>0</w:t>
      </w:r>
      <w:r>
        <w:rPr>
          <w:rFonts w:hint="eastAsia" w:ascii="宋体" w:hAnsi="宋体"/>
          <w:color w:val="auto"/>
          <w:sz w:val="28"/>
          <w:szCs w:val="28"/>
          <w:vertAlign w:val="superscript"/>
        </w:rPr>
        <w:t>#</w:t>
      </w:r>
      <w:r>
        <w:rPr>
          <w:rFonts w:ascii="宋体" w:hAnsi="宋体"/>
          <w:color w:val="auto"/>
          <w:sz w:val="28"/>
          <w:szCs w:val="28"/>
        </w:rPr>
        <w:t>柴油</w:t>
      </w:r>
      <w:r>
        <w:rPr>
          <w:rFonts w:hint="eastAsia" w:ascii="宋体" w:hAnsi="宋体"/>
          <w:color w:val="auto"/>
          <w:sz w:val="28"/>
          <w:szCs w:val="28"/>
        </w:rPr>
        <w:t>，按照《石油化工企业设计防火标准</w:t>
      </w:r>
      <w:r>
        <w:rPr>
          <w:rFonts w:hint="eastAsia" w:ascii="宋体" w:hAnsi="宋体"/>
          <w:color w:val="auto"/>
          <w:sz w:val="28"/>
          <w:szCs w:val="28"/>
          <w:lang w:eastAsia="zh-CN"/>
        </w:rPr>
        <w:t>（</w:t>
      </w:r>
      <w:r>
        <w:rPr>
          <w:rFonts w:hint="eastAsia" w:ascii="宋体" w:hAnsi="宋体"/>
          <w:color w:val="auto"/>
          <w:sz w:val="28"/>
          <w:szCs w:val="28"/>
        </w:rPr>
        <w:t>2018年版</w:t>
      </w:r>
      <w:r>
        <w:rPr>
          <w:rFonts w:hint="eastAsia" w:ascii="宋体" w:hAnsi="宋体"/>
          <w:color w:val="auto"/>
          <w:sz w:val="28"/>
          <w:szCs w:val="28"/>
          <w:lang w:eastAsia="zh-CN"/>
        </w:rPr>
        <w:t>）</w:t>
      </w:r>
      <w:r>
        <w:rPr>
          <w:rFonts w:hint="eastAsia" w:ascii="宋体" w:hAnsi="宋体"/>
          <w:color w:val="auto"/>
          <w:sz w:val="28"/>
          <w:szCs w:val="28"/>
        </w:rPr>
        <w:t>》（GB 50160-2008），</w:t>
      </w:r>
      <w:r>
        <w:rPr>
          <w:rFonts w:ascii="宋体" w:hAnsi="宋体"/>
          <w:color w:val="auto"/>
          <w:sz w:val="28"/>
          <w:szCs w:val="28"/>
        </w:rPr>
        <w:t>汽油</w:t>
      </w:r>
      <w:r>
        <w:rPr>
          <w:rFonts w:hint="eastAsia" w:ascii="宋体" w:hAnsi="宋体"/>
          <w:color w:val="auto"/>
          <w:sz w:val="28"/>
          <w:szCs w:val="28"/>
        </w:rPr>
        <w:t>属</w:t>
      </w:r>
      <w:r>
        <w:rPr>
          <w:rFonts w:ascii="宋体" w:hAnsi="宋体"/>
          <w:color w:val="auto"/>
          <w:sz w:val="28"/>
          <w:szCs w:val="28"/>
        </w:rPr>
        <w:t>甲</w:t>
      </w:r>
      <w:r>
        <w:rPr>
          <w:rFonts w:ascii="宋体" w:hAnsi="宋体"/>
          <w:color w:val="auto"/>
          <w:sz w:val="28"/>
          <w:szCs w:val="28"/>
          <w:vertAlign w:val="subscript"/>
        </w:rPr>
        <w:t>B</w:t>
      </w:r>
      <w:r>
        <w:rPr>
          <w:rFonts w:ascii="宋体" w:hAnsi="宋体"/>
          <w:color w:val="auto"/>
          <w:sz w:val="28"/>
          <w:szCs w:val="28"/>
        </w:rPr>
        <w:t>类</w:t>
      </w:r>
      <w:r>
        <w:rPr>
          <w:rFonts w:hint="eastAsia" w:ascii="宋体" w:hAnsi="宋体"/>
          <w:color w:val="auto"/>
          <w:sz w:val="28"/>
          <w:szCs w:val="28"/>
        </w:rPr>
        <w:t>、0</w:t>
      </w:r>
      <w:r>
        <w:rPr>
          <w:rFonts w:hint="eastAsia" w:ascii="宋体" w:hAnsi="宋体"/>
          <w:color w:val="auto"/>
          <w:sz w:val="28"/>
          <w:szCs w:val="28"/>
          <w:vertAlign w:val="superscript"/>
        </w:rPr>
        <w:t>#</w:t>
      </w:r>
      <w:r>
        <w:rPr>
          <w:rFonts w:hint="eastAsia" w:ascii="宋体" w:hAnsi="宋体"/>
          <w:color w:val="auto"/>
          <w:sz w:val="28"/>
          <w:szCs w:val="28"/>
        </w:rPr>
        <w:t>柴油属丙</w:t>
      </w:r>
      <w:r>
        <w:rPr>
          <w:rFonts w:hint="eastAsia" w:ascii="宋体" w:hAnsi="宋体"/>
          <w:color w:val="auto"/>
          <w:sz w:val="28"/>
          <w:szCs w:val="28"/>
          <w:vertAlign w:val="subscript"/>
        </w:rPr>
        <w:t>A</w:t>
      </w:r>
      <w:r>
        <w:rPr>
          <w:rFonts w:ascii="宋体" w:hAnsi="宋体"/>
          <w:color w:val="auto"/>
          <w:sz w:val="28"/>
          <w:szCs w:val="28"/>
        </w:rPr>
        <w:t>类</w:t>
      </w:r>
      <w:r>
        <w:rPr>
          <w:rFonts w:hint="eastAsia" w:ascii="宋体" w:hAnsi="宋体"/>
          <w:color w:val="auto"/>
          <w:sz w:val="28"/>
          <w:szCs w:val="28"/>
        </w:rPr>
        <w:t>，汽油最危险</w:t>
      </w:r>
      <w:r>
        <w:rPr>
          <w:rFonts w:ascii="宋体" w:hAnsi="宋体"/>
          <w:color w:val="auto"/>
          <w:sz w:val="28"/>
          <w:szCs w:val="28"/>
        </w:rPr>
        <w:t>。</w:t>
      </w:r>
    </w:p>
    <w:p w14:paraId="18FD7FD2">
      <w:pPr>
        <w:spacing w:line="600" w:lineRule="exact"/>
        <w:jc w:val="center"/>
        <w:rPr>
          <w:rFonts w:ascii="宋体" w:hAnsi="宋体"/>
          <w:color w:val="auto"/>
          <w:sz w:val="28"/>
          <w:szCs w:val="28"/>
        </w:rPr>
      </w:pPr>
      <w:r>
        <w:rPr>
          <w:rFonts w:hint="eastAsia" w:ascii="宋体" w:hAnsi="宋体"/>
          <w:color w:val="auto"/>
          <w:sz w:val="28"/>
          <w:szCs w:val="28"/>
        </w:rPr>
        <w:t xml:space="preserve">表5.2-1  </w:t>
      </w: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w:t>
      </w:r>
      <w:r>
        <w:rPr>
          <w:rFonts w:hint="eastAsia" w:ascii="宋体" w:hAnsi="宋体"/>
          <w:color w:val="auto"/>
          <w:sz w:val="28"/>
          <w:szCs w:val="28"/>
        </w:rPr>
        <w:t>危险度评价表</w:t>
      </w:r>
    </w:p>
    <w:tbl>
      <w:tblPr>
        <w:tblStyle w:val="25"/>
        <w:tblW w:w="92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1744"/>
        <w:gridCol w:w="2218"/>
        <w:gridCol w:w="880"/>
        <w:gridCol w:w="880"/>
        <w:gridCol w:w="880"/>
        <w:gridCol w:w="2617"/>
      </w:tblGrid>
      <w:tr w14:paraId="7BAF33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71" w:hRule="atLeast"/>
          <w:tblHeader/>
          <w:jc w:val="center"/>
        </w:trPr>
        <w:tc>
          <w:tcPr>
            <w:tcW w:w="1744" w:type="dxa"/>
            <w:vMerge w:val="restart"/>
            <w:shd w:val="clear" w:color="auto" w:fill="FFFFFF"/>
            <w:vAlign w:val="center"/>
          </w:tcPr>
          <w:p w14:paraId="3FAC9E1E">
            <w:pPr>
              <w:snapToGrid w:val="0"/>
              <w:ind w:left="0" w:leftChars="0" w:right="0" w:rightChars="0" w:firstLine="0" w:firstLineChars="0"/>
              <w:jc w:val="center"/>
              <w:rPr>
                <w:rFonts w:ascii="宋体" w:hAnsi="宋体"/>
                <w:b/>
                <w:color w:val="auto"/>
              </w:rPr>
            </w:pPr>
            <w:r>
              <w:rPr>
                <w:rFonts w:hint="eastAsia" w:ascii="宋体" w:hAnsi="宋体"/>
                <w:b/>
                <w:color w:val="auto"/>
              </w:rPr>
              <w:t>项目</w:t>
            </w:r>
          </w:p>
        </w:tc>
        <w:tc>
          <w:tcPr>
            <w:tcW w:w="2218" w:type="dxa"/>
            <w:shd w:val="clear" w:color="auto" w:fill="FFFFFF"/>
            <w:vAlign w:val="center"/>
          </w:tcPr>
          <w:p w14:paraId="53E2F06B">
            <w:pPr>
              <w:snapToGrid w:val="0"/>
              <w:ind w:left="0" w:leftChars="0" w:right="0" w:rightChars="0" w:firstLine="0" w:firstLineChars="0"/>
              <w:jc w:val="center"/>
              <w:rPr>
                <w:rFonts w:ascii="宋体" w:hAnsi="宋体"/>
                <w:b/>
                <w:color w:val="auto"/>
              </w:rPr>
            </w:pPr>
            <w:r>
              <w:rPr>
                <w:rFonts w:hint="eastAsia" w:ascii="宋体" w:hAnsi="宋体"/>
                <w:b/>
                <w:color w:val="auto"/>
              </w:rPr>
              <w:t>物质</w:t>
            </w:r>
          </w:p>
        </w:tc>
        <w:tc>
          <w:tcPr>
            <w:tcW w:w="880" w:type="dxa"/>
            <w:shd w:val="clear" w:color="auto" w:fill="FFFFFF"/>
            <w:vAlign w:val="center"/>
          </w:tcPr>
          <w:p w14:paraId="1BB855CE">
            <w:pPr>
              <w:snapToGrid w:val="0"/>
              <w:ind w:left="0" w:leftChars="0" w:right="0" w:rightChars="0" w:firstLine="0" w:firstLineChars="0"/>
              <w:jc w:val="center"/>
              <w:rPr>
                <w:rFonts w:ascii="宋体" w:hAnsi="宋体"/>
                <w:b/>
                <w:color w:val="auto"/>
              </w:rPr>
            </w:pPr>
            <w:r>
              <w:rPr>
                <w:rFonts w:hint="eastAsia" w:ascii="宋体" w:hAnsi="宋体"/>
                <w:b/>
                <w:color w:val="auto"/>
              </w:rPr>
              <w:t>容量</w:t>
            </w:r>
          </w:p>
        </w:tc>
        <w:tc>
          <w:tcPr>
            <w:tcW w:w="880" w:type="dxa"/>
            <w:shd w:val="clear" w:color="auto" w:fill="FFFFFF"/>
            <w:vAlign w:val="center"/>
          </w:tcPr>
          <w:p w14:paraId="59FBDA0A">
            <w:pPr>
              <w:snapToGrid w:val="0"/>
              <w:ind w:left="0" w:leftChars="0" w:right="0" w:rightChars="0" w:firstLine="0" w:firstLineChars="0"/>
              <w:jc w:val="center"/>
              <w:rPr>
                <w:rFonts w:ascii="宋体" w:hAnsi="宋体"/>
                <w:b/>
                <w:color w:val="auto"/>
              </w:rPr>
            </w:pPr>
            <w:r>
              <w:rPr>
                <w:rFonts w:hint="eastAsia" w:ascii="宋体" w:hAnsi="宋体"/>
                <w:b/>
                <w:color w:val="auto"/>
              </w:rPr>
              <w:t>温度</w:t>
            </w:r>
          </w:p>
        </w:tc>
        <w:tc>
          <w:tcPr>
            <w:tcW w:w="880" w:type="dxa"/>
            <w:shd w:val="clear" w:color="auto" w:fill="FFFFFF"/>
            <w:vAlign w:val="center"/>
          </w:tcPr>
          <w:p w14:paraId="7BC0F5B4">
            <w:pPr>
              <w:snapToGrid w:val="0"/>
              <w:ind w:left="0" w:leftChars="0" w:right="0" w:rightChars="0" w:firstLine="0" w:firstLineChars="0"/>
              <w:jc w:val="center"/>
              <w:rPr>
                <w:rFonts w:ascii="宋体" w:hAnsi="宋体"/>
                <w:b/>
                <w:color w:val="auto"/>
              </w:rPr>
            </w:pPr>
            <w:r>
              <w:rPr>
                <w:rFonts w:hint="eastAsia" w:ascii="宋体" w:hAnsi="宋体"/>
                <w:b/>
                <w:color w:val="auto"/>
              </w:rPr>
              <w:t>压力</w:t>
            </w:r>
          </w:p>
        </w:tc>
        <w:tc>
          <w:tcPr>
            <w:tcW w:w="2617" w:type="dxa"/>
            <w:shd w:val="clear" w:color="auto" w:fill="FFFFFF"/>
            <w:vAlign w:val="center"/>
          </w:tcPr>
          <w:p w14:paraId="1C9837BD">
            <w:pPr>
              <w:snapToGrid w:val="0"/>
              <w:ind w:left="0" w:leftChars="0" w:right="0" w:rightChars="0" w:firstLine="0" w:firstLineChars="0"/>
              <w:jc w:val="center"/>
              <w:rPr>
                <w:rFonts w:ascii="宋体" w:hAnsi="宋体"/>
                <w:b/>
                <w:color w:val="auto"/>
              </w:rPr>
            </w:pPr>
            <w:r>
              <w:rPr>
                <w:rFonts w:hint="eastAsia" w:ascii="宋体" w:hAnsi="宋体"/>
                <w:b/>
                <w:color w:val="auto"/>
              </w:rPr>
              <w:t>操作</w:t>
            </w:r>
          </w:p>
        </w:tc>
      </w:tr>
      <w:tr w14:paraId="2F87E2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jc w:val="center"/>
        </w:trPr>
        <w:tc>
          <w:tcPr>
            <w:tcW w:w="1744" w:type="dxa"/>
            <w:vMerge w:val="continue"/>
            <w:shd w:val="clear" w:color="auto" w:fill="FFFFFF"/>
            <w:vAlign w:val="center"/>
          </w:tcPr>
          <w:p w14:paraId="10BE7341">
            <w:pPr>
              <w:snapToGrid w:val="0"/>
              <w:ind w:left="0" w:leftChars="0" w:right="0" w:rightChars="0" w:firstLine="0" w:firstLineChars="0"/>
              <w:jc w:val="center"/>
              <w:rPr>
                <w:rFonts w:ascii="宋体" w:hAnsi="宋体"/>
                <w:b/>
                <w:color w:val="auto"/>
              </w:rPr>
            </w:pPr>
          </w:p>
        </w:tc>
        <w:tc>
          <w:tcPr>
            <w:tcW w:w="2218" w:type="dxa"/>
            <w:shd w:val="clear" w:color="auto" w:fill="FFFFFF"/>
            <w:vAlign w:val="center"/>
          </w:tcPr>
          <w:p w14:paraId="4F091CA3">
            <w:pPr>
              <w:snapToGrid w:val="0"/>
              <w:ind w:left="0" w:leftChars="0" w:right="0" w:rightChars="0" w:firstLine="0" w:firstLineChars="0"/>
              <w:jc w:val="center"/>
              <w:rPr>
                <w:rFonts w:ascii="宋体" w:hAnsi="宋体"/>
                <w:b/>
                <w:color w:val="auto"/>
              </w:rPr>
            </w:pPr>
            <w:r>
              <w:rPr>
                <w:rFonts w:hint="eastAsia" w:ascii="宋体" w:hAnsi="宋体"/>
                <w:b/>
                <w:color w:val="auto"/>
              </w:rPr>
              <w:t>汽油（</w:t>
            </w:r>
            <w:r>
              <w:rPr>
                <w:rFonts w:ascii="宋体" w:hAnsi="宋体"/>
                <w:b/>
                <w:color w:val="auto"/>
              </w:rPr>
              <w:t>甲</w:t>
            </w:r>
            <w:r>
              <w:rPr>
                <w:rFonts w:ascii="宋体" w:hAnsi="宋体"/>
                <w:b/>
                <w:color w:val="auto"/>
                <w:vertAlign w:val="subscript"/>
              </w:rPr>
              <w:t>B</w:t>
            </w:r>
            <w:r>
              <w:rPr>
                <w:rFonts w:ascii="宋体" w:hAnsi="宋体"/>
                <w:b/>
                <w:color w:val="auto"/>
              </w:rPr>
              <w:t>类</w:t>
            </w:r>
            <w:r>
              <w:rPr>
                <w:rFonts w:hint="eastAsia" w:ascii="宋体" w:hAnsi="宋体"/>
                <w:b/>
                <w:color w:val="auto"/>
              </w:rPr>
              <w:t>）</w:t>
            </w:r>
          </w:p>
        </w:tc>
        <w:tc>
          <w:tcPr>
            <w:tcW w:w="880" w:type="dxa"/>
            <w:shd w:val="clear" w:color="auto" w:fill="FFFFFF"/>
            <w:vAlign w:val="center"/>
          </w:tcPr>
          <w:p w14:paraId="7681F657">
            <w:pPr>
              <w:snapToGrid w:val="0"/>
              <w:ind w:left="0" w:leftChars="0" w:right="0" w:rightChars="0" w:firstLine="0" w:firstLineChars="0"/>
              <w:jc w:val="center"/>
              <w:rPr>
                <w:rFonts w:ascii="宋体" w:hAnsi="宋体"/>
                <w:b/>
                <w:color w:val="auto"/>
              </w:rPr>
            </w:pPr>
            <w:r>
              <w:rPr>
                <w:rFonts w:hint="eastAsia" w:ascii="宋体" w:hAnsi="宋体"/>
                <w:b/>
                <w:color w:val="auto"/>
                <w:lang w:val="en-US" w:eastAsia="zh-CN"/>
              </w:rPr>
              <w:t>6</w:t>
            </w:r>
            <w:r>
              <w:rPr>
                <w:rFonts w:hint="eastAsia" w:ascii="宋体" w:hAnsi="宋体"/>
                <w:b/>
                <w:color w:val="auto"/>
              </w:rPr>
              <w:t>0</w:t>
            </w:r>
            <w:r>
              <w:rPr>
                <w:rFonts w:ascii="宋体" w:hAnsi="宋体"/>
                <w:b/>
                <w:color w:val="auto"/>
              </w:rPr>
              <w:t>m</w:t>
            </w:r>
            <w:r>
              <w:rPr>
                <w:rFonts w:ascii="宋体" w:hAnsi="宋体"/>
                <w:b/>
                <w:color w:val="auto"/>
                <w:vertAlign w:val="superscript"/>
              </w:rPr>
              <w:t>3</w:t>
            </w:r>
          </w:p>
        </w:tc>
        <w:tc>
          <w:tcPr>
            <w:tcW w:w="880" w:type="dxa"/>
            <w:shd w:val="clear" w:color="auto" w:fill="FFFFFF"/>
            <w:vAlign w:val="center"/>
          </w:tcPr>
          <w:p w14:paraId="4AB21B8E">
            <w:pPr>
              <w:snapToGrid w:val="0"/>
              <w:ind w:left="0" w:leftChars="0" w:right="0" w:rightChars="0" w:firstLine="0" w:firstLineChars="0"/>
              <w:jc w:val="center"/>
              <w:rPr>
                <w:rFonts w:ascii="宋体" w:hAnsi="宋体"/>
                <w:b/>
                <w:color w:val="auto"/>
              </w:rPr>
            </w:pPr>
            <w:r>
              <w:rPr>
                <w:rFonts w:hint="eastAsia" w:ascii="宋体" w:hAnsi="宋体"/>
                <w:b/>
                <w:color w:val="auto"/>
              </w:rPr>
              <w:t>常温</w:t>
            </w:r>
          </w:p>
        </w:tc>
        <w:tc>
          <w:tcPr>
            <w:tcW w:w="880" w:type="dxa"/>
            <w:shd w:val="clear" w:color="auto" w:fill="FFFFFF"/>
            <w:vAlign w:val="center"/>
          </w:tcPr>
          <w:p w14:paraId="6FBE8E36">
            <w:pPr>
              <w:snapToGrid w:val="0"/>
              <w:ind w:left="0" w:leftChars="0" w:right="0" w:rightChars="0" w:firstLine="0" w:firstLineChars="0"/>
              <w:jc w:val="center"/>
              <w:rPr>
                <w:rFonts w:ascii="宋体" w:hAnsi="宋体"/>
                <w:b/>
                <w:color w:val="auto"/>
              </w:rPr>
            </w:pPr>
            <w:r>
              <w:rPr>
                <w:rFonts w:hint="eastAsia" w:ascii="宋体" w:hAnsi="宋体"/>
                <w:b/>
                <w:color w:val="auto"/>
              </w:rPr>
              <w:t>常压</w:t>
            </w:r>
          </w:p>
        </w:tc>
        <w:tc>
          <w:tcPr>
            <w:tcW w:w="2617" w:type="dxa"/>
            <w:shd w:val="clear" w:color="auto" w:fill="FFFFFF"/>
            <w:vAlign w:val="center"/>
          </w:tcPr>
          <w:p w14:paraId="2204E4A6">
            <w:pPr>
              <w:snapToGrid w:val="0"/>
              <w:ind w:left="0" w:leftChars="0" w:right="0" w:rightChars="0" w:firstLine="0" w:firstLineChars="0"/>
              <w:jc w:val="center"/>
              <w:rPr>
                <w:rFonts w:ascii="宋体" w:hAnsi="宋体"/>
                <w:b/>
                <w:color w:val="auto"/>
              </w:rPr>
            </w:pPr>
            <w:r>
              <w:rPr>
                <w:rFonts w:ascii="宋体" w:hAnsi="宋体"/>
                <w:b/>
                <w:color w:val="auto"/>
              </w:rPr>
              <w:t>有一定危险的操作</w:t>
            </w:r>
          </w:p>
        </w:tc>
      </w:tr>
      <w:tr w14:paraId="45DFCB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42" w:hRule="atLeast"/>
          <w:jc w:val="center"/>
        </w:trPr>
        <w:tc>
          <w:tcPr>
            <w:tcW w:w="1744" w:type="dxa"/>
            <w:shd w:val="clear" w:color="auto" w:fill="FFFFFF"/>
            <w:vAlign w:val="center"/>
          </w:tcPr>
          <w:p w14:paraId="42475600">
            <w:pPr>
              <w:snapToGrid w:val="0"/>
              <w:ind w:left="0" w:leftChars="0" w:right="0" w:rightChars="0" w:firstLine="0" w:firstLineChars="0"/>
              <w:jc w:val="center"/>
              <w:rPr>
                <w:rFonts w:ascii="宋体" w:hAnsi="宋体"/>
                <w:color w:val="auto"/>
              </w:rPr>
            </w:pPr>
            <w:r>
              <w:rPr>
                <w:rFonts w:hint="eastAsia" w:ascii="宋体" w:hAnsi="宋体"/>
                <w:color w:val="auto"/>
              </w:rPr>
              <w:t>取值</w:t>
            </w:r>
          </w:p>
        </w:tc>
        <w:tc>
          <w:tcPr>
            <w:tcW w:w="2218" w:type="dxa"/>
            <w:shd w:val="clear" w:color="auto" w:fill="FFFFFF"/>
            <w:vAlign w:val="center"/>
          </w:tcPr>
          <w:p w14:paraId="6A3A9D66">
            <w:pPr>
              <w:snapToGrid w:val="0"/>
              <w:ind w:left="0" w:leftChars="0" w:right="0" w:rightChars="0" w:firstLine="0" w:firstLineChars="0"/>
              <w:jc w:val="center"/>
              <w:rPr>
                <w:rFonts w:ascii="宋体" w:hAnsi="宋体"/>
                <w:color w:val="auto"/>
              </w:rPr>
            </w:pPr>
            <w:r>
              <w:rPr>
                <w:rFonts w:hint="eastAsia" w:ascii="宋体" w:hAnsi="宋体"/>
                <w:color w:val="auto"/>
              </w:rPr>
              <w:t>5</w:t>
            </w:r>
          </w:p>
        </w:tc>
        <w:tc>
          <w:tcPr>
            <w:tcW w:w="880" w:type="dxa"/>
            <w:shd w:val="clear" w:color="auto" w:fill="FFFFFF"/>
            <w:vAlign w:val="center"/>
          </w:tcPr>
          <w:p w14:paraId="40C72F46">
            <w:pPr>
              <w:snapToGrid w:val="0"/>
              <w:ind w:left="0" w:leftChars="0" w:right="0" w:rightChars="0" w:firstLine="0" w:firstLineChars="0"/>
              <w:jc w:val="center"/>
              <w:rPr>
                <w:rFonts w:hint="default" w:ascii="宋体" w:hAnsi="宋体" w:eastAsia="宋体"/>
                <w:color w:val="auto"/>
                <w:lang w:val="en-US" w:eastAsia="zh-CN"/>
              </w:rPr>
            </w:pPr>
            <w:r>
              <w:rPr>
                <w:rFonts w:hint="eastAsia" w:ascii="宋体" w:hAnsi="宋体"/>
                <w:color w:val="auto"/>
                <w:lang w:val="en-US" w:eastAsia="zh-CN"/>
              </w:rPr>
              <w:t>5</w:t>
            </w:r>
          </w:p>
        </w:tc>
        <w:tc>
          <w:tcPr>
            <w:tcW w:w="880" w:type="dxa"/>
            <w:shd w:val="clear" w:color="auto" w:fill="FFFFFF"/>
            <w:vAlign w:val="center"/>
          </w:tcPr>
          <w:p w14:paraId="31D6AA1B">
            <w:pPr>
              <w:snapToGrid w:val="0"/>
              <w:ind w:left="0" w:leftChars="0" w:right="0" w:rightChars="0" w:firstLine="0" w:firstLineChars="0"/>
              <w:jc w:val="center"/>
              <w:rPr>
                <w:rFonts w:ascii="宋体" w:hAnsi="宋体"/>
                <w:color w:val="auto"/>
              </w:rPr>
            </w:pPr>
            <w:r>
              <w:rPr>
                <w:rFonts w:hint="eastAsia" w:ascii="宋体" w:hAnsi="宋体"/>
                <w:color w:val="auto"/>
              </w:rPr>
              <w:t>0</w:t>
            </w:r>
          </w:p>
        </w:tc>
        <w:tc>
          <w:tcPr>
            <w:tcW w:w="880" w:type="dxa"/>
            <w:shd w:val="clear" w:color="auto" w:fill="FFFFFF"/>
            <w:vAlign w:val="center"/>
          </w:tcPr>
          <w:p w14:paraId="6869D300">
            <w:pPr>
              <w:snapToGrid w:val="0"/>
              <w:ind w:left="0" w:leftChars="0" w:right="0" w:rightChars="0" w:firstLine="0" w:firstLineChars="0"/>
              <w:jc w:val="center"/>
              <w:rPr>
                <w:rFonts w:ascii="宋体" w:hAnsi="宋体"/>
                <w:color w:val="auto"/>
              </w:rPr>
            </w:pPr>
            <w:r>
              <w:rPr>
                <w:rFonts w:hint="eastAsia" w:ascii="宋体" w:hAnsi="宋体"/>
                <w:color w:val="auto"/>
              </w:rPr>
              <w:t>0</w:t>
            </w:r>
          </w:p>
        </w:tc>
        <w:tc>
          <w:tcPr>
            <w:tcW w:w="2617" w:type="dxa"/>
            <w:shd w:val="clear" w:color="auto" w:fill="FFFFFF"/>
            <w:vAlign w:val="center"/>
          </w:tcPr>
          <w:p w14:paraId="0C73B422">
            <w:pPr>
              <w:snapToGrid w:val="0"/>
              <w:ind w:left="0" w:leftChars="0" w:right="0" w:rightChars="0" w:firstLine="0" w:firstLineChars="0"/>
              <w:jc w:val="center"/>
              <w:rPr>
                <w:rFonts w:ascii="宋体" w:hAnsi="宋体"/>
                <w:color w:val="auto"/>
              </w:rPr>
            </w:pPr>
            <w:r>
              <w:rPr>
                <w:rFonts w:hint="eastAsia" w:ascii="宋体" w:hAnsi="宋体"/>
                <w:color w:val="auto"/>
              </w:rPr>
              <w:t>2</w:t>
            </w:r>
          </w:p>
        </w:tc>
      </w:tr>
      <w:tr w14:paraId="1C8CA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1744" w:type="dxa"/>
            <w:shd w:val="clear" w:color="auto" w:fill="FFFFFF"/>
            <w:vAlign w:val="center"/>
          </w:tcPr>
          <w:p w14:paraId="0F91E550">
            <w:pPr>
              <w:snapToGrid w:val="0"/>
              <w:ind w:left="0" w:leftChars="0" w:right="0" w:rightChars="0" w:firstLine="0" w:firstLineChars="0"/>
              <w:jc w:val="center"/>
              <w:rPr>
                <w:rFonts w:ascii="宋体" w:hAnsi="宋体"/>
                <w:b/>
                <w:color w:val="auto"/>
              </w:rPr>
            </w:pPr>
            <w:r>
              <w:rPr>
                <w:rFonts w:hint="eastAsia" w:ascii="宋体" w:hAnsi="宋体"/>
                <w:b/>
                <w:color w:val="auto"/>
              </w:rPr>
              <w:t>总分值</w:t>
            </w:r>
          </w:p>
        </w:tc>
        <w:tc>
          <w:tcPr>
            <w:tcW w:w="7475" w:type="dxa"/>
            <w:gridSpan w:val="5"/>
            <w:tcBorders>
              <w:bottom w:val="single" w:color="auto" w:sz="6" w:space="0"/>
            </w:tcBorders>
            <w:shd w:val="clear" w:color="auto" w:fill="FFFFFF"/>
            <w:vAlign w:val="center"/>
          </w:tcPr>
          <w:p w14:paraId="1EFF97D3">
            <w:pPr>
              <w:snapToGrid w:val="0"/>
              <w:ind w:left="0" w:leftChars="0" w:right="0" w:rightChars="0" w:firstLine="0" w:firstLineChars="0"/>
              <w:jc w:val="center"/>
              <w:rPr>
                <w:rFonts w:hint="eastAsia" w:ascii="宋体" w:hAnsi="宋体" w:eastAsia="宋体"/>
                <w:b/>
                <w:color w:val="auto"/>
                <w:lang w:eastAsia="zh-CN"/>
              </w:rPr>
            </w:pPr>
            <w:r>
              <w:rPr>
                <w:rFonts w:hint="eastAsia" w:ascii="宋体" w:hAnsi="宋体"/>
                <w:b/>
                <w:color w:val="auto"/>
              </w:rPr>
              <w:t>1</w:t>
            </w:r>
            <w:r>
              <w:rPr>
                <w:rFonts w:hint="eastAsia" w:ascii="宋体" w:hAnsi="宋体"/>
                <w:b/>
                <w:color w:val="auto"/>
                <w:lang w:val="en-US" w:eastAsia="zh-CN"/>
              </w:rPr>
              <w:t>2</w:t>
            </w:r>
          </w:p>
        </w:tc>
      </w:tr>
      <w:tr w14:paraId="58AF1D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99" w:hRule="atLeast"/>
          <w:jc w:val="center"/>
        </w:trPr>
        <w:tc>
          <w:tcPr>
            <w:tcW w:w="1744" w:type="dxa"/>
            <w:shd w:val="clear" w:color="auto" w:fill="FFFFFF"/>
            <w:vAlign w:val="center"/>
          </w:tcPr>
          <w:p w14:paraId="212E8911">
            <w:pPr>
              <w:snapToGrid w:val="0"/>
              <w:ind w:left="0" w:leftChars="0" w:right="0" w:rightChars="0" w:firstLine="0" w:firstLineChars="0"/>
              <w:jc w:val="center"/>
              <w:rPr>
                <w:rFonts w:ascii="宋体" w:hAnsi="宋体"/>
                <w:color w:val="auto"/>
              </w:rPr>
            </w:pPr>
            <w:r>
              <w:rPr>
                <w:rFonts w:hint="eastAsia" w:ascii="宋体" w:hAnsi="宋体"/>
                <w:color w:val="auto"/>
              </w:rPr>
              <w:t>危险度分级</w:t>
            </w:r>
          </w:p>
        </w:tc>
        <w:tc>
          <w:tcPr>
            <w:tcW w:w="7475" w:type="dxa"/>
            <w:gridSpan w:val="5"/>
            <w:tcBorders>
              <w:top w:val="single" w:color="auto" w:sz="6" w:space="0"/>
              <w:bottom w:val="single" w:color="auto" w:sz="12" w:space="0"/>
            </w:tcBorders>
            <w:shd w:val="clear" w:color="auto" w:fill="FFFFFF"/>
            <w:vAlign w:val="center"/>
          </w:tcPr>
          <w:p w14:paraId="286D20C5">
            <w:pPr>
              <w:snapToGrid w:val="0"/>
              <w:ind w:left="0" w:leftChars="0" w:right="0" w:rightChars="0" w:firstLine="0" w:firstLineChars="0"/>
              <w:jc w:val="center"/>
              <w:rPr>
                <w:rFonts w:hint="eastAsia" w:ascii="宋体" w:hAnsi="宋体" w:eastAsia="宋体" w:cs="宋体"/>
                <w:color w:val="auto"/>
                <w:lang w:eastAsia="zh-CN"/>
              </w:rPr>
            </w:pPr>
            <w:r>
              <w:rPr>
                <w:rFonts w:hint="eastAsia" w:ascii="Times New Roman" w:hAnsi="Times New Roman" w:cs="Times New Roman"/>
                <w:color w:val="auto"/>
                <w:lang w:val="en-US" w:eastAsia="zh-CN"/>
              </w:rPr>
              <w:t>Ⅱ</w:t>
            </w:r>
          </w:p>
        </w:tc>
      </w:tr>
    </w:tbl>
    <w:p w14:paraId="0DB34F07">
      <w:pPr>
        <w:spacing w:line="600" w:lineRule="exact"/>
        <w:ind w:firstLine="570"/>
        <w:rPr>
          <w:rFonts w:ascii="宋体" w:hAnsi="宋体"/>
          <w:color w:val="auto"/>
          <w:sz w:val="28"/>
          <w:szCs w:val="28"/>
        </w:rPr>
      </w:pPr>
      <w:r>
        <w:rPr>
          <w:rFonts w:ascii="宋体" w:hAnsi="宋体"/>
          <w:color w:val="auto"/>
          <w:sz w:val="28"/>
          <w:szCs w:val="28"/>
        </w:rPr>
        <w:t>所</w:t>
      </w:r>
      <w:r>
        <w:rPr>
          <w:rFonts w:hint="eastAsia" w:ascii="宋体" w:hAnsi="宋体"/>
          <w:color w:val="auto"/>
          <w:sz w:val="28"/>
          <w:szCs w:val="28"/>
        </w:rPr>
        <w:t>以</w:t>
      </w: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储罐区得分为</w:t>
      </w:r>
      <w:r>
        <w:rPr>
          <w:rFonts w:hint="eastAsia" w:ascii="宋体" w:hAnsi="宋体"/>
          <w:color w:val="auto"/>
          <w:sz w:val="28"/>
          <w:szCs w:val="28"/>
        </w:rPr>
        <w:t>1</w:t>
      </w:r>
      <w:r>
        <w:rPr>
          <w:rFonts w:hint="eastAsia" w:ascii="宋体" w:hAnsi="宋体"/>
          <w:color w:val="auto"/>
          <w:sz w:val="28"/>
          <w:szCs w:val="28"/>
          <w:lang w:val="en-US" w:eastAsia="zh-CN"/>
        </w:rPr>
        <w:t>2</w:t>
      </w:r>
      <w:r>
        <w:rPr>
          <w:rFonts w:ascii="宋体" w:hAnsi="宋体"/>
          <w:color w:val="auto"/>
          <w:sz w:val="28"/>
          <w:szCs w:val="28"/>
        </w:rPr>
        <w:t>分，为</w:t>
      </w:r>
      <w:r>
        <w:rPr>
          <w:rFonts w:hint="eastAsia" w:ascii="Times New Roman" w:hAnsi="Times New Roman" w:cs="Times New Roman"/>
          <w:color w:val="auto"/>
          <w:sz w:val="28"/>
          <w:szCs w:val="28"/>
          <w:lang w:val="en-US" w:eastAsia="zh-CN"/>
        </w:rPr>
        <w:t>Ⅱ</w:t>
      </w:r>
      <w:r>
        <w:rPr>
          <w:rFonts w:hint="eastAsia" w:ascii="宋体" w:hAnsi="宋体" w:cs="Times New Roman"/>
          <w:color w:val="auto"/>
          <w:sz w:val="28"/>
          <w:szCs w:val="28"/>
        </w:rPr>
        <w:t>级</w:t>
      </w:r>
      <w:r>
        <w:rPr>
          <w:rFonts w:ascii="宋体" w:hAnsi="宋体"/>
          <w:color w:val="auto"/>
          <w:sz w:val="28"/>
          <w:szCs w:val="28"/>
        </w:rPr>
        <w:t>，属</w:t>
      </w:r>
      <w:r>
        <w:rPr>
          <w:rFonts w:hint="eastAsia" w:ascii="宋体" w:hAnsi="宋体"/>
          <w:color w:val="auto"/>
          <w:sz w:val="28"/>
          <w:szCs w:val="28"/>
          <w:lang w:val="en-US" w:eastAsia="zh-CN"/>
        </w:rPr>
        <w:t>中</w:t>
      </w:r>
      <w:r>
        <w:rPr>
          <w:rFonts w:ascii="宋体" w:hAnsi="宋体"/>
          <w:color w:val="auto"/>
          <w:sz w:val="28"/>
          <w:szCs w:val="28"/>
        </w:rPr>
        <w:t>度危险。</w:t>
      </w:r>
    </w:p>
    <w:p w14:paraId="79FC2007">
      <w:pPr>
        <w:spacing w:line="600" w:lineRule="exact"/>
        <w:ind w:firstLine="570"/>
        <w:rPr>
          <w:rFonts w:ascii="宋体" w:hAnsi="宋体"/>
          <w:color w:val="auto"/>
          <w:sz w:val="28"/>
          <w:szCs w:val="28"/>
        </w:rPr>
      </w:pPr>
      <w:r>
        <w:rPr>
          <w:rFonts w:hint="eastAsia" w:ascii="宋体" w:hAnsi="宋体"/>
          <w:color w:val="auto"/>
          <w:sz w:val="28"/>
          <w:szCs w:val="28"/>
        </w:rPr>
        <w:t>该站采用单层卧式储罐，密闭卸油，设置了液位、温度监测报警和切断设施，设置了油气泄漏检测报警设施，设置了符合标准要求的通气管，卸油作业设置了防拉脱措施，站区有防流散的环保沟，储油罐按二类防雷设防，卸油管、通气管等静电跨接完善并有定期防雷检测报告（报告结论为符合），有完善的安全管理制度和安全操作规程，员工经培训合格上岗，其风险得到了有效控制。</w:t>
      </w:r>
    </w:p>
    <w:p w14:paraId="381B9C30">
      <w:pPr>
        <w:pStyle w:val="3"/>
        <w:jc w:val="center"/>
        <w:rPr>
          <w:rFonts w:ascii="宋体" w:hAnsi="宋体"/>
          <w:color w:val="auto"/>
          <w:sz w:val="30"/>
          <w:szCs w:val="30"/>
        </w:rPr>
      </w:pPr>
      <w:bookmarkStart w:id="157" w:name="_Toc4183"/>
      <w:bookmarkStart w:id="158" w:name="_Toc92712590"/>
      <w:bookmarkStart w:id="159" w:name="_Toc19007"/>
      <w:bookmarkStart w:id="160" w:name="_Toc10888"/>
      <w:bookmarkStart w:id="161" w:name="_Toc14444"/>
      <w:bookmarkStart w:id="162" w:name="_Toc3721"/>
      <w:bookmarkStart w:id="163" w:name="_Toc92712591"/>
      <w:bookmarkStart w:id="164" w:name="_Toc92712592"/>
      <w:bookmarkStart w:id="165" w:name="_Toc30385"/>
      <w:r>
        <w:rPr>
          <w:rFonts w:hint="eastAsia" w:ascii="宋体" w:hAnsi="宋体"/>
          <w:color w:val="auto"/>
          <w:sz w:val="30"/>
          <w:szCs w:val="30"/>
        </w:rPr>
        <w:t xml:space="preserve">5.3 </w:t>
      </w:r>
      <w:bookmarkEnd w:id="157"/>
      <w:bookmarkEnd w:id="158"/>
      <w:bookmarkEnd w:id="159"/>
      <w:bookmarkEnd w:id="160"/>
      <w:r>
        <w:rPr>
          <w:rFonts w:ascii="宋体" w:hAnsi="宋体"/>
          <w:color w:val="auto"/>
          <w:sz w:val="30"/>
          <w:szCs w:val="30"/>
        </w:rPr>
        <w:t>安全管理</w:t>
      </w:r>
      <w:bookmarkEnd w:id="161"/>
    </w:p>
    <w:p w14:paraId="12A5E6D9">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检查表依据《安全生产法</w:t>
      </w:r>
      <w:r>
        <w:rPr>
          <w:rFonts w:hint="eastAsia" w:ascii="Times New Roman" w:hAnsi="Times New Roman" w:cs="Times New Roman"/>
          <w:color w:val="auto"/>
          <w:sz w:val="28"/>
          <w:szCs w:val="28"/>
          <w:lang w:eastAsia="zh-CN"/>
        </w:rPr>
        <w:t>》《</w:t>
      </w:r>
      <w:r>
        <w:rPr>
          <w:rFonts w:ascii="Times New Roman" w:hAnsi="Times New Roman" w:cs="Times New Roman"/>
          <w:color w:val="auto"/>
          <w:sz w:val="28"/>
          <w:szCs w:val="28"/>
        </w:rPr>
        <w:t>危险化学品经营许可证管理办法》等相关法规标准，对该加油站检查如下：</w:t>
      </w:r>
    </w:p>
    <w:p w14:paraId="0857F0B1">
      <w:pPr>
        <w:rPr>
          <w:rFonts w:hint="eastAsia" w:ascii="宋体" w:hAnsi="宋体"/>
          <w:color w:val="auto"/>
          <w:sz w:val="28"/>
          <w:szCs w:val="28"/>
        </w:rPr>
      </w:pPr>
      <w:r>
        <w:rPr>
          <w:rFonts w:hint="eastAsia" w:ascii="宋体" w:hAnsi="宋体"/>
          <w:color w:val="auto"/>
          <w:sz w:val="28"/>
          <w:szCs w:val="28"/>
        </w:rPr>
        <w:br w:type="page"/>
      </w:r>
    </w:p>
    <w:p w14:paraId="1AFA7732">
      <w:pPr>
        <w:spacing w:line="600" w:lineRule="exact"/>
        <w:jc w:val="center"/>
        <w:rPr>
          <w:rFonts w:ascii="宋体" w:hAnsi="宋体"/>
          <w:color w:val="auto"/>
          <w:sz w:val="28"/>
          <w:szCs w:val="28"/>
        </w:rPr>
      </w:pPr>
      <w:r>
        <w:rPr>
          <w:rFonts w:hint="eastAsia" w:ascii="宋体" w:hAnsi="宋体"/>
          <w:color w:val="auto"/>
          <w:sz w:val="28"/>
          <w:szCs w:val="28"/>
        </w:rPr>
        <w:t>表5.3-1  加油站安全管理检查表</w:t>
      </w:r>
    </w:p>
    <w:tbl>
      <w:tblPr>
        <w:tblStyle w:val="25"/>
        <w:tblW w:w="9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23"/>
        <w:gridCol w:w="4893"/>
        <w:gridCol w:w="2861"/>
        <w:gridCol w:w="821"/>
      </w:tblGrid>
      <w:tr w14:paraId="6B1EB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C3095DF">
            <w:pPr>
              <w:autoSpaceDE w:val="0"/>
              <w:autoSpaceDN w:val="0"/>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序号</w:t>
            </w:r>
          </w:p>
        </w:tc>
        <w:tc>
          <w:tcPr>
            <w:tcW w:w="4893" w:type="dxa"/>
            <w:vAlign w:val="center"/>
          </w:tcPr>
          <w:p w14:paraId="14187E1A">
            <w:pPr>
              <w:autoSpaceDE w:val="0"/>
              <w:autoSpaceDN w:val="0"/>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检查内容</w:t>
            </w:r>
          </w:p>
        </w:tc>
        <w:tc>
          <w:tcPr>
            <w:tcW w:w="2861" w:type="dxa"/>
            <w:vAlign w:val="center"/>
          </w:tcPr>
          <w:p w14:paraId="4807919C">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检查记录</w:t>
            </w:r>
          </w:p>
        </w:tc>
        <w:tc>
          <w:tcPr>
            <w:tcW w:w="821" w:type="dxa"/>
            <w:vAlign w:val="center"/>
          </w:tcPr>
          <w:p w14:paraId="6080E6F1">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结论</w:t>
            </w:r>
          </w:p>
        </w:tc>
      </w:tr>
      <w:tr w14:paraId="1A43A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2C583B29">
            <w:pPr>
              <w:spacing w:line="280" w:lineRule="exact"/>
              <w:jc w:val="center"/>
              <w:rPr>
                <w:rFonts w:ascii="Times New Roman" w:hAnsi="Times New Roman" w:cs="Times New Roman"/>
                <w:bCs/>
                <w:color w:val="auto"/>
                <w:kern w:val="0"/>
              </w:rPr>
            </w:pPr>
            <w:r>
              <w:rPr>
                <w:rFonts w:ascii="Times New Roman" w:hAnsi="Times New Roman" w:cs="Times New Roman"/>
                <w:b/>
                <w:bCs/>
                <w:color w:val="auto"/>
                <w:kern w:val="0"/>
              </w:rPr>
              <w:t>一、资质审查</w:t>
            </w:r>
          </w:p>
        </w:tc>
      </w:tr>
      <w:tr w14:paraId="47341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66CB52C9">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1</w:t>
            </w:r>
          </w:p>
        </w:tc>
        <w:tc>
          <w:tcPr>
            <w:tcW w:w="4893" w:type="dxa"/>
            <w:vAlign w:val="center"/>
          </w:tcPr>
          <w:p w14:paraId="6B94F13E">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原危险化学品经营许可证</w:t>
            </w:r>
          </w:p>
        </w:tc>
        <w:tc>
          <w:tcPr>
            <w:tcW w:w="2861" w:type="dxa"/>
            <w:vAlign w:val="center"/>
          </w:tcPr>
          <w:p w14:paraId="03164413">
            <w:pPr>
              <w:spacing w:line="280" w:lineRule="exact"/>
              <w:jc w:val="center"/>
              <w:rPr>
                <w:rFonts w:ascii="Times New Roman" w:hAnsi="Times New Roman" w:cs="Times New Roman"/>
                <w:bCs/>
                <w:color w:val="auto"/>
                <w:kern w:val="0"/>
              </w:rPr>
            </w:pPr>
            <w:r>
              <w:rPr>
                <w:rFonts w:ascii="Times New Roman" w:hAnsi="Times New Roman" w:cs="Times New Roman"/>
                <w:color w:val="auto"/>
              </w:rPr>
              <w:t>有，</w:t>
            </w:r>
            <w:r>
              <w:rPr>
                <w:rFonts w:hint="eastAsia" w:ascii="Times New Roman" w:hAnsi="Times New Roman" w:cs="Times New Roman"/>
                <w:color w:val="auto"/>
              </w:rPr>
              <w:t>详见附件</w:t>
            </w:r>
          </w:p>
        </w:tc>
        <w:tc>
          <w:tcPr>
            <w:tcW w:w="821" w:type="dxa"/>
            <w:vAlign w:val="center"/>
          </w:tcPr>
          <w:p w14:paraId="56698AF3">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3B05C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68F37657">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2</w:t>
            </w:r>
          </w:p>
        </w:tc>
        <w:tc>
          <w:tcPr>
            <w:tcW w:w="4893" w:type="dxa"/>
            <w:vAlign w:val="center"/>
          </w:tcPr>
          <w:p w14:paraId="784D36D6">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加油站成品油经营批准证书</w:t>
            </w:r>
          </w:p>
        </w:tc>
        <w:tc>
          <w:tcPr>
            <w:tcW w:w="2861" w:type="dxa"/>
            <w:vAlign w:val="center"/>
          </w:tcPr>
          <w:p w14:paraId="3AF5905A">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有，详见附件</w:t>
            </w:r>
          </w:p>
        </w:tc>
        <w:tc>
          <w:tcPr>
            <w:tcW w:w="821" w:type="dxa"/>
            <w:vAlign w:val="center"/>
          </w:tcPr>
          <w:p w14:paraId="53F2FC64">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4B956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68C5ED2">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3</w:t>
            </w:r>
          </w:p>
        </w:tc>
        <w:tc>
          <w:tcPr>
            <w:tcW w:w="4893" w:type="dxa"/>
            <w:vAlign w:val="center"/>
          </w:tcPr>
          <w:p w14:paraId="36FC6D85">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加油站营业执照</w:t>
            </w:r>
          </w:p>
        </w:tc>
        <w:tc>
          <w:tcPr>
            <w:tcW w:w="2861" w:type="dxa"/>
            <w:vAlign w:val="center"/>
          </w:tcPr>
          <w:p w14:paraId="356565B4">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有，详见附件</w:t>
            </w:r>
          </w:p>
        </w:tc>
        <w:tc>
          <w:tcPr>
            <w:tcW w:w="821" w:type="dxa"/>
            <w:vAlign w:val="center"/>
          </w:tcPr>
          <w:p w14:paraId="02595A46">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合格</w:t>
            </w:r>
          </w:p>
        </w:tc>
      </w:tr>
      <w:tr w14:paraId="6DB34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F80013D">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4</w:t>
            </w:r>
          </w:p>
        </w:tc>
        <w:tc>
          <w:tcPr>
            <w:tcW w:w="4893" w:type="dxa"/>
            <w:vAlign w:val="center"/>
          </w:tcPr>
          <w:p w14:paraId="3F9ED215">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加油站主要负责人、安全生产管理人员安全资格证书</w:t>
            </w:r>
          </w:p>
        </w:tc>
        <w:tc>
          <w:tcPr>
            <w:tcW w:w="2861" w:type="dxa"/>
            <w:vAlign w:val="center"/>
          </w:tcPr>
          <w:p w14:paraId="05801094">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有，详见表2.7-1</w:t>
            </w:r>
          </w:p>
        </w:tc>
        <w:tc>
          <w:tcPr>
            <w:tcW w:w="821" w:type="dxa"/>
            <w:vAlign w:val="center"/>
          </w:tcPr>
          <w:p w14:paraId="5B2D00D3">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115B5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5178FC9">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5</w:t>
            </w:r>
          </w:p>
        </w:tc>
        <w:tc>
          <w:tcPr>
            <w:tcW w:w="4893" w:type="dxa"/>
            <w:vAlign w:val="center"/>
          </w:tcPr>
          <w:p w14:paraId="37C422DC">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加油站防雷防静电检测报告</w:t>
            </w:r>
          </w:p>
        </w:tc>
        <w:tc>
          <w:tcPr>
            <w:tcW w:w="2861" w:type="dxa"/>
            <w:vAlign w:val="center"/>
          </w:tcPr>
          <w:p w14:paraId="5E4AA306">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有，详见附件</w:t>
            </w:r>
          </w:p>
        </w:tc>
        <w:tc>
          <w:tcPr>
            <w:tcW w:w="821" w:type="dxa"/>
            <w:vAlign w:val="center"/>
          </w:tcPr>
          <w:p w14:paraId="29FB74CE">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合格</w:t>
            </w:r>
          </w:p>
        </w:tc>
      </w:tr>
      <w:tr w14:paraId="4C719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A0B68B1">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6</w:t>
            </w:r>
          </w:p>
        </w:tc>
        <w:tc>
          <w:tcPr>
            <w:tcW w:w="4893" w:type="dxa"/>
            <w:vAlign w:val="center"/>
          </w:tcPr>
          <w:p w14:paraId="4433C52E">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应急预案备案登记表</w:t>
            </w:r>
          </w:p>
        </w:tc>
        <w:tc>
          <w:tcPr>
            <w:tcW w:w="2861" w:type="dxa"/>
            <w:vAlign w:val="center"/>
          </w:tcPr>
          <w:p w14:paraId="201283A2">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有，详见附件</w:t>
            </w:r>
          </w:p>
        </w:tc>
        <w:tc>
          <w:tcPr>
            <w:tcW w:w="821" w:type="dxa"/>
            <w:vAlign w:val="center"/>
          </w:tcPr>
          <w:p w14:paraId="4E34A7B9">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6E307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53D18336">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二、安全管理制度</w:t>
            </w:r>
          </w:p>
        </w:tc>
      </w:tr>
      <w:tr w14:paraId="0BF9E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D6E3B9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7109C812">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有各级各类人员的安全管理责任制。</w:t>
            </w:r>
          </w:p>
        </w:tc>
        <w:tc>
          <w:tcPr>
            <w:tcW w:w="2861" w:type="dxa"/>
            <w:vAlign w:val="center"/>
          </w:tcPr>
          <w:p w14:paraId="6B2A468F">
            <w:pPr>
              <w:spacing w:line="280" w:lineRule="exact"/>
              <w:jc w:val="center"/>
              <w:rPr>
                <w:rFonts w:ascii="Times New Roman" w:hAnsi="Times New Roman" w:cs="Times New Roman"/>
                <w:color w:val="auto"/>
              </w:rPr>
            </w:pPr>
            <w:r>
              <w:rPr>
                <w:rFonts w:ascii="Times New Roman" w:hAnsi="Times New Roman" w:cs="Times New Roman"/>
                <w:bCs/>
                <w:color w:val="auto"/>
                <w:kern w:val="0"/>
              </w:rPr>
              <w:t>有各级各类人员的安全管理责任制</w:t>
            </w:r>
          </w:p>
        </w:tc>
        <w:tc>
          <w:tcPr>
            <w:tcW w:w="821" w:type="dxa"/>
            <w:vAlign w:val="center"/>
          </w:tcPr>
          <w:p w14:paraId="6F8AD33A">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1977C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498CDC72">
            <w:pPr>
              <w:spacing w:line="280" w:lineRule="exact"/>
              <w:jc w:val="center"/>
              <w:rPr>
                <w:rFonts w:ascii="Times New Roman" w:hAnsi="Times New Roman" w:cs="Times New Roman"/>
                <w:color w:val="auto"/>
                <w:kern w:val="0"/>
              </w:rPr>
            </w:pPr>
            <w:r>
              <w:rPr>
                <w:rFonts w:ascii="Times New Roman" w:hAnsi="Times New Roman" w:cs="Times New Roman"/>
                <w:color w:val="auto"/>
                <w:kern w:val="0"/>
              </w:rPr>
              <w:t>2</w:t>
            </w:r>
          </w:p>
        </w:tc>
        <w:tc>
          <w:tcPr>
            <w:tcW w:w="4893" w:type="dxa"/>
            <w:vAlign w:val="center"/>
          </w:tcPr>
          <w:p w14:paraId="2FF75C25">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有健全的安全管理制度。</w:t>
            </w:r>
          </w:p>
        </w:tc>
        <w:tc>
          <w:tcPr>
            <w:tcW w:w="2861" w:type="dxa"/>
            <w:vAlign w:val="center"/>
          </w:tcPr>
          <w:p w14:paraId="64E02133">
            <w:pPr>
              <w:spacing w:line="280" w:lineRule="exact"/>
              <w:jc w:val="center"/>
              <w:rPr>
                <w:rFonts w:ascii="Times New Roman" w:hAnsi="Times New Roman" w:cs="Times New Roman"/>
                <w:color w:val="auto"/>
              </w:rPr>
            </w:pPr>
            <w:r>
              <w:rPr>
                <w:rFonts w:ascii="Times New Roman" w:hAnsi="Times New Roman" w:cs="Times New Roman"/>
                <w:color w:val="auto"/>
              </w:rPr>
              <w:t>有较健全的安全管理制度</w:t>
            </w:r>
          </w:p>
        </w:tc>
        <w:tc>
          <w:tcPr>
            <w:tcW w:w="821" w:type="dxa"/>
            <w:vAlign w:val="center"/>
          </w:tcPr>
          <w:p w14:paraId="03C9AA97">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3501FB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2D1278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3</w:t>
            </w:r>
          </w:p>
        </w:tc>
        <w:tc>
          <w:tcPr>
            <w:tcW w:w="4893" w:type="dxa"/>
            <w:vAlign w:val="center"/>
          </w:tcPr>
          <w:p w14:paraId="6BF14DD8">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有各岗位操作规程，其中包括：卸油操作规程、加油操作规程等</w:t>
            </w:r>
          </w:p>
        </w:tc>
        <w:tc>
          <w:tcPr>
            <w:tcW w:w="2861" w:type="dxa"/>
            <w:vAlign w:val="center"/>
          </w:tcPr>
          <w:p w14:paraId="44F78E74">
            <w:pPr>
              <w:spacing w:line="280" w:lineRule="exact"/>
              <w:jc w:val="center"/>
              <w:rPr>
                <w:rFonts w:ascii="Times New Roman" w:hAnsi="Times New Roman" w:cs="Times New Roman"/>
                <w:color w:val="auto"/>
              </w:rPr>
            </w:pPr>
            <w:r>
              <w:rPr>
                <w:rFonts w:ascii="Times New Roman" w:hAnsi="Times New Roman" w:cs="Times New Roman"/>
                <w:color w:val="auto"/>
              </w:rPr>
              <w:t>有操作规程</w:t>
            </w:r>
          </w:p>
        </w:tc>
        <w:tc>
          <w:tcPr>
            <w:tcW w:w="821" w:type="dxa"/>
            <w:vAlign w:val="center"/>
          </w:tcPr>
          <w:p w14:paraId="1B13603F">
            <w:pPr>
              <w:spacing w:line="280" w:lineRule="exact"/>
              <w:jc w:val="center"/>
              <w:rPr>
                <w:rFonts w:ascii="Times New Roman" w:hAnsi="Times New Roman" w:cs="Times New Roman"/>
                <w:color w:val="auto"/>
              </w:rPr>
            </w:pPr>
            <w:r>
              <w:rPr>
                <w:rFonts w:ascii="Times New Roman" w:hAnsi="Times New Roman" w:cs="Times New Roman"/>
                <w:color w:val="auto"/>
              </w:rPr>
              <w:t>合格</w:t>
            </w:r>
          </w:p>
        </w:tc>
      </w:tr>
      <w:tr w14:paraId="219C5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0F7BE37">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4</w:t>
            </w:r>
          </w:p>
        </w:tc>
        <w:tc>
          <w:tcPr>
            <w:tcW w:w="4893" w:type="dxa"/>
            <w:vAlign w:val="center"/>
          </w:tcPr>
          <w:p w14:paraId="245CBA4F">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建立安全检查制度。</w:t>
            </w:r>
          </w:p>
        </w:tc>
        <w:tc>
          <w:tcPr>
            <w:tcW w:w="2861" w:type="dxa"/>
            <w:vAlign w:val="center"/>
          </w:tcPr>
          <w:p w14:paraId="2562CF36">
            <w:pPr>
              <w:spacing w:line="280" w:lineRule="exact"/>
              <w:jc w:val="center"/>
              <w:rPr>
                <w:rFonts w:ascii="Times New Roman" w:hAnsi="Times New Roman" w:cs="Times New Roman"/>
                <w:color w:val="auto"/>
                <w:kern w:val="0"/>
              </w:rPr>
            </w:pPr>
            <w:r>
              <w:rPr>
                <w:rFonts w:ascii="Times New Roman" w:hAnsi="Times New Roman" w:cs="Times New Roman"/>
                <w:bCs/>
                <w:color w:val="auto"/>
                <w:kern w:val="0"/>
              </w:rPr>
              <w:t>建立安全检查制度</w:t>
            </w:r>
          </w:p>
        </w:tc>
        <w:tc>
          <w:tcPr>
            <w:tcW w:w="821" w:type="dxa"/>
            <w:vAlign w:val="center"/>
          </w:tcPr>
          <w:p w14:paraId="1183C551">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57EAEA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A51844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5</w:t>
            </w:r>
          </w:p>
        </w:tc>
        <w:tc>
          <w:tcPr>
            <w:tcW w:w="4893" w:type="dxa"/>
            <w:vAlign w:val="center"/>
          </w:tcPr>
          <w:p w14:paraId="6F97E417">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有完善的事故应急救援预案，并要有演练记录。</w:t>
            </w:r>
          </w:p>
        </w:tc>
        <w:tc>
          <w:tcPr>
            <w:tcW w:w="2861" w:type="dxa"/>
            <w:vAlign w:val="center"/>
          </w:tcPr>
          <w:p w14:paraId="36987923">
            <w:pPr>
              <w:spacing w:line="280" w:lineRule="exact"/>
              <w:jc w:val="center"/>
              <w:rPr>
                <w:rFonts w:ascii="Times New Roman" w:hAnsi="Times New Roman" w:cs="Times New Roman"/>
                <w:color w:val="auto"/>
              </w:rPr>
            </w:pPr>
            <w:r>
              <w:rPr>
                <w:rFonts w:ascii="Times New Roman" w:hAnsi="Times New Roman" w:cs="Times New Roman"/>
                <w:bCs/>
                <w:color w:val="auto"/>
                <w:kern w:val="0"/>
              </w:rPr>
              <w:t>有事故应急救援预案，并有演练记录。</w:t>
            </w:r>
          </w:p>
        </w:tc>
        <w:tc>
          <w:tcPr>
            <w:tcW w:w="821" w:type="dxa"/>
            <w:vAlign w:val="center"/>
          </w:tcPr>
          <w:p w14:paraId="7B9E3F3A">
            <w:pPr>
              <w:spacing w:line="280" w:lineRule="exact"/>
              <w:jc w:val="center"/>
              <w:rPr>
                <w:rFonts w:ascii="Times New Roman" w:hAnsi="Times New Roman" w:cs="Times New Roman"/>
                <w:color w:val="auto"/>
                <w:kern w:val="0"/>
              </w:rPr>
            </w:pPr>
            <w:r>
              <w:rPr>
                <w:rFonts w:ascii="Times New Roman" w:hAnsi="Times New Roman" w:cs="Times New Roman"/>
                <w:bCs/>
                <w:color w:val="auto"/>
                <w:kern w:val="0"/>
              </w:rPr>
              <w:t>合格</w:t>
            </w:r>
          </w:p>
        </w:tc>
      </w:tr>
      <w:tr w14:paraId="637A1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1985FBF2">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三、安全管理组织</w:t>
            </w:r>
          </w:p>
        </w:tc>
      </w:tr>
      <w:tr w14:paraId="5CD0C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56B1F7AD">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572A5393">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有安全管理领导小组，有专职或兼职安全人员。</w:t>
            </w:r>
          </w:p>
        </w:tc>
        <w:tc>
          <w:tcPr>
            <w:tcW w:w="2861" w:type="dxa"/>
            <w:vAlign w:val="center"/>
          </w:tcPr>
          <w:p w14:paraId="28AC2FF2">
            <w:pPr>
              <w:spacing w:line="280" w:lineRule="exact"/>
              <w:jc w:val="center"/>
              <w:rPr>
                <w:rFonts w:ascii="Times New Roman" w:hAnsi="Times New Roman" w:cs="Times New Roman"/>
                <w:color w:val="auto"/>
                <w:kern w:val="0"/>
              </w:rPr>
            </w:pPr>
            <w:r>
              <w:rPr>
                <w:rFonts w:ascii="Times New Roman" w:hAnsi="Times New Roman" w:cs="Times New Roman"/>
                <w:color w:val="auto"/>
                <w:kern w:val="0"/>
              </w:rPr>
              <w:t>有安全生产领导小组，有安全管理人员</w:t>
            </w:r>
          </w:p>
        </w:tc>
        <w:tc>
          <w:tcPr>
            <w:tcW w:w="821" w:type="dxa"/>
            <w:vAlign w:val="center"/>
          </w:tcPr>
          <w:p w14:paraId="518C4B95">
            <w:pPr>
              <w:spacing w:line="280" w:lineRule="exact"/>
              <w:jc w:val="center"/>
              <w:rPr>
                <w:rFonts w:ascii="Times New Roman" w:hAnsi="Times New Roman" w:cs="Times New Roman"/>
                <w:color w:val="auto"/>
                <w:kern w:val="0"/>
              </w:rPr>
            </w:pPr>
            <w:r>
              <w:rPr>
                <w:rFonts w:ascii="Times New Roman" w:hAnsi="Times New Roman" w:cs="Times New Roman"/>
                <w:bCs/>
                <w:color w:val="auto"/>
                <w:kern w:val="0"/>
              </w:rPr>
              <w:t>合格</w:t>
            </w:r>
          </w:p>
        </w:tc>
      </w:tr>
      <w:tr w14:paraId="2BD8C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4C7DCE4C">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四、从业人员状况</w:t>
            </w:r>
          </w:p>
        </w:tc>
      </w:tr>
      <w:tr w14:paraId="6B0B0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5D4575B1">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0C6F100B">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单位主要负责人经安全生产监督管理部门和消防部门培训合格，取得上岗资格。</w:t>
            </w:r>
          </w:p>
        </w:tc>
        <w:tc>
          <w:tcPr>
            <w:tcW w:w="2861" w:type="dxa"/>
            <w:vAlign w:val="center"/>
          </w:tcPr>
          <w:p w14:paraId="18A9BE86">
            <w:pPr>
              <w:spacing w:line="280" w:lineRule="exact"/>
              <w:rPr>
                <w:rFonts w:ascii="Times New Roman" w:hAnsi="Times New Roman" w:cs="Times New Roman"/>
                <w:color w:val="auto"/>
                <w:kern w:val="0"/>
              </w:rPr>
            </w:pPr>
            <w:r>
              <w:rPr>
                <w:rFonts w:ascii="Times New Roman" w:hAnsi="Times New Roman" w:cs="Times New Roman"/>
                <w:color w:val="auto"/>
                <w:kern w:val="0"/>
              </w:rPr>
              <w:t>培训合格，取得上岗资格</w:t>
            </w:r>
          </w:p>
        </w:tc>
        <w:tc>
          <w:tcPr>
            <w:tcW w:w="821" w:type="dxa"/>
            <w:vAlign w:val="center"/>
          </w:tcPr>
          <w:p w14:paraId="5967570B">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7B35D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204EB22">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2</w:t>
            </w:r>
          </w:p>
        </w:tc>
        <w:tc>
          <w:tcPr>
            <w:tcW w:w="4893" w:type="dxa"/>
            <w:vAlign w:val="center"/>
          </w:tcPr>
          <w:p w14:paraId="363EE30A">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从业</w:t>
            </w:r>
            <w:r>
              <w:rPr>
                <w:rFonts w:ascii="Times New Roman" w:hAnsi="Times New Roman" w:cs="Times New Roman"/>
                <w:bCs/>
                <w:color w:val="auto"/>
                <w:kern w:val="0"/>
              </w:rPr>
              <w:t>人员经本单位专业培训合格，掌握相应的专业技</w:t>
            </w:r>
            <w:r>
              <w:rPr>
                <w:rFonts w:ascii="Times New Roman" w:hAnsi="Times New Roman" w:cs="Times New Roman"/>
                <w:color w:val="auto"/>
                <w:kern w:val="0"/>
              </w:rPr>
              <w:t>术知识，具备相应的安全生产知识和能力。有培训记录。</w:t>
            </w:r>
          </w:p>
        </w:tc>
        <w:tc>
          <w:tcPr>
            <w:tcW w:w="2861" w:type="dxa"/>
            <w:vAlign w:val="center"/>
          </w:tcPr>
          <w:p w14:paraId="6D8C0688">
            <w:pPr>
              <w:spacing w:line="280" w:lineRule="exact"/>
              <w:rPr>
                <w:rFonts w:ascii="Times New Roman" w:hAnsi="Times New Roman" w:cs="Times New Roman"/>
                <w:color w:val="auto"/>
                <w:kern w:val="0"/>
              </w:rPr>
            </w:pPr>
            <w:r>
              <w:rPr>
                <w:rFonts w:ascii="Times New Roman" w:hAnsi="Times New Roman" w:cs="Times New Roman"/>
                <w:color w:val="auto"/>
                <w:kern w:val="0"/>
              </w:rPr>
              <w:t>从业人员经本单位专业培训合格后上岗，有培训记录。</w:t>
            </w:r>
          </w:p>
        </w:tc>
        <w:tc>
          <w:tcPr>
            <w:tcW w:w="821" w:type="dxa"/>
            <w:vAlign w:val="center"/>
          </w:tcPr>
          <w:p w14:paraId="36DFEDB0">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6F9C5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73F0ECC5">
            <w:pPr>
              <w:spacing w:line="280" w:lineRule="exact"/>
              <w:jc w:val="center"/>
              <w:rPr>
                <w:rFonts w:ascii="Times New Roman" w:hAnsi="Times New Roman" w:cs="Times New Roman"/>
                <w:b/>
                <w:color w:val="auto"/>
                <w:kern w:val="0"/>
              </w:rPr>
            </w:pPr>
            <w:r>
              <w:rPr>
                <w:rFonts w:ascii="Times New Roman" w:hAnsi="Times New Roman" w:cs="Times New Roman"/>
                <w:b/>
                <w:color w:val="auto"/>
                <w:kern w:val="0"/>
              </w:rPr>
              <w:t>五、加油站作业安全</w:t>
            </w:r>
          </w:p>
        </w:tc>
      </w:tr>
      <w:tr w14:paraId="59EF5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1389A68D">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1012CA1B">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作业人员应经安全生产教育和培训考试合格后方可上岗。特种作业人员应取得相应资格证书，持证上岗。</w:t>
            </w:r>
          </w:p>
        </w:tc>
        <w:tc>
          <w:tcPr>
            <w:tcW w:w="2861" w:type="dxa"/>
            <w:vAlign w:val="center"/>
          </w:tcPr>
          <w:p w14:paraId="2C4A6190">
            <w:pPr>
              <w:spacing w:line="280" w:lineRule="exact"/>
              <w:rPr>
                <w:rFonts w:ascii="Times New Roman" w:hAnsi="Times New Roman" w:cs="Times New Roman"/>
                <w:color w:val="auto"/>
                <w:kern w:val="0"/>
              </w:rPr>
            </w:pPr>
            <w:r>
              <w:rPr>
                <w:rFonts w:ascii="Times New Roman" w:hAnsi="Times New Roman" w:cs="Times New Roman"/>
                <w:color w:val="auto"/>
                <w:kern w:val="0"/>
              </w:rPr>
              <w:t>站内作业人员经安全生产教育和培训考试合格后上岗。站内不涉及特种作业人员。</w:t>
            </w:r>
          </w:p>
        </w:tc>
        <w:tc>
          <w:tcPr>
            <w:tcW w:w="821" w:type="dxa"/>
            <w:vAlign w:val="center"/>
          </w:tcPr>
          <w:p w14:paraId="20C7EBEE">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5D81B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3C31AC34">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2</w:t>
            </w:r>
          </w:p>
        </w:tc>
        <w:tc>
          <w:tcPr>
            <w:tcW w:w="4893" w:type="dxa"/>
            <w:vAlign w:val="center"/>
          </w:tcPr>
          <w:p w14:paraId="0A5D5E5E">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作业区人员上岗时应穿防静电工作服、防静电工作鞋。不应在作业区穿脱及拍打衣服、帽子或类似物。</w:t>
            </w:r>
          </w:p>
        </w:tc>
        <w:tc>
          <w:tcPr>
            <w:tcW w:w="2861" w:type="dxa"/>
            <w:vAlign w:val="center"/>
          </w:tcPr>
          <w:p w14:paraId="72C9E783">
            <w:pPr>
              <w:spacing w:line="280" w:lineRule="exact"/>
              <w:rPr>
                <w:rFonts w:ascii="Times New Roman" w:hAnsi="Times New Roman" w:cs="Times New Roman"/>
                <w:color w:val="auto"/>
                <w:kern w:val="0"/>
              </w:rPr>
            </w:pPr>
            <w:r>
              <w:rPr>
                <w:rFonts w:ascii="Times New Roman" w:hAnsi="Times New Roman" w:cs="Times New Roman"/>
                <w:color w:val="auto"/>
                <w:kern w:val="0"/>
              </w:rPr>
              <w:t>作业区人员上岗时穿防静电工作服、防静电工作鞋。</w:t>
            </w:r>
          </w:p>
        </w:tc>
        <w:tc>
          <w:tcPr>
            <w:tcW w:w="821" w:type="dxa"/>
            <w:vAlign w:val="center"/>
          </w:tcPr>
          <w:p w14:paraId="26CC25D8">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29AC1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C68688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3</w:t>
            </w:r>
          </w:p>
        </w:tc>
        <w:tc>
          <w:tcPr>
            <w:tcW w:w="4893" w:type="dxa"/>
            <w:vAlign w:val="center"/>
          </w:tcPr>
          <w:p w14:paraId="2F9F6D17">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不应在加油站内吸烟。</w:t>
            </w:r>
          </w:p>
        </w:tc>
        <w:tc>
          <w:tcPr>
            <w:tcW w:w="2861" w:type="dxa"/>
            <w:vAlign w:val="center"/>
          </w:tcPr>
          <w:p w14:paraId="0E2C16C0">
            <w:pPr>
              <w:spacing w:line="280" w:lineRule="exact"/>
              <w:rPr>
                <w:rFonts w:ascii="Times New Roman" w:hAnsi="Times New Roman" w:cs="Times New Roman"/>
                <w:color w:val="auto"/>
                <w:kern w:val="0"/>
              </w:rPr>
            </w:pPr>
            <w:r>
              <w:rPr>
                <w:rFonts w:ascii="Times New Roman" w:hAnsi="Times New Roman" w:cs="Times New Roman"/>
                <w:color w:val="auto"/>
                <w:kern w:val="0"/>
              </w:rPr>
              <w:t>站内严禁吸烟。</w:t>
            </w:r>
          </w:p>
        </w:tc>
        <w:tc>
          <w:tcPr>
            <w:tcW w:w="821" w:type="dxa"/>
            <w:vAlign w:val="center"/>
          </w:tcPr>
          <w:p w14:paraId="730BEB43">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7C7EB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1A269B4">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4</w:t>
            </w:r>
          </w:p>
        </w:tc>
        <w:tc>
          <w:tcPr>
            <w:tcW w:w="4893" w:type="dxa"/>
            <w:vAlign w:val="center"/>
          </w:tcPr>
          <w:p w14:paraId="6ADE6203">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作业区应按GB/T 2893.5，GB 2894，GB 13495.1，GB 15630的规定设置安全标志和安全色。</w:t>
            </w:r>
          </w:p>
        </w:tc>
        <w:tc>
          <w:tcPr>
            <w:tcW w:w="2861" w:type="dxa"/>
            <w:vAlign w:val="center"/>
          </w:tcPr>
          <w:p w14:paraId="1594EB4C">
            <w:pPr>
              <w:spacing w:line="280" w:lineRule="exact"/>
              <w:rPr>
                <w:rFonts w:ascii="Times New Roman" w:hAnsi="Times New Roman" w:cs="Times New Roman"/>
                <w:color w:val="auto"/>
                <w:kern w:val="0"/>
              </w:rPr>
            </w:pPr>
            <w:r>
              <w:rPr>
                <w:rFonts w:ascii="Times New Roman" w:hAnsi="Times New Roman" w:cs="Times New Roman"/>
                <w:color w:val="auto"/>
                <w:kern w:val="0"/>
              </w:rPr>
              <w:t>作业区按规定设置安全标志和安全色。</w:t>
            </w:r>
          </w:p>
        </w:tc>
        <w:tc>
          <w:tcPr>
            <w:tcW w:w="821" w:type="dxa"/>
            <w:vAlign w:val="center"/>
          </w:tcPr>
          <w:p w14:paraId="06A4BB8B">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3310F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5A15EB69">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5</w:t>
            </w:r>
          </w:p>
        </w:tc>
        <w:tc>
          <w:tcPr>
            <w:tcW w:w="4893" w:type="dxa"/>
            <w:vAlign w:val="center"/>
          </w:tcPr>
          <w:p w14:paraId="264352E1">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加油站遇雷暴、龙卷风和台风等恶劣天气时应停止加油、卸油、取样和人工计量等作业。</w:t>
            </w:r>
          </w:p>
        </w:tc>
        <w:tc>
          <w:tcPr>
            <w:tcW w:w="2861" w:type="dxa"/>
            <w:vAlign w:val="center"/>
          </w:tcPr>
          <w:p w14:paraId="4011473F">
            <w:pPr>
              <w:spacing w:line="280" w:lineRule="exact"/>
              <w:rPr>
                <w:rFonts w:ascii="Times New Roman" w:hAnsi="Times New Roman" w:cs="Times New Roman"/>
                <w:color w:val="auto"/>
                <w:kern w:val="0"/>
              </w:rPr>
            </w:pPr>
            <w:r>
              <w:rPr>
                <w:rFonts w:ascii="Times New Roman" w:hAnsi="Times New Roman" w:cs="Times New Roman"/>
                <w:bCs/>
                <w:color w:val="auto"/>
                <w:kern w:val="0"/>
              </w:rPr>
              <w:t>加油、卸油操作规程有相关规定。</w:t>
            </w:r>
          </w:p>
        </w:tc>
        <w:tc>
          <w:tcPr>
            <w:tcW w:w="821" w:type="dxa"/>
            <w:vAlign w:val="center"/>
          </w:tcPr>
          <w:p w14:paraId="5B47C285">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25A7E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CAE5D82">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6</w:t>
            </w:r>
          </w:p>
        </w:tc>
        <w:tc>
          <w:tcPr>
            <w:tcW w:w="4893" w:type="dxa"/>
            <w:vAlign w:val="center"/>
          </w:tcPr>
          <w:p w14:paraId="2116B335">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不应在作业区内抛掷、拖拉、滚动、敲打金属物品及进行易产生火花的作业。</w:t>
            </w:r>
          </w:p>
        </w:tc>
        <w:tc>
          <w:tcPr>
            <w:tcW w:w="2861" w:type="dxa"/>
            <w:vAlign w:val="center"/>
          </w:tcPr>
          <w:p w14:paraId="2DF7EB74">
            <w:pPr>
              <w:spacing w:line="280" w:lineRule="exact"/>
              <w:rPr>
                <w:rFonts w:ascii="Times New Roman" w:hAnsi="Times New Roman" w:cs="Times New Roman"/>
                <w:color w:val="auto"/>
                <w:kern w:val="0"/>
              </w:rPr>
            </w:pPr>
            <w:r>
              <w:rPr>
                <w:rFonts w:ascii="Times New Roman" w:hAnsi="Times New Roman" w:cs="Times New Roman"/>
                <w:color w:val="auto"/>
                <w:kern w:val="0"/>
              </w:rPr>
              <w:t>不在作业区内进行易产生火花的作业。</w:t>
            </w:r>
          </w:p>
        </w:tc>
        <w:tc>
          <w:tcPr>
            <w:tcW w:w="821" w:type="dxa"/>
            <w:vAlign w:val="center"/>
          </w:tcPr>
          <w:p w14:paraId="630A1497">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0FF5F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3FD5EC65">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7</w:t>
            </w:r>
          </w:p>
        </w:tc>
        <w:tc>
          <w:tcPr>
            <w:tcW w:w="4893" w:type="dxa"/>
            <w:vAlign w:val="center"/>
          </w:tcPr>
          <w:p w14:paraId="55965C1D">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不应在作业区内进行车辆维修和洗车作业。</w:t>
            </w:r>
          </w:p>
        </w:tc>
        <w:tc>
          <w:tcPr>
            <w:tcW w:w="2861" w:type="dxa"/>
            <w:vAlign w:val="center"/>
          </w:tcPr>
          <w:p w14:paraId="6E202840">
            <w:pPr>
              <w:spacing w:line="280" w:lineRule="exact"/>
              <w:rPr>
                <w:rFonts w:ascii="Times New Roman" w:hAnsi="Times New Roman" w:cs="Times New Roman"/>
                <w:color w:val="auto"/>
                <w:kern w:val="0"/>
              </w:rPr>
            </w:pPr>
            <w:r>
              <w:rPr>
                <w:rFonts w:ascii="Times New Roman" w:hAnsi="Times New Roman" w:cs="Times New Roman"/>
                <w:color w:val="auto"/>
                <w:kern w:val="0"/>
              </w:rPr>
              <w:t>不在作业区内进行车辆维修和洗车作业。</w:t>
            </w:r>
          </w:p>
        </w:tc>
        <w:tc>
          <w:tcPr>
            <w:tcW w:w="821" w:type="dxa"/>
            <w:vAlign w:val="center"/>
          </w:tcPr>
          <w:p w14:paraId="17AC269F">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2CA0F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E04941D">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8</w:t>
            </w:r>
          </w:p>
        </w:tc>
        <w:tc>
          <w:tcPr>
            <w:tcW w:w="4893" w:type="dxa"/>
            <w:vAlign w:val="center"/>
          </w:tcPr>
          <w:p w14:paraId="56620688">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不应使用汽油和易燃清洗剂做清洁工作。不应使用可能会产生静电或火花的清洁工具。</w:t>
            </w:r>
          </w:p>
        </w:tc>
        <w:tc>
          <w:tcPr>
            <w:tcW w:w="2861" w:type="dxa"/>
            <w:vAlign w:val="center"/>
          </w:tcPr>
          <w:p w14:paraId="13723969">
            <w:pPr>
              <w:spacing w:line="280" w:lineRule="exact"/>
              <w:rPr>
                <w:rFonts w:ascii="Times New Roman" w:hAnsi="Times New Roman" w:cs="Times New Roman"/>
                <w:color w:val="auto"/>
                <w:kern w:val="0"/>
              </w:rPr>
            </w:pPr>
            <w:r>
              <w:rPr>
                <w:rFonts w:ascii="Times New Roman" w:hAnsi="Times New Roman" w:cs="Times New Roman"/>
                <w:color w:val="auto"/>
                <w:kern w:val="0"/>
              </w:rPr>
              <w:t>不使用汽油和易燃清洗剂做清洁工作。不使用可能会产生静电或火花的清洁工具。</w:t>
            </w:r>
          </w:p>
        </w:tc>
        <w:tc>
          <w:tcPr>
            <w:tcW w:w="821" w:type="dxa"/>
            <w:vAlign w:val="center"/>
          </w:tcPr>
          <w:p w14:paraId="4FED642F">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bl>
    <w:p w14:paraId="5C83EB2D">
      <w:pPr>
        <w:rPr>
          <w:rFonts w:ascii="Times New Roman" w:hAnsi="Times New Roman" w:cs="Times New Roman"/>
          <w:color w:val="auto"/>
          <w:sz w:val="28"/>
          <w:szCs w:val="36"/>
        </w:rPr>
      </w:pPr>
      <w:r>
        <w:rPr>
          <w:rFonts w:ascii="Times New Roman" w:hAnsi="Times New Roman" w:cs="Times New Roman"/>
          <w:color w:val="auto"/>
          <w:sz w:val="28"/>
          <w:szCs w:val="36"/>
        </w:rPr>
        <w:br w:type="page"/>
      </w:r>
    </w:p>
    <w:p w14:paraId="1906C7A8">
      <w:pPr>
        <w:ind w:firstLine="560" w:firstLineChars="200"/>
        <w:rPr>
          <w:rFonts w:ascii="Times New Roman" w:hAnsi="Times New Roman" w:cs="Times New Roman"/>
          <w:color w:val="auto"/>
          <w:sz w:val="28"/>
          <w:szCs w:val="36"/>
        </w:rPr>
      </w:pPr>
      <w:r>
        <w:rPr>
          <w:rFonts w:ascii="Times New Roman" w:hAnsi="Times New Roman" w:cs="Times New Roman"/>
          <w:color w:val="auto"/>
          <w:sz w:val="28"/>
          <w:szCs w:val="36"/>
        </w:rPr>
        <w:t>评价小结：</w:t>
      </w:r>
    </w:p>
    <w:p w14:paraId="2CCA40ED">
      <w:pPr>
        <w:ind w:firstLine="420"/>
        <w:rPr>
          <w:rFonts w:ascii="宋体" w:hAnsi="宋体"/>
          <w:color w:val="auto"/>
          <w:sz w:val="28"/>
          <w:szCs w:val="28"/>
        </w:rPr>
      </w:pPr>
      <w:r>
        <w:rPr>
          <w:rFonts w:hint="eastAsia" w:ascii="宋体" w:hAnsi="宋体"/>
          <w:color w:val="auto"/>
          <w:sz w:val="28"/>
          <w:szCs w:val="28"/>
        </w:rPr>
        <w:t>该加油站制定了各岗位安全生产职责，明确规定了各级领导和各岗位人员的安全生产职责和要求；制定了各种安全管理制度，制定了加油、卸油的安全操作技术规程。按规定为从业人员发放劳动保护用品。加油站制定了生产安全事故应急救援预案，并在当地县应急管理局备案。加油站定期进行预案演练，对演练进行了记录和总结。</w:t>
      </w:r>
    </w:p>
    <w:p w14:paraId="3BDD94E6">
      <w:pPr>
        <w:pStyle w:val="3"/>
        <w:jc w:val="center"/>
        <w:rPr>
          <w:rFonts w:ascii="宋体" w:hAnsi="宋体"/>
          <w:color w:val="auto"/>
          <w:sz w:val="30"/>
          <w:szCs w:val="30"/>
        </w:rPr>
      </w:pPr>
      <w:bookmarkStart w:id="166" w:name="_Toc5426"/>
      <w:r>
        <w:rPr>
          <w:rFonts w:hint="eastAsia" w:ascii="宋体" w:hAnsi="宋体"/>
          <w:color w:val="auto"/>
          <w:sz w:val="30"/>
          <w:szCs w:val="30"/>
        </w:rPr>
        <w:t>5.4 站址选择符合性评价</w:t>
      </w:r>
      <w:bookmarkEnd w:id="162"/>
      <w:bookmarkEnd w:id="163"/>
      <w:bookmarkEnd w:id="166"/>
    </w:p>
    <w:p w14:paraId="23B1DC9A">
      <w:pPr>
        <w:spacing w:line="560" w:lineRule="exact"/>
        <w:ind w:firstLine="570"/>
        <w:rPr>
          <w:rFonts w:ascii="宋体" w:hAnsi="宋体"/>
          <w:color w:val="auto"/>
          <w:sz w:val="28"/>
          <w:szCs w:val="28"/>
        </w:rPr>
      </w:pPr>
      <w:r>
        <w:rPr>
          <w:rFonts w:ascii="宋体" w:hAnsi="宋体"/>
          <w:color w:val="auto"/>
          <w:sz w:val="28"/>
          <w:szCs w:val="28"/>
        </w:rPr>
        <w:t>检查表依据《汽车加油加气加氢站技术标准》</w:t>
      </w:r>
      <w:r>
        <w:rPr>
          <w:rFonts w:hint="eastAsia" w:ascii="宋体" w:hAnsi="宋体"/>
          <w:color w:val="auto"/>
          <w:sz w:val="28"/>
          <w:szCs w:val="28"/>
        </w:rPr>
        <w:t>（</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50156-2021</w:t>
      </w:r>
      <w:r>
        <w:rPr>
          <w:rFonts w:hint="eastAsia" w:ascii="宋体" w:hAnsi="宋体"/>
          <w:color w:val="auto"/>
          <w:sz w:val="28"/>
          <w:szCs w:val="28"/>
        </w:rPr>
        <w:t>）和本报告2.2节介绍</w:t>
      </w:r>
      <w:r>
        <w:rPr>
          <w:rFonts w:ascii="宋体" w:hAnsi="宋体"/>
          <w:color w:val="auto"/>
          <w:sz w:val="28"/>
          <w:szCs w:val="28"/>
        </w:rPr>
        <w:t>，该加油站</w:t>
      </w:r>
      <w:r>
        <w:rPr>
          <w:rFonts w:hint="eastAsia" w:ascii="宋体" w:hAnsi="宋体"/>
          <w:color w:val="auto"/>
          <w:sz w:val="28"/>
          <w:szCs w:val="28"/>
        </w:rPr>
        <w:t>站址</w:t>
      </w:r>
      <w:r>
        <w:rPr>
          <w:rFonts w:ascii="宋体" w:hAnsi="宋体"/>
          <w:color w:val="auto"/>
          <w:sz w:val="28"/>
          <w:szCs w:val="28"/>
        </w:rPr>
        <w:t>检查如下</w:t>
      </w:r>
      <w:r>
        <w:rPr>
          <w:rFonts w:hint="eastAsia" w:ascii="宋体" w:hAnsi="宋体"/>
          <w:color w:val="auto"/>
          <w:sz w:val="28"/>
          <w:szCs w:val="28"/>
        </w:rPr>
        <w:t>表5.4-1、5.4-2</w:t>
      </w:r>
      <w:r>
        <w:rPr>
          <w:rFonts w:ascii="宋体" w:hAnsi="宋体"/>
          <w:color w:val="auto"/>
          <w:sz w:val="28"/>
          <w:szCs w:val="28"/>
        </w:rPr>
        <w:t>：</w:t>
      </w:r>
    </w:p>
    <w:p w14:paraId="1E1C9EF0">
      <w:pPr>
        <w:spacing w:line="600" w:lineRule="exact"/>
        <w:jc w:val="center"/>
        <w:rPr>
          <w:rFonts w:ascii="宋体" w:hAnsi="宋体"/>
          <w:color w:val="auto"/>
          <w:sz w:val="28"/>
          <w:szCs w:val="28"/>
        </w:rPr>
      </w:pPr>
      <w:r>
        <w:rPr>
          <w:rFonts w:hint="eastAsia" w:ascii="宋体" w:hAnsi="宋体"/>
          <w:color w:val="auto"/>
          <w:sz w:val="28"/>
          <w:szCs w:val="28"/>
        </w:rPr>
        <w:t>表5.4-1  加油站站址选择安全检查表（依据《汽车加油加气加氢站技术标准》GB50156-2021）</w:t>
      </w:r>
    </w:p>
    <w:tbl>
      <w:tblPr>
        <w:tblStyle w:val="25"/>
        <w:tblW w:w="51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67"/>
        <w:gridCol w:w="6855"/>
        <w:gridCol w:w="1595"/>
        <w:gridCol w:w="544"/>
      </w:tblGrid>
      <w:tr w14:paraId="0C9AF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2" w:hRule="atLeast"/>
          <w:tblHeader/>
          <w:jc w:val="center"/>
        </w:trPr>
        <w:tc>
          <w:tcPr>
            <w:tcW w:w="247" w:type="pct"/>
            <w:tcBorders>
              <w:top w:val="single" w:color="auto" w:sz="12" w:space="0"/>
              <w:left w:val="single" w:color="auto" w:sz="12" w:space="0"/>
              <w:bottom w:val="single" w:color="auto" w:sz="6" w:space="0"/>
              <w:right w:val="single" w:color="auto" w:sz="6" w:space="0"/>
            </w:tcBorders>
            <w:vAlign w:val="center"/>
          </w:tcPr>
          <w:p w14:paraId="25EE699A">
            <w:pPr>
              <w:tabs>
                <w:tab w:val="left" w:pos="420"/>
              </w:tabs>
              <w:jc w:val="center"/>
              <w:rPr>
                <w:rFonts w:ascii="宋体" w:hAnsi="宋体"/>
                <w:b/>
                <w:color w:val="auto"/>
              </w:rPr>
            </w:pPr>
            <w:r>
              <w:rPr>
                <w:rFonts w:ascii="宋体" w:hAnsi="宋体"/>
                <w:b/>
                <w:color w:val="auto"/>
              </w:rPr>
              <w:t>序号</w:t>
            </w:r>
          </w:p>
        </w:tc>
        <w:tc>
          <w:tcPr>
            <w:tcW w:w="3622" w:type="pct"/>
            <w:tcBorders>
              <w:top w:val="single" w:color="auto" w:sz="12" w:space="0"/>
              <w:left w:val="single" w:color="auto" w:sz="6" w:space="0"/>
              <w:bottom w:val="single" w:color="auto" w:sz="6" w:space="0"/>
              <w:right w:val="single" w:color="auto" w:sz="6" w:space="0"/>
            </w:tcBorders>
            <w:vAlign w:val="center"/>
          </w:tcPr>
          <w:p w14:paraId="33BD4DC6">
            <w:pPr>
              <w:jc w:val="center"/>
              <w:rPr>
                <w:rFonts w:ascii="宋体" w:hAnsi="宋体"/>
                <w:b/>
                <w:color w:val="auto"/>
              </w:rPr>
            </w:pPr>
            <w:r>
              <w:rPr>
                <w:rFonts w:ascii="宋体" w:hAnsi="宋体"/>
                <w:b/>
                <w:color w:val="auto"/>
              </w:rPr>
              <w:t>检查内容</w:t>
            </w:r>
          </w:p>
        </w:tc>
        <w:tc>
          <w:tcPr>
            <w:tcW w:w="843" w:type="pct"/>
            <w:tcBorders>
              <w:top w:val="single" w:color="auto" w:sz="12" w:space="0"/>
              <w:left w:val="single" w:color="auto" w:sz="6" w:space="0"/>
              <w:bottom w:val="single" w:color="auto" w:sz="6" w:space="0"/>
              <w:right w:val="single" w:color="auto" w:sz="6" w:space="0"/>
            </w:tcBorders>
            <w:vAlign w:val="center"/>
          </w:tcPr>
          <w:p w14:paraId="13285F5D">
            <w:pPr>
              <w:jc w:val="center"/>
              <w:rPr>
                <w:rFonts w:ascii="宋体" w:hAnsi="宋体"/>
                <w:b/>
                <w:color w:val="auto"/>
              </w:rPr>
            </w:pPr>
            <w:r>
              <w:rPr>
                <w:rFonts w:ascii="宋体" w:hAnsi="宋体"/>
                <w:b/>
                <w:color w:val="auto"/>
              </w:rPr>
              <w:t>检查记录</w:t>
            </w:r>
          </w:p>
        </w:tc>
        <w:tc>
          <w:tcPr>
            <w:tcW w:w="287" w:type="pct"/>
            <w:tcBorders>
              <w:top w:val="single" w:color="auto" w:sz="12" w:space="0"/>
              <w:left w:val="single" w:color="auto" w:sz="6" w:space="0"/>
              <w:bottom w:val="single" w:color="auto" w:sz="6" w:space="0"/>
              <w:right w:val="single" w:color="auto" w:sz="12" w:space="0"/>
            </w:tcBorders>
            <w:vAlign w:val="center"/>
          </w:tcPr>
          <w:p w14:paraId="248FB4C3">
            <w:pPr>
              <w:jc w:val="center"/>
              <w:rPr>
                <w:rFonts w:ascii="宋体" w:hAnsi="宋体"/>
                <w:b/>
                <w:color w:val="auto"/>
              </w:rPr>
            </w:pPr>
            <w:r>
              <w:rPr>
                <w:rFonts w:ascii="宋体" w:hAnsi="宋体"/>
                <w:b/>
                <w:color w:val="auto"/>
              </w:rPr>
              <w:t>结论</w:t>
            </w:r>
          </w:p>
        </w:tc>
      </w:tr>
      <w:tr w14:paraId="03C9A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45" w:hRule="atLeast"/>
          <w:jc w:val="center"/>
        </w:trPr>
        <w:tc>
          <w:tcPr>
            <w:tcW w:w="247" w:type="pct"/>
            <w:vAlign w:val="center"/>
          </w:tcPr>
          <w:p w14:paraId="7D2F2EAC">
            <w:pPr>
              <w:numPr>
                <w:ilvl w:val="0"/>
                <w:numId w:val="5"/>
              </w:numPr>
              <w:jc w:val="center"/>
              <w:rPr>
                <w:rFonts w:ascii="宋体" w:hAnsi="宋体"/>
                <w:color w:val="auto"/>
              </w:rPr>
            </w:pPr>
          </w:p>
        </w:tc>
        <w:tc>
          <w:tcPr>
            <w:tcW w:w="3622" w:type="pct"/>
            <w:vAlign w:val="center"/>
          </w:tcPr>
          <w:p w14:paraId="05464836">
            <w:pPr>
              <w:rPr>
                <w:rFonts w:ascii="宋体" w:hAnsi="宋体"/>
                <w:color w:val="auto"/>
              </w:rPr>
            </w:pPr>
            <w:r>
              <w:rPr>
                <w:rFonts w:ascii="宋体" w:hAnsi="宋体"/>
                <w:color w:val="auto"/>
              </w:rPr>
              <w:t>4.0.1汽车加油加气加氢站的站址选择应符合有关规划、环境保护和防火安全的要求，并应选在交通便利、用户使用方便的地点。</w:t>
            </w:r>
          </w:p>
        </w:tc>
        <w:tc>
          <w:tcPr>
            <w:tcW w:w="843" w:type="pct"/>
            <w:vAlign w:val="center"/>
          </w:tcPr>
          <w:p w14:paraId="0060F07D">
            <w:pPr>
              <w:rPr>
                <w:rFonts w:ascii="宋体" w:hAnsi="宋体"/>
                <w:color w:val="auto"/>
              </w:rPr>
            </w:pPr>
            <w:r>
              <w:rPr>
                <w:rFonts w:hint="eastAsia" w:ascii="宋体" w:hAnsi="宋体"/>
                <w:color w:val="auto"/>
              </w:rPr>
              <w:t>有规划</w:t>
            </w:r>
          </w:p>
        </w:tc>
        <w:tc>
          <w:tcPr>
            <w:tcW w:w="287" w:type="pct"/>
            <w:vAlign w:val="center"/>
          </w:tcPr>
          <w:p w14:paraId="31EFF39F">
            <w:pPr>
              <w:jc w:val="center"/>
              <w:rPr>
                <w:rFonts w:ascii="宋体" w:hAnsi="宋体"/>
                <w:color w:val="auto"/>
              </w:rPr>
            </w:pPr>
            <w:r>
              <w:rPr>
                <w:rFonts w:hint="eastAsia" w:ascii="宋体" w:hAnsi="宋体"/>
                <w:color w:val="auto"/>
              </w:rPr>
              <w:t>符合</w:t>
            </w:r>
          </w:p>
        </w:tc>
      </w:tr>
      <w:tr w14:paraId="5CB56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1" w:hRule="atLeast"/>
          <w:jc w:val="center"/>
        </w:trPr>
        <w:tc>
          <w:tcPr>
            <w:tcW w:w="247" w:type="pct"/>
            <w:vAlign w:val="center"/>
          </w:tcPr>
          <w:p w14:paraId="2061443F">
            <w:pPr>
              <w:numPr>
                <w:ilvl w:val="0"/>
                <w:numId w:val="5"/>
              </w:numPr>
              <w:jc w:val="center"/>
              <w:rPr>
                <w:rFonts w:ascii="宋体" w:hAnsi="宋体"/>
                <w:color w:val="auto"/>
              </w:rPr>
            </w:pPr>
          </w:p>
        </w:tc>
        <w:tc>
          <w:tcPr>
            <w:tcW w:w="3622" w:type="pct"/>
            <w:vAlign w:val="center"/>
          </w:tcPr>
          <w:p w14:paraId="4BFDFC80">
            <w:pPr>
              <w:rPr>
                <w:rFonts w:ascii="宋体" w:hAnsi="宋体"/>
                <w:color w:val="auto"/>
              </w:rPr>
            </w:pPr>
            <w:r>
              <w:rPr>
                <w:rFonts w:ascii="宋体" w:hAnsi="宋体"/>
                <w:color w:val="auto"/>
              </w:rPr>
              <w:t>4.0.2在城市中心区不应建一级汽车加油加</w:t>
            </w:r>
            <w:r>
              <w:rPr>
                <w:rFonts w:hint="eastAsia" w:ascii="宋体" w:hAnsi="宋体"/>
                <w:color w:val="auto"/>
              </w:rPr>
              <w:t>气</w:t>
            </w:r>
            <w:r>
              <w:rPr>
                <w:rFonts w:ascii="宋体" w:hAnsi="宋体"/>
                <w:color w:val="auto"/>
              </w:rPr>
              <w:t>加氢站、CNG加气母站。</w:t>
            </w:r>
          </w:p>
        </w:tc>
        <w:tc>
          <w:tcPr>
            <w:tcW w:w="843" w:type="pct"/>
            <w:vAlign w:val="center"/>
          </w:tcPr>
          <w:p w14:paraId="6E1F83C2">
            <w:pPr>
              <w:rPr>
                <w:rFonts w:ascii="宋体" w:hAnsi="宋体"/>
                <w:color w:val="auto"/>
              </w:rPr>
            </w:pPr>
            <w:r>
              <w:rPr>
                <w:rFonts w:hint="eastAsia" w:ascii="宋体" w:hAnsi="宋体"/>
                <w:color w:val="auto"/>
                <w:lang w:val="en-US" w:eastAsia="zh-CN"/>
              </w:rPr>
              <w:t>三</w:t>
            </w:r>
            <w:r>
              <w:rPr>
                <w:rFonts w:hint="eastAsia" w:ascii="宋体" w:hAnsi="宋体"/>
                <w:color w:val="auto"/>
              </w:rPr>
              <w:t>级</w:t>
            </w:r>
            <w:r>
              <w:rPr>
                <w:rFonts w:ascii="宋体" w:hAnsi="宋体"/>
                <w:color w:val="auto"/>
              </w:rPr>
              <w:t>站</w:t>
            </w:r>
          </w:p>
        </w:tc>
        <w:tc>
          <w:tcPr>
            <w:tcW w:w="287" w:type="pct"/>
            <w:vAlign w:val="center"/>
          </w:tcPr>
          <w:p w14:paraId="44DD7FB9">
            <w:pPr>
              <w:jc w:val="center"/>
              <w:rPr>
                <w:rFonts w:ascii="宋体" w:hAnsi="宋体"/>
                <w:color w:val="auto"/>
              </w:rPr>
            </w:pPr>
            <w:r>
              <w:rPr>
                <w:rFonts w:hint="eastAsia" w:ascii="宋体" w:hAnsi="宋体"/>
                <w:color w:val="auto"/>
              </w:rPr>
              <w:t>符合</w:t>
            </w:r>
          </w:p>
        </w:tc>
      </w:tr>
      <w:tr w14:paraId="4DB37D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45" w:hRule="atLeast"/>
          <w:jc w:val="center"/>
        </w:trPr>
        <w:tc>
          <w:tcPr>
            <w:tcW w:w="247" w:type="pct"/>
            <w:vAlign w:val="center"/>
          </w:tcPr>
          <w:p w14:paraId="53E4075B">
            <w:pPr>
              <w:numPr>
                <w:ilvl w:val="0"/>
                <w:numId w:val="5"/>
              </w:numPr>
              <w:jc w:val="center"/>
              <w:rPr>
                <w:rFonts w:ascii="宋体" w:hAnsi="宋体"/>
                <w:color w:val="auto"/>
              </w:rPr>
            </w:pPr>
          </w:p>
        </w:tc>
        <w:tc>
          <w:tcPr>
            <w:tcW w:w="3622" w:type="pct"/>
            <w:vAlign w:val="center"/>
          </w:tcPr>
          <w:p w14:paraId="1F73C32F">
            <w:pPr>
              <w:rPr>
                <w:rFonts w:ascii="宋体" w:hAnsi="宋体"/>
                <w:color w:val="auto"/>
              </w:rPr>
            </w:pPr>
            <w:r>
              <w:rPr>
                <w:rFonts w:ascii="宋体" w:hAnsi="宋体"/>
                <w:color w:val="auto"/>
              </w:rPr>
              <w:t>4.0.3城市建成区内的汽车加油加气加氢站宜靠近城市道路，但不宜选在城市干道的交叉路口附近。</w:t>
            </w:r>
          </w:p>
        </w:tc>
        <w:tc>
          <w:tcPr>
            <w:tcW w:w="843" w:type="pct"/>
            <w:vAlign w:val="center"/>
          </w:tcPr>
          <w:p w14:paraId="51A70E24">
            <w:pPr>
              <w:rPr>
                <w:rFonts w:ascii="宋体" w:hAnsi="宋体"/>
                <w:color w:val="auto"/>
              </w:rPr>
            </w:pPr>
            <w:r>
              <w:rPr>
                <w:rFonts w:hint="eastAsia" w:ascii="宋体" w:hAnsi="宋体"/>
                <w:color w:val="auto"/>
              </w:rPr>
              <w:t>不处于</w:t>
            </w:r>
            <w:r>
              <w:rPr>
                <w:rFonts w:ascii="宋体" w:hAnsi="宋体"/>
                <w:color w:val="auto"/>
              </w:rPr>
              <w:t>城市干道的交叉路口</w:t>
            </w:r>
          </w:p>
        </w:tc>
        <w:tc>
          <w:tcPr>
            <w:tcW w:w="287" w:type="pct"/>
            <w:vAlign w:val="center"/>
          </w:tcPr>
          <w:p w14:paraId="528D89BD">
            <w:pPr>
              <w:jc w:val="center"/>
              <w:rPr>
                <w:rFonts w:ascii="宋体" w:hAnsi="宋体"/>
                <w:color w:val="auto"/>
              </w:rPr>
            </w:pPr>
            <w:r>
              <w:rPr>
                <w:rFonts w:hint="eastAsia" w:ascii="宋体" w:hAnsi="宋体"/>
                <w:color w:val="auto"/>
              </w:rPr>
              <w:t>符合</w:t>
            </w:r>
          </w:p>
        </w:tc>
      </w:tr>
      <w:tr w14:paraId="2E6C1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61" w:hRule="atLeast"/>
          <w:jc w:val="center"/>
        </w:trPr>
        <w:tc>
          <w:tcPr>
            <w:tcW w:w="247" w:type="pct"/>
            <w:vAlign w:val="center"/>
          </w:tcPr>
          <w:p w14:paraId="7747CC59">
            <w:pPr>
              <w:numPr>
                <w:ilvl w:val="0"/>
                <w:numId w:val="5"/>
              </w:numPr>
              <w:jc w:val="center"/>
              <w:rPr>
                <w:rFonts w:ascii="宋体" w:hAnsi="宋体"/>
                <w:color w:val="auto"/>
              </w:rPr>
            </w:pPr>
          </w:p>
        </w:tc>
        <w:tc>
          <w:tcPr>
            <w:tcW w:w="3622" w:type="pct"/>
            <w:vAlign w:val="center"/>
          </w:tcPr>
          <w:p w14:paraId="5420D79A">
            <w:pPr>
              <w:rPr>
                <w:rFonts w:ascii="宋体" w:hAnsi="宋体"/>
                <w:color w:val="auto"/>
              </w:rPr>
            </w:pPr>
            <w:r>
              <w:rPr>
                <w:rStyle w:val="28"/>
                <w:rFonts w:ascii="Arial" w:hAnsi="Arial" w:cs="Arial"/>
                <w:color w:val="auto"/>
                <w:shd w:val="clear" w:color="auto" w:fill="FFFFFF"/>
              </w:rPr>
              <w:t>4.0.4 加油站、各类合建站中的汽油、柴油工艺设备与站外建（构）筑物的安全间距，不应小于表4.0.4的规定。</w:t>
            </w:r>
          </w:p>
        </w:tc>
        <w:tc>
          <w:tcPr>
            <w:tcW w:w="843" w:type="pct"/>
            <w:vAlign w:val="center"/>
          </w:tcPr>
          <w:p w14:paraId="2A4843EE">
            <w:pPr>
              <w:rPr>
                <w:rFonts w:ascii="宋体" w:hAnsi="宋体"/>
                <w:color w:val="auto"/>
              </w:rPr>
            </w:pPr>
            <w:r>
              <w:rPr>
                <w:rFonts w:hint="eastAsia" w:ascii="宋体" w:hAnsi="宋体"/>
                <w:color w:val="auto"/>
              </w:rPr>
              <w:t>详见表5.4-2</w:t>
            </w:r>
            <w:r>
              <w:rPr>
                <w:rFonts w:hint="eastAsia" w:ascii="宋体" w:hAnsi="宋体" w:cs="Times New Roman"/>
                <w:color w:val="auto"/>
              </w:rPr>
              <w:t>加油站汽（柴）油设备与站外建（构）筑物的安全间距表</w:t>
            </w:r>
          </w:p>
        </w:tc>
        <w:tc>
          <w:tcPr>
            <w:tcW w:w="287" w:type="pct"/>
            <w:vAlign w:val="center"/>
          </w:tcPr>
          <w:p w14:paraId="623A82B2">
            <w:pPr>
              <w:jc w:val="center"/>
              <w:rPr>
                <w:rFonts w:ascii="宋体" w:hAnsi="宋体"/>
                <w:color w:val="auto"/>
              </w:rPr>
            </w:pPr>
            <w:r>
              <w:rPr>
                <w:rFonts w:hint="eastAsia" w:ascii="宋体" w:hAnsi="宋体"/>
                <w:color w:val="auto"/>
              </w:rPr>
              <w:t>符合</w:t>
            </w:r>
          </w:p>
        </w:tc>
      </w:tr>
      <w:tr w14:paraId="18616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52" w:hRule="atLeast"/>
          <w:jc w:val="center"/>
        </w:trPr>
        <w:tc>
          <w:tcPr>
            <w:tcW w:w="247" w:type="pct"/>
            <w:vAlign w:val="center"/>
          </w:tcPr>
          <w:p w14:paraId="52AE660B">
            <w:pPr>
              <w:numPr>
                <w:ilvl w:val="0"/>
                <w:numId w:val="5"/>
              </w:numPr>
              <w:jc w:val="center"/>
              <w:rPr>
                <w:rFonts w:ascii="宋体" w:hAnsi="宋体"/>
                <w:color w:val="auto"/>
              </w:rPr>
            </w:pPr>
          </w:p>
        </w:tc>
        <w:tc>
          <w:tcPr>
            <w:tcW w:w="3622" w:type="pct"/>
            <w:vAlign w:val="center"/>
          </w:tcPr>
          <w:p w14:paraId="300EE5CF">
            <w:pPr>
              <w:rPr>
                <w:rFonts w:ascii="宋体" w:hAnsi="宋体"/>
                <w:color w:val="auto"/>
              </w:rPr>
            </w:pPr>
            <w:r>
              <w:rPr>
                <w:rFonts w:ascii="宋体" w:hAnsi="宋体"/>
                <w:color w:val="auto"/>
              </w:rPr>
              <w:t>4.0.12架空电力线路不应跨越汽车加油加气加氢站的作业区。架空通信线路不应跨越加气站、加氢合建站中加氢设施的作业区。</w:t>
            </w:r>
          </w:p>
        </w:tc>
        <w:tc>
          <w:tcPr>
            <w:tcW w:w="843" w:type="pct"/>
            <w:vAlign w:val="center"/>
          </w:tcPr>
          <w:p w14:paraId="510C133E">
            <w:pPr>
              <w:rPr>
                <w:rFonts w:ascii="宋体" w:hAnsi="宋体"/>
                <w:color w:val="auto"/>
              </w:rPr>
            </w:pPr>
            <w:r>
              <w:rPr>
                <w:rFonts w:hint="eastAsia" w:ascii="宋体" w:hAnsi="宋体"/>
                <w:color w:val="auto"/>
              </w:rPr>
              <w:t>无</w:t>
            </w:r>
            <w:r>
              <w:rPr>
                <w:rFonts w:ascii="宋体" w:hAnsi="宋体"/>
                <w:color w:val="auto"/>
              </w:rPr>
              <w:t>架空电力线路应跨越作业区</w:t>
            </w:r>
          </w:p>
        </w:tc>
        <w:tc>
          <w:tcPr>
            <w:tcW w:w="287" w:type="pct"/>
            <w:vAlign w:val="center"/>
          </w:tcPr>
          <w:p w14:paraId="08408747">
            <w:pPr>
              <w:jc w:val="center"/>
              <w:rPr>
                <w:rFonts w:ascii="宋体" w:hAnsi="宋体"/>
                <w:color w:val="auto"/>
              </w:rPr>
            </w:pPr>
            <w:r>
              <w:rPr>
                <w:rFonts w:hint="eastAsia" w:ascii="宋体" w:hAnsi="宋体"/>
                <w:color w:val="auto"/>
              </w:rPr>
              <w:t>符合</w:t>
            </w:r>
          </w:p>
        </w:tc>
      </w:tr>
      <w:tr w14:paraId="4E3FA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47" w:hRule="exact"/>
          <w:jc w:val="center"/>
        </w:trPr>
        <w:tc>
          <w:tcPr>
            <w:tcW w:w="247" w:type="pct"/>
            <w:vAlign w:val="center"/>
          </w:tcPr>
          <w:p w14:paraId="7430DA5E">
            <w:pPr>
              <w:numPr>
                <w:ilvl w:val="0"/>
                <w:numId w:val="5"/>
              </w:numPr>
              <w:jc w:val="center"/>
              <w:rPr>
                <w:rFonts w:ascii="宋体" w:hAnsi="宋体"/>
                <w:color w:val="auto"/>
              </w:rPr>
            </w:pPr>
          </w:p>
        </w:tc>
        <w:tc>
          <w:tcPr>
            <w:tcW w:w="3622" w:type="pct"/>
            <w:vAlign w:val="center"/>
          </w:tcPr>
          <w:p w14:paraId="6A214366">
            <w:pPr>
              <w:rPr>
                <w:rFonts w:ascii="宋体" w:hAnsi="宋体"/>
                <w:color w:val="auto"/>
              </w:rPr>
            </w:pPr>
            <w:r>
              <w:rPr>
                <w:rFonts w:ascii="宋体" w:hAnsi="宋体"/>
                <w:color w:val="auto"/>
              </w:rPr>
              <w:t>4.0.13与汽车加油加气加氢站无关的可燃介质管道不应穿越汽车加油加气加氢站用地范围。</w:t>
            </w:r>
          </w:p>
        </w:tc>
        <w:tc>
          <w:tcPr>
            <w:tcW w:w="843" w:type="pct"/>
            <w:vAlign w:val="center"/>
          </w:tcPr>
          <w:p w14:paraId="61A249D2">
            <w:pPr>
              <w:rPr>
                <w:rFonts w:ascii="宋体" w:hAnsi="宋体"/>
                <w:color w:val="auto"/>
              </w:rPr>
            </w:pPr>
            <w:r>
              <w:rPr>
                <w:rFonts w:hint="eastAsia" w:ascii="宋体" w:hAnsi="宋体"/>
                <w:color w:val="auto"/>
              </w:rPr>
              <w:t>不涉及</w:t>
            </w:r>
          </w:p>
        </w:tc>
        <w:tc>
          <w:tcPr>
            <w:tcW w:w="287" w:type="pct"/>
            <w:vAlign w:val="center"/>
          </w:tcPr>
          <w:p w14:paraId="2276B252">
            <w:pPr>
              <w:jc w:val="center"/>
              <w:rPr>
                <w:rFonts w:ascii="宋体" w:hAnsi="宋体"/>
                <w:color w:val="auto"/>
              </w:rPr>
            </w:pPr>
            <w:r>
              <w:rPr>
                <w:rFonts w:hint="eastAsia" w:ascii="宋体" w:hAnsi="宋体"/>
                <w:color w:val="auto"/>
              </w:rPr>
              <w:t>符合</w:t>
            </w:r>
          </w:p>
        </w:tc>
      </w:tr>
    </w:tbl>
    <w:p w14:paraId="3DDEFCD3">
      <w:pPr>
        <w:rPr>
          <w:rFonts w:hint="eastAsia" w:ascii="宋体" w:hAnsi="宋体"/>
          <w:color w:val="auto"/>
          <w:sz w:val="28"/>
          <w:szCs w:val="28"/>
        </w:rPr>
      </w:pPr>
      <w:r>
        <w:rPr>
          <w:rFonts w:hint="eastAsia" w:ascii="宋体" w:hAnsi="宋体"/>
          <w:color w:val="auto"/>
          <w:sz w:val="28"/>
          <w:szCs w:val="28"/>
        </w:rPr>
        <w:br w:type="page"/>
      </w:r>
    </w:p>
    <w:p w14:paraId="44A7CE38">
      <w:pPr>
        <w:spacing w:line="600" w:lineRule="exact"/>
        <w:jc w:val="center"/>
        <w:rPr>
          <w:rFonts w:ascii="宋体" w:hAnsi="宋体"/>
          <w:color w:val="auto"/>
          <w:sz w:val="28"/>
          <w:szCs w:val="28"/>
        </w:rPr>
      </w:pPr>
      <w:r>
        <w:rPr>
          <w:rFonts w:hint="eastAsia" w:ascii="宋体" w:hAnsi="宋体"/>
          <w:color w:val="auto"/>
          <w:sz w:val="28"/>
          <w:szCs w:val="28"/>
        </w:rPr>
        <w:t>表5.4-2加油站汽（柴）油设备与站外建（构）筑物的安全间距（m）</w:t>
      </w:r>
    </w:p>
    <w:p w14:paraId="69BD570E">
      <w:pPr>
        <w:spacing w:line="600" w:lineRule="exact"/>
        <w:jc w:val="center"/>
        <w:rPr>
          <w:b/>
          <w:bCs/>
          <w:color w:val="auto"/>
          <w:sz w:val="24"/>
        </w:rPr>
      </w:pPr>
      <w:r>
        <w:rPr>
          <w:rFonts w:hint="eastAsia" w:ascii="宋体" w:hAnsi="宋体"/>
          <w:color w:val="auto"/>
          <w:sz w:val="28"/>
          <w:szCs w:val="28"/>
        </w:rPr>
        <w:t>（根据</w:t>
      </w:r>
      <w:r>
        <w:rPr>
          <w:rFonts w:ascii="宋体" w:hAnsi="宋体"/>
          <w:color w:val="auto"/>
          <w:sz w:val="28"/>
          <w:szCs w:val="28"/>
        </w:rPr>
        <w:t>《汽车加油加气加氢站技术标准》</w:t>
      </w:r>
      <w:r>
        <w:rPr>
          <w:rFonts w:hint="eastAsia" w:ascii="宋体" w:hAnsi="宋体"/>
          <w:color w:val="auto"/>
          <w:sz w:val="28"/>
          <w:szCs w:val="28"/>
        </w:rPr>
        <w:t>（</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50156-2021</w:t>
      </w:r>
      <w:r>
        <w:rPr>
          <w:rFonts w:hint="eastAsia" w:ascii="宋体" w:hAnsi="宋体"/>
          <w:color w:val="auto"/>
          <w:sz w:val="28"/>
          <w:szCs w:val="28"/>
        </w:rPr>
        <w:t>）表4.0.4）</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62"/>
        <w:gridCol w:w="980"/>
        <w:gridCol w:w="2985"/>
        <w:gridCol w:w="1574"/>
        <w:gridCol w:w="1007"/>
        <w:gridCol w:w="980"/>
      </w:tblGrid>
      <w:tr w14:paraId="5CEA0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48" w:type="pct"/>
            <w:vAlign w:val="center"/>
          </w:tcPr>
          <w:p w14:paraId="701E6B59">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lang w:val="zh-CN"/>
              </w:rPr>
              <w:t>工艺装置</w:t>
            </w:r>
            <w:r>
              <w:rPr>
                <w:rFonts w:ascii="Times New Roman" w:hAnsi="Times New Roman" w:cs="Times New Roman"/>
                <w:b/>
                <w:bCs/>
                <w:color w:val="auto"/>
                <w:szCs w:val="24"/>
              </w:rPr>
              <w:t>名称</w:t>
            </w:r>
          </w:p>
        </w:tc>
        <w:tc>
          <w:tcPr>
            <w:tcW w:w="527" w:type="pct"/>
            <w:vAlign w:val="center"/>
          </w:tcPr>
          <w:p w14:paraId="13FF7AB4">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相对位置</w:t>
            </w:r>
          </w:p>
        </w:tc>
        <w:tc>
          <w:tcPr>
            <w:tcW w:w="1606" w:type="pct"/>
            <w:vAlign w:val="center"/>
          </w:tcPr>
          <w:p w14:paraId="69E673C6">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建（构）筑物名称</w:t>
            </w:r>
          </w:p>
        </w:tc>
        <w:tc>
          <w:tcPr>
            <w:tcW w:w="847" w:type="pct"/>
            <w:vAlign w:val="center"/>
          </w:tcPr>
          <w:p w14:paraId="2A440115">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防火间距（m）</w:t>
            </w:r>
          </w:p>
        </w:tc>
        <w:tc>
          <w:tcPr>
            <w:tcW w:w="542" w:type="pct"/>
            <w:shd w:val="clear" w:color="auto" w:fill="auto"/>
            <w:vAlign w:val="center"/>
          </w:tcPr>
          <w:p w14:paraId="1BC340F2">
            <w:pPr>
              <w:snapToGrid w:val="0"/>
              <w:jc w:val="center"/>
              <w:rPr>
                <w:rFonts w:ascii="Times New Roman" w:hAnsi="Times New Roman" w:eastAsia="宋体" w:cs="Times New Roman"/>
                <w:b/>
                <w:bCs/>
                <w:color w:val="auto"/>
                <w:kern w:val="2"/>
                <w:sz w:val="21"/>
                <w:szCs w:val="24"/>
                <w:lang w:val="en-US" w:eastAsia="zh-CN" w:bidi="ar-SA"/>
              </w:rPr>
            </w:pPr>
            <w:r>
              <w:rPr>
                <w:rFonts w:hint="eastAsia" w:ascii="Times New Roman" w:hAnsi="宋体"/>
                <w:b/>
                <w:color w:val="auto"/>
              </w:rPr>
              <w:t>标准要求</w:t>
            </w:r>
          </w:p>
        </w:tc>
        <w:tc>
          <w:tcPr>
            <w:tcW w:w="527" w:type="pct"/>
            <w:shd w:val="clear" w:color="auto" w:fill="auto"/>
            <w:vAlign w:val="center"/>
          </w:tcPr>
          <w:p w14:paraId="1F9E3896">
            <w:pPr>
              <w:snapToGrid w:val="0"/>
              <w:jc w:val="center"/>
              <w:rPr>
                <w:rFonts w:ascii="Times New Roman" w:hAnsi="Times New Roman" w:eastAsia="宋体" w:cs="Times New Roman"/>
                <w:b/>
                <w:bCs/>
                <w:color w:val="auto"/>
                <w:kern w:val="2"/>
                <w:sz w:val="21"/>
                <w:szCs w:val="24"/>
                <w:lang w:val="en-US" w:eastAsia="zh-CN" w:bidi="ar-SA"/>
              </w:rPr>
            </w:pPr>
            <w:r>
              <w:rPr>
                <w:rFonts w:hint="eastAsia" w:ascii="Times New Roman" w:hAnsi="宋体"/>
                <w:b/>
                <w:color w:val="auto"/>
              </w:rPr>
              <w:t>符合情况</w:t>
            </w:r>
          </w:p>
        </w:tc>
      </w:tr>
      <w:tr w14:paraId="48F9A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48" w:type="pct"/>
            <w:vMerge w:val="restart"/>
            <w:vAlign w:val="center"/>
          </w:tcPr>
          <w:p w14:paraId="5AA011FE">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汽油/柴油埋地油罐</w:t>
            </w:r>
          </w:p>
        </w:tc>
        <w:tc>
          <w:tcPr>
            <w:tcW w:w="527" w:type="pct"/>
            <w:shd w:val="clear" w:color="auto" w:fill="auto"/>
            <w:vAlign w:val="center"/>
          </w:tcPr>
          <w:p w14:paraId="27371E86">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北侧</w:t>
            </w:r>
          </w:p>
        </w:tc>
        <w:tc>
          <w:tcPr>
            <w:tcW w:w="1606" w:type="pct"/>
            <w:shd w:val="clear" w:color="auto" w:fill="auto"/>
            <w:vAlign w:val="center"/>
          </w:tcPr>
          <w:p w14:paraId="36494B5C">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G319厦成线</w:t>
            </w:r>
          </w:p>
        </w:tc>
        <w:tc>
          <w:tcPr>
            <w:tcW w:w="847" w:type="pct"/>
            <w:vAlign w:val="center"/>
          </w:tcPr>
          <w:p w14:paraId="7EA5D647">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12.2/10.5</w:t>
            </w:r>
          </w:p>
        </w:tc>
        <w:tc>
          <w:tcPr>
            <w:tcW w:w="542" w:type="pct"/>
            <w:shd w:val="clear" w:color="auto" w:fill="auto"/>
            <w:vAlign w:val="center"/>
          </w:tcPr>
          <w:p w14:paraId="4AE05673">
            <w:pPr>
              <w:snapToGrid w:val="0"/>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rPr>
              <w:t>5.5/3</w:t>
            </w:r>
          </w:p>
        </w:tc>
        <w:tc>
          <w:tcPr>
            <w:tcW w:w="527" w:type="pct"/>
            <w:shd w:val="clear" w:color="auto" w:fill="auto"/>
            <w:vAlign w:val="center"/>
          </w:tcPr>
          <w:p w14:paraId="7DE7ED2C">
            <w:pPr>
              <w:snapToGrid w:val="0"/>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宋体"/>
                <w:color w:val="auto"/>
              </w:rPr>
              <w:t>符合</w:t>
            </w:r>
          </w:p>
        </w:tc>
      </w:tr>
      <w:tr w14:paraId="10FBE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48" w:type="pct"/>
            <w:vMerge w:val="continue"/>
            <w:vAlign w:val="center"/>
          </w:tcPr>
          <w:p w14:paraId="6CF47257">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1266C153">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北侧</w:t>
            </w:r>
          </w:p>
        </w:tc>
        <w:tc>
          <w:tcPr>
            <w:tcW w:w="1606" w:type="pct"/>
            <w:shd w:val="clear" w:color="auto" w:fill="auto"/>
            <w:vAlign w:val="center"/>
          </w:tcPr>
          <w:p w14:paraId="0A5E198E">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兴国县市场监督管理局（江背分局）（三类保护物）</w:t>
            </w:r>
          </w:p>
        </w:tc>
        <w:tc>
          <w:tcPr>
            <w:tcW w:w="847" w:type="pct"/>
            <w:vAlign w:val="center"/>
          </w:tcPr>
          <w:p w14:paraId="4B66ABC0">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36.2/35.7</w:t>
            </w:r>
          </w:p>
        </w:tc>
        <w:tc>
          <w:tcPr>
            <w:tcW w:w="542" w:type="pct"/>
            <w:vAlign w:val="center"/>
          </w:tcPr>
          <w:p w14:paraId="437DB1A1">
            <w:pPr>
              <w:spacing w:line="240" w:lineRule="exact"/>
              <w:jc w:val="center"/>
              <w:rPr>
                <w:rFonts w:hint="default"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7/6</w:t>
            </w:r>
          </w:p>
        </w:tc>
        <w:tc>
          <w:tcPr>
            <w:tcW w:w="527" w:type="pct"/>
            <w:vAlign w:val="center"/>
          </w:tcPr>
          <w:p w14:paraId="56AE0246">
            <w:pPr>
              <w:spacing w:line="240" w:lineRule="exact"/>
              <w:jc w:val="center"/>
              <w:rPr>
                <w:rFonts w:hint="eastAsia" w:ascii="Times New Roman" w:hAnsi="Times New Roman" w:cs="Times New Roman"/>
                <w:bCs/>
                <w:color w:val="auto"/>
                <w:szCs w:val="24"/>
                <w:lang w:val="en-US" w:eastAsia="zh-CN"/>
              </w:rPr>
            </w:pPr>
            <w:r>
              <w:rPr>
                <w:rFonts w:hint="eastAsia" w:ascii="Times New Roman" w:hAnsi="宋体"/>
                <w:color w:val="auto"/>
              </w:rPr>
              <w:t>符合</w:t>
            </w:r>
          </w:p>
        </w:tc>
      </w:tr>
      <w:tr w14:paraId="2C95E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48" w:type="pct"/>
            <w:vMerge w:val="continue"/>
            <w:vAlign w:val="center"/>
          </w:tcPr>
          <w:p w14:paraId="5FD2D4A7">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20504490">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西侧</w:t>
            </w:r>
          </w:p>
        </w:tc>
        <w:tc>
          <w:tcPr>
            <w:tcW w:w="1606" w:type="pct"/>
            <w:shd w:val="clear" w:color="auto" w:fill="auto"/>
            <w:vAlign w:val="center"/>
          </w:tcPr>
          <w:p w14:paraId="558F9BD6">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民房（三类保护物）</w:t>
            </w:r>
          </w:p>
        </w:tc>
        <w:tc>
          <w:tcPr>
            <w:tcW w:w="847" w:type="pct"/>
            <w:vAlign w:val="center"/>
          </w:tcPr>
          <w:p w14:paraId="3875C111">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27.5/32.8</w:t>
            </w:r>
          </w:p>
        </w:tc>
        <w:tc>
          <w:tcPr>
            <w:tcW w:w="542" w:type="pct"/>
            <w:vAlign w:val="center"/>
          </w:tcPr>
          <w:p w14:paraId="7B1F8E56">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7/6</w:t>
            </w:r>
          </w:p>
        </w:tc>
        <w:tc>
          <w:tcPr>
            <w:tcW w:w="527" w:type="pct"/>
            <w:vAlign w:val="center"/>
          </w:tcPr>
          <w:p w14:paraId="39E2F3BD">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2136F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48" w:type="pct"/>
            <w:vMerge w:val="continue"/>
            <w:vAlign w:val="center"/>
          </w:tcPr>
          <w:p w14:paraId="6D13F108">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2987731B">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东侧</w:t>
            </w:r>
          </w:p>
        </w:tc>
        <w:tc>
          <w:tcPr>
            <w:tcW w:w="1606" w:type="pct"/>
            <w:shd w:val="clear" w:color="auto" w:fill="auto"/>
            <w:vAlign w:val="center"/>
          </w:tcPr>
          <w:p w14:paraId="70F5DE00">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立德路</w:t>
            </w:r>
          </w:p>
        </w:tc>
        <w:tc>
          <w:tcPr>
            <w:tcW w:w="847" w:type="pct"/>
            <w:vAlign w:val="center"/>
          </w:tcPr>
          <w:p w14:paraId="5EF2BC5C">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13.0/10.4</w:t>
            </w:r>
          </w:p>
        </w:tc>
        <w:tc>
          <w:tcPr>
            <w:tcW w:w="542" w:type="pct"/>
            <w:vAlign w:val="center"/>
          </w:tcPr>
          <w:p w14:paraId="58C0DB2E">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5.5/3</w:t>
            </w:r>
          </w:p>
        </w:tc>
        <w:tc>
          <w:tcPr>
            <w:tcW w:w="527" w:type="pct"/>
            <w:vAlign w:val="center"/>
          </w:tcPr>
          <w:p w14:paraId="3D88EF66">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4EE30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48" w:type="pct"/>
            <w:vMerge w:val="continue"/>
            <w:vAlign w:val="center"/>
          </w:tcPr>
          <w:p w14:paraId="5716C393">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464C381A">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东侧</w:t>
            </w:r>
          </w:p>
        </w:tc>
        <w:tc>
          <w:tcPr>
            <w:tcW w:w="1606" w:type="pct"/>
            <w:shd w:val="clear" w:color="auto" w:fill="auto"/>
            <w:vAlign w:val="center"/>
          </w:tcPr>
          <w:p w14:paraId="01F82AE8">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架空电力线（有绝缘层，H=8m）</w:t>
            </w:r>
          </w:p>
        </w:tc>
        <w:tc>
          <w:tcPr>
            <w:tcW w:w="847" w:type="pct"/>
            <w:vAlign w:val="center"/>
          </w:tcPr>
          <w:p w14:paraId="63BB2E8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33.1/30.1</w:t>
            </w:r>
          </w:p>
        </w:tc>
        <w:tc>
          <w:tcPr>
            <w:tcW w:w="542" w:type="pct"/>
            <w:vAlign w:val="center"/>
          </w:tcPr>
          <w:p w14:paraId="47101975">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527" w:type="pct"/>
            <w:vAlign w:val="center"/>
          </w:tcPr>
          <w:p w14:paraId="58C615FB">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1247B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48" w:type="pct"/>
            <w:vMerge w:val="restart"/>
            <w:vAlign w:val="center"/>
          </w:tcPr>
          <w:p w14:paraId="6247B2E3">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汽油/柴油通气管</w:t>
            </w:r>
          </w:p>
        </w:tc>
        <w:tc>
          <w:tcPr>
            <w:tcW w:w="527" w:type="pct"/>
            <w:shd w:val="clear" w:color="auto" w:fill="auto"/>
            <w:vAlign w:val="center"/>
          </w:tcPr>
          <w:p w14:paraId="4B6C5D6C">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北侧</w:t>
            </w:r>
          </w:p>
        </w:tc>
        <w:tc>
          <w:tcPr>
            <w:tcW w:w="1606" w:type="pct"/>
            <w:shd w:val="clear" w:color="auto" w:fill="auto"/>
            <w:vAlign w:val="center"/>
          </w:tcPr>
          <w:p w14:paraId="3B07DDD0">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G319厦成线</w:t>
            </w:r>
          </w:p>
        </w:tc>
        <w:tc>
          <w:tcPr>
            <w:tcW w:w="847" w:type="pct"/>
            <w:vAlign w:val="center"/>
          </w:tcPr>
          <w:p w14:paraId="3B0BD34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12.0/12.0</w:t>
            </w:r>
          </w:p>
        </w:tc>
        <w:tc>
          <w:tcPr>
            <w:tcW w:w="542" w:type="pct"/>
            <w:shd w:val="clear" w:color="auto" w:fill="auto"/>
            <w:vAlign w:val="center"/>
          </w:tcPr>
          <w:p w14:paraId="6A417658">
            <w:pPr>
              <w:snapToGrid w:val="0"/>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rPr>
              <w:t>5/3</w:t>
            </w:r>
          </w:p>
        </w:tc>
        <w:tc>
          <w:tcPr>
            <w:tcW w:w="527" w:type="pct"/>
            <w:vAlign w:val="center"/>
          </w:tcPr>
          <w:p w14:paraId="52A02854">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37F34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48" w:type="pct"/>
            <w:vMerge w:val="continue"/>
            <w:vAlign w:val="center"/>
          </w:tcPr>
          <w:p w14:paraId="02E2CF0D">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757F5A23">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北侧</w:t>
            </w:r>
          </w:p>
        </w:tc>
        <w:tc>
          <w:tcPr>
            <w:tcW w:w="1606" w:type="pct"/>
            <w:shd w:val="clear" w:color="auto" w:fill="auto"/>
            <w:vAlign w:val="center"/>
          </w:tcPr>
          <w:p w14:paraId="4CF0D2E9">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兴国县市场监督管理局（江背分局）（三类保护物）</w:t>
            </w:r>
          </w:p>
        </w:tc>
        <w:tc>
          <w:tcPr>
            <w:tcW w:w="847" w:type="pct"/>
            <w:vAlign w:val="center"/>
          </w:tcPr>
          <w:p w14:paraId="11131344">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33.3/33.3</w:t>
            </w:r>
          </w:p>
        </w:tc>
        <w:tc>
          <w:tcPr>
            <w:tcW w:w="542" w:type="pct"/>
            <w:shd w:val="clear" w:color="auto" w:fill="auto"/>
            <w:vAlign w:val="center"/>
          </w:tcPr>
          <w:p w14:paraId="03FE82EB">
            <w:pPr>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lang w:val="en-US" w:eastAsia="zh-CN"/>
              </w:rPr>
              <w:t>7/6</w:t>
            </w:r>
          </w:p>
        </w:tc>
        <w:tc>
          <w:tcPr>
            <w:tcW w:w="527" w:type="pct"/>
            <w:vAlign w:val="center"/>
          </w:tcPr>
          <w:p w14:paraId="7A6E8CA4">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2EF08E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48" w:type="pct"/>
            <w:vMerge w:val="continue"/>
            <w:vAlign w:val="center"/>
          </w:tcPr>
          <w:p w14:paraId="2D01E782">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108F3BCC">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西侧</w:t>
            </w:r>
          </w:p>
        </w:tc>
        <w:tc>
          <w:tcPr>
            <w:tcW w:w="1606" w:type="pct"/>
            <w:shd w:val="clear" w:color="auto" w:fill="auto"/>
            <w:vAlign w:val="center"/>
          </w:tcPr>
          <w:p w14:paraId="49D8838C">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民房（三类保护物）</w:t>
            </w:r>
          </w:p>
        </w:tc>
        <w:tc>
          <w:tcPr>
            <w:tcW w:w="847" w:type="pct"/>
            <w:vAlign w:val="center"/>
          </w:tcPr>
          <w:p w14:paraId="229ED8EA">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21.2/21.2</w:t>
            </w:r>
          </w:p>
        </w:tc>
        <w:tc>
          <w:tcPr>
            <w:tcW w:w="542" w:type="pct"/>
            <w:shd w:val="clear" w:color="auto" w:fill="auto"/>
            <w:vAlign w:val="center"/>
          </w:tcPr>
          <w:p w14:paraId="4682BBEF">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7/6</w:t>
            </w:r>
          </w:p>
        </w:tc>
        <w:tc>
          <w:tcPr>
            <w:tcW w:w="527" w:type="pct"/>
            <w:vAlign w:val="center"/>
          </w:tcPr>
          <w:p w14:paraId="4AE62100">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2B80C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48" w:type="pct"/>
            <w:vMerge w:val="continue"/>
            <w:vAlign w:val="center"/>
          </w:tcPr>
          <w:p w14:paraId="1281BC41">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1F94CCFB">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东侧</w:t>
            </w:r>
          </w:p>
        </w:tc>
        <w:tc>
          <w:tcPr>
            <w:tcW w:w="1606" w:type="pct"/>
            <w:shd w:val="clear" w:color="auto" w:fill="auto"/>
            <w:vAlign w:val="center"/>
          </w:tcPr>
          <w:p w14:paraId="4FEBAFF0">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立德路</w:t>
            </w:r>
          </w:p>
        </w:tc>
        <w:tc>
          <w:tcPr>
            <w:tcW w:w="847" w:type="pct"/>
            <w:vAlign w:val="center"/>
          </w:tcPr>
          <w:p w14:paraId="54843DAF">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24.8/24.8</w:t>
            </w:r>
          </w:p>
        </w:tc>
        <w:tc>
          <w:tcPr>
            <w:tcW w:w="542" w:type="pct"/>
            <w:shd w:val="clear" w:color="auto" w:fill="auto"/>
            <w:vAlign w:val="center"/>
          </w:tcPr>
          <w:p w14:paraId="7D47D586">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5/3</w:t>
            </w:r>
          </w:p>
        </w:tc>
        <w:tc>
          <w:tcPr>
            <w:tcW w:w="527" w:type="pct"/>
            <w:vAlign w:val="center"/>
          </w:tcPr>
          <w:p w14:paraId="147C9002">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2A6BD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48" w:type="pct"/>
            <w:vMerge w:val="continue"/>
            <w:vAlign w:val="center"/>
          </w:tcPr>
          <w:p w14:paraId="70C50118">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496FF7BD">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东侧</w:t>
            </w:r>
          </w:p>
        </w:tc>
        <w:tc>
          <w:tcPr>
            <w:tcW w:w="1606" w:type="pct"/>
            <w:shd w:val="clear" w:color="auto" w:fill="auto"/>
            <w:vAlign w:val="center"/>
          </w:tcPr>
          <w:p w14:paraId="7318DEEE">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架空电力线（有绝缘层，H=8m）</w:t>
            </w:r>
          </w:p>
        </w:tc>
        <w:tc>
          <w:tcPr>
            <w:tcW w:w="847" w:type="pct"/>
            <w:vAlign w:val="center"/>
          </w:tcPr>
          <w:p w14:paraId="2CD62935">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44.0/44.0</w:t>
            </w:r>
          </w:p>
        </w:tc>
        <w:tc>
          <w:tcPr>
            <w:tcW w:w="542" w:type="pct"/>
            <w:shd w:val="clear" w:color="auto" w:fill="auto"/>
            <w:vAlign w:val="center"/>
          </w:tcPr>
          <w:p w14:paraId="2F4C4ED3">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5/5</w:t>
            </w:r>
          </w:p>
        </w:tc>
        <w:tc>
          <w:tcPr>
            <w:tcW w:w="527" w:type="pct"/>
            <w:vAlign w:val="center"/>
          </w:tcPr>
          <w:p w14:paraId="7AFDAAC3">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2C232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48" w:type="pct"/>
            <w:vMerge w:val="restart"/>
            <w:vAlign w:val="center"/>
          </w:tcPr>
          <w:p w14:paraId="33FA3082">
            <w:pPr>
              <w:spacing w:line="240" w:lineRule="exact"/>
              <w:jc w:val="center"/>
              <w:rPr>
                <w:rFonts w:ascii="Times New Roman" w:hAnsi="Times New Roman" w:cs="Times New Roman"/>
                <w:bCs/>
                <w:color w:val="auto"/>
                <w:szCs w:val="24"/>
              </w:rPr>
            </w:pPr>
            <w:r>
              <w:rPr>
                <w:rFonts w:ascii="Times New Roman" w:hAnsi="Times New Roman" w:cs="Times New Roman"/>
                <w:color w:val="auto"/>
                <w:szCs w:val="24"/>
                <w:lang w:val="zh-CN"/>
              </w:rPr>
              <w:t>汽油</w:t>
            </w:r>
            <w:r>
              <w:rPr>
                <w:rFonts w:ascii="Times New Roman" w:hAnsi="Times New Roman" w:cs="Times New Roman"/>
                <w:color w:val="auto"/>
                <w:szCs w:val="24"/>
              </w:rPr>
              <w:t>/柴油</w:t>
            </w:r>
            <w:r>
              <w:rPr>
                <w:rFonts w:ascii="Times New Roman" w:hAnsi="Times New Roman" w:cs="Times New Roman"/>
                <w:color w:val="auto"/>
                <w:szCs w:val="24"/>
                <w:lang w:val="zh-CN"/>
              </w:rPr>
              <w:t>加油机</w:t>
            </w:r>
          </w:p>
        </w:tc>
        <w:tc>
          <w:tcPr>
            <w:tcW w:w="527" w:type="pct"/>
            <w:shd w:val="clear" w:color="auto" w:fill="auto"/>
            <w:vAlign w:val="center"/>
          </w:tcPr>
          <w:p w14:paraId="7AFA72D4">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北侧</w:t>
            </w:r>
          </w:p>
        </w:tc>
        <w:tc>
          <w:tcPr>
            <w:tcW w:w="1606" w:type="pct"/>
            <w:shd w:val="clear" w:color="auto" w:fill="auto"/>
            <w:vAlign w:val="center"/>
          </w:tcPr>
          <w:p w14:paraId="4C83CB4B">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G319厦成线</w:t>
            </w:r>
          </w:p>
        </w:tc>
        <w:tc>
          <w:tcPr>
            <w:tcW w:w="847" w:type="pct"/>
            <w:vAlign w:val="center"/>
          </w:tcPr>
          <w:p w14:paraId="5C282861">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12.0/12.0</w:t>
            </w:r>
          </w:p>
        </w:tc>
        <w:tc>
          <w:tcPr>
            <w:tcW w:w="542" w:type="pct"/>
            <w:shd w:val="clear" w:color="auto" w:fill="auto"/>
            <w:vAlign w:val="center"/>
          </w:tcPr>
          <w:p w14:paraId="10A66141">
            <w:pPr>
              <w:snapToGrid w:val="0"/>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rPr>
              <w:t>5/3</w:t>
            </w:r>
          </w:p>
        </w:tc>
        <w:tc>
          <w:tcPr>
            <w:tcW w:w="527" w:type="pct"/>
            <w:vAlign w:val="center"/>
          </w:tcPr>
          <w:p w14:paraId="7EEE1CCF">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5F3D3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48" w:type="pct"/>
            <w:vMerge w:val="continue"/>
            <w:vAlign w:val="center"/>
          </w:tcPr>
          <w:p w14:paraId="6C67DE95">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0DFC00CF">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北侧</w:t>
            </w:r>
          </w:p>
        </w:tc>
        <w:tc>
          <w:tcPr>
            <w:tcW w:w="1606" w:type="pct"/>
            <w:shd w:val="clear" w:color="auto" w:fill="auto"/>
            <w:vAlign w:val="center"/>
          </w:tcPr>
          <w:p w14:paraId="06B993B2">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兴国县市场监督管理局（江背分局）（三类保护物）</w:t>
            </w:r>
          </w:p>
        </w:tc>
        <w:tc>
          <w:tcPr>
            <w:tcW w:w="847" w:type="pct"/>
            <w:vAlign w:val="center"/>
          </w:tcPr>
          <w:p w14:paraId="6C31A15E">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33.0/33.0</w:t>
            </w:r>
          </w:p>
        </w:tc>
        <w:tc>
          <w:tcPr>
            <w:tcW w:w="542" w:type="pct"/>
            <w:shd w:val="clear" w:color="auto" w:fill="auto"/>
            <w:vAlign w:val="center"/>
          </w:tcPr>
          <w:p w14:paraId="0BEA9F35">
            <w:pPr>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lang w:val="en-US" w:eastAsia="zh-CN"/>
              </w:rPr>
              <w:t>7/6</w:t>
            </w:r>
          </w:p>
        </w:tc>
        <w:tc>
          <w:tcPr>
            <w:tcW w:w="527" w:type="pct"/>
            <w:vAlign w:val="center"/>
          </w:tcPr>
          <w:p w14:paraId="0EC3195B">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6ED2A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48" w:type="pct"/>
            <w:vMerge w:val="continue"/>
            <w:vAlign w:val="center"/>
          </w:tcPr>
          <w:p w14:paraId="4EE50253">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5715CCD8">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西侧</w:t>
            </w:r>
          </w:p>
        </w:tc>
        <w:tc>
          <w:tcPr>
            <w:tcW w:w="1606" w:type="pct"/>
            <w:shd w:val="clear" w:color="auto" w:fill="auto"/>
            <w:vAlign w:val="center"/>
          </w:tcPr>
          <w:p w14:paraId="52C4EB76">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民房（三类保护物）</w:t>
            </w:r>
          </w:p>
        </w:tc>
        <w:tc>
          <w:tcPr>
            <w:tcW w:w="847" w:type="pct"/>
            <w:vAlign w:val="center"/>
          </w:tcPr>
          <w:p w14:paraId="536B1FBB">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14.1/19.3</w:t>
            </w:r>
          </w:p>
        </w:tc>
        <w:tc>
          <w:tcPr>
            <w:tcW w:w="542" w:type="pct"/>
            <w:shd w:val="clear" w:color="auto" w:fill="auto"/>
            <w:vAlign w:val="center"/>
          </w:tcPr>
          <w:p w14:paraId="01141A30">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7/6</w:t>
            </w:r>
          </w:p>
        </w:tc>
        <w:tc>
          <w:tcPr>
            <w:tcW w:w="527" w:type="pct"/>
            <w:vAlign w:val="center"/>
          </w:tcPr>
          <w:p w14:paraId="7BEF48D3">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7D7A5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48" w:type="pct"/>
            <w:vMerge w:val="continue"/>
            <w:vAlign w:val="center"/>
          </w:tcPr>
          <w:p w14:paraId="3DF63010">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185979BA">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东侧</w:t>
            </w:r>
          </w:p>
        </w:tc>
        <w:tc>
          <w:tcPr>
            <w:tcW w:w="1606" w:type="pct"/>
            <w:shd w:val="clear" w:color="auto" w:fill="auto"/>
            <w:vAlign w:val="center"/>
          </w:tcPr>
          <w:p w14:paraId="1C12BB0E">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立德路</w:t>
            </w:r>
          </w:p>
        </w:tc>
        <w:tc>
          <w:tcPr>
            <w:tcW w:w="847" w:type="pct"/>
            <w:vAlign w:val="center"/>
          </w:tcPr>
          <w:p w14:paraId="13829F9A">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27.1/27.1</w:t>
            </w:r>
          </w:p>
        </w:tc>
        <w:tc>
          <w:tcPr>
            <w:tcW w:w="542" w:type="pct"/>
            <w:shd w:val="clear" w:color="auto" w:fill="auto"/>
            <w:vAlign w:val="center"/>
          </w:tcPr>
          <w:p w14:paraId="75740958">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5/3</w:t>
            </w:r>
          </w:p>
        </w:tc>
        <w:tc>
          <w:tcPr>
            <w:tcW w:w="527" w:type="pct"/>
            <w:vAlign w:val="center"/>
          </w:tcPr>
          <w:p w14:paraId="0539BD87">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620FF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48" w:type="pct"/>
            <w:vMerge w:val="continue"/>
            <w:vAlign w:val="center"/>
          </w:tcPr>
          <w:p w14:paraId="677F1FD4">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5A8D5BD1">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东侧</w:t>
            </w:r>
          </w:p>
        </w:tc>
        <w:tc>
          <w:tcPr>
            <w:tcW w:w="1606" w:type="pct"/>
            <w:shd w:val="clear" w:color="auto" w:fill="auto"/>
            <w:vAlign w:val="center"/>
          </w:tcPr>
          <w:p w14:paraId="2AE0BC9D">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架空电力线（有绝缘层，H=8m）</w:t>
            </w:r>
          </w:p>
        </w:tc>
        <w:tc>
          <w:tcPr>
            <w:tcW w:w="847" w:type="pct"/>
            <w:vAlign w:val="center"/>
          </w:tcPr>
          <w:p w14:paraId="6F44C121">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51.6/46.4</w:t>
            </w:r>
          </w:p>
        </w:tc>
        <w:tc>
          <w:tcPr>
            <w:tcW w:w="542" w:type="pct"/>
            <w:shd w:val="clear" w:color="auto" w:fill="auto"/>
            <w:vAlign w:val="center"/>
          </w:tcPr>
          <w:p w14:paraId="2B7457CD">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5/5</w:t>
            </w:r>
          </w:p>
        </w:tc>
        <w:tc>
          <w:tcPr>
            <w:tcW w:w="527" w:type="pct"/>
            <w:vAlign w:val="center"/>
          </w:tcPr>
          <w:p w14:paraId="5CA76914">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bl>
    <w:p w14:paraId="215B7171">
      <w:pPr>
        <w:spacing w:line="600" w:lineRule="exact"/>
        <w:ind w:firstLine="570"/>
        <w:rPr>
          <w:rFonts w:ascii="宋体" w:hAnsi="宋体"/>
          <w:color w:val="auto"/>
        </w:rPr>
      </w:pPr>
      <w:r>
        <w:rPr>
          <w:color w:val="auto"/>
          <w:sz w:val="28"/>
          <w:szCs w:val="28"/>
        </w:rPr>
        <w:t>从表</w:t>
      </w:r>
      <w:r>
        <w:rPr>
          <w:rFonts w:hint="eastAsia"/>
          <w:color w:val="auto"/>
          <w:sz w:val="28"/>
          <w:szCs w:val="28"/>
        </w:rPr>
        <w:t>5.4-2</w:t>
      </w:r>
      <w:r>
        <w:rPr>
          <w:color w:val="auto"/>
          <w:sz w:val="28"/>
          <w:szCs w:val="28"/>
        </w:rPr>
        <w:t>可以看出，</w:t>
      </w:r>
      <w:r>
        <w:rPr>
          <w:rFonts w:hint="eastAsia"/>
          <w:color w:val="auto"/>
          <w:sz w:val="28"/>
          <w:szCs w:val="28"/>
        </w:rPr>
        <w:t>该加油站的</w:t>
      </w:r>
      <w:r>
        <w:rPr>
          <w:color w:val="auto"/>
          <w:sz w:val="28"/>
          <w:szCs w:val="28"/>
        </w:rPr>
        <w:t>油罐、加油机、通气管管口与站外建、构筑物的防火距离符合《汽车加油</w:t>
      </w:r>
      <w:r>
        <w:rPr>
          <w:rFonts w:hint="eastAsia"/>
          <w:color w:val="auto"/>
          <w:sz w:val="28"/>
          <w:szCs w:val="28"/>
          <w:lang w:eastAsia="zh-CN"/>
        </w:rPr>
        <w:t>加气</w:t>
      </w:r>
      <w:r>
        <w:rPr>
          <w:color w:val="auto"/>
          <w:sz w:val="28"/>
          <w:szCs w:val="28"/>
        </w:rPr>
        <w:t>加氢站技术标准》（GB50156-2021）第4.0.4条的规定。</w:t>
      </w:r>
    </w:p>
    <w:p w14:paraId="5FF2D53A">
      <w:pPr>
        <w:spacing w:line="600" w:lineRule="exact"/>
        <w:ind w:firstLine="57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该站平面布置符合相关标准要求，卸油口离马路距离符合爆炸危险区域范围</w:t>
      </w:r>
      <w:r>
        <w:rPr>
          <w:rFonts w:ascii="宋体" w:hAnsi="宋体"/>
          <w:color w:val="auto"/>
          <w:sz w:val="28"/>
          <w:szCs w:val="28"/>
        </w:rPr>
        <w:t>。</w:t>
      </w:r>
    </w:p>
    <w:p w14:paraId="4BF9AB14">
      <w:pPr>
        <w:pStyle w:val="3"/>
        <w:jc w:val="center"/>
        <w:rPr>
          <w:rFonts w:ascii="宋体" w:hAnsi="宋体"/>
          <w:color w:val="auto"/>
          <w:sz w:val="30"/>
          <w:szCs w:val="30"/>
        </w:rPr>
      </w:pPr>
      <w:bookmarkStart w:id="167" w:name="_Toc15630"/>
      <w:bookmarkStart w:id="168" w:name="_Toc6353"/>
      <w:r>
        <w:rPr>
          <w:rFonts w:hint="eastAsia" w:ascii="宋体" w:hAnsi="宋体"/>
          <w:color w:val="auto"/>
          <w:sz w:val="30"/>
          <w:szCs w:val="30"/>
        </w:rPr>
        <w:t>5.5 平面布置符合性评价</w:t>
      </w:r>
      <w:bookmarkEnd w:id="164"/>
      <w:bookmarkEnd w:id="165"/>
      <w:bookmarkEnd w:id="167"/>
      <w:bookmarkEnd w:id="168"/>
    </w:p>
    <w:p w14:paraId="71EDFE5F">
      <w:pPr>
        <w:spacing w:line="600" w:lineRule="exact"/>
        <w:ind w:firstLine="560" w:firstLineChars="200"/>
        <w:rPr>
          <w:rFonts w:ascii="宋体" w:hAnsi="宋体"/>
          <w:color w:val="auto"/>
          <w:sz w:val="28"/>
          <w:szCs w:val="28"/>
        </w:rPr>
      </w:pPr>
      <w:r>
        <w:rPr>
          <w:rFonts w:ascii="宋体" w:hAnsi="宋体"/>
          <w:color w:val="auto"/>
          <w:sz w:val="28"/>
          <w:szCs w:val="28"/>
        </w:rPr>
        <w:t>检查表依据《汽车加油加气加氢站技术标准》</w:t>
      </w:r>
      <w:r>
        <w:rPr>
          <w:rFonts w:hint="eastAsia" w:ascii="宋体" w:hAnsi="宋体"/>
          <w:color w:val="auto"/>
          <w:sz w:val="28"/>
          <w:szCs w:val="28"/>
        </w:rPr>
        <w:t>（</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50156-2021</w:t>
      </w:r>
      <w:r>
        <w:rPr>
          <w:rFonts w:hint="eastAsia" w:ascii="宋体" w:hAnsi="宋体"/>
          <w:color w:val="auto"/>
          <w:sz w:val="28"/>
          <w:szCs w:val="28"/>
        </w:rPr>
        <w:t>）和本报告2.2节介绍</w:t>
      </w:r>
      <w:r>
        <w:rPr>
          <w:rFonts w:ascii="宋体" w:hAnsi="宋体"/>
          <w:color w:val="auto"/>
          <w:sz w:val="28"/>
          <w:szCs w:val="28"/>
        </w:rPr>
        <w:t>，该加油站</w:t>
      </w:r>
      <w:r>
        <w:rPr>
          <w:rFonts w:hint="eastAsia" w:ascii="宋体" w:hAnsi="宋体"/>
          <w:color w:val="auto"/>
          <w:sz w:val="28"/>
          <w:szCs w:val="28"/>
        </w:rPr>
        <w:t>平面布置</w:t>
      </w:r>
      <w:r>
        <w:rPr>
          <w:rFonts w:ascii="宋体" w:hAnsi="宋体"/>
          <w:color w:val="auto"/>
          <w:sz w:val="28"/>
          <w:szCs w:val="28"/>
        </w:rPr>
        <w:t>检查如下</w:t>
      </w:r>
      <w:r>
        <w:rPr>
          <w:rFonts w:hint="eastAsia" w:ascii="宋体" w:hAnsi="宋体"/>
          <w:color w:val="auto"/>
          <w:sz w:val="28"/>
          <w:szCs w:val="28"/>
        </w:rPr>
        <w:t>表5.5-1、5.5-2</w:t>
      </w:r>
      <w:r>
        <w:rPr>
          <w:rFonts w:ascii="宋体" w:hAnsi="宋体"/>
          <w:color w:val="auto"/>
          <w:sz w:val="28"/>
          <w:szCs w:val="28"/>
        </w:rPr>
        <w:t>：</w:t>
      </w:r>
    </w:p>
    <w:p w14:paraId="25D941E6">
      <w:pPr>
        <w:spacing w:line="600" w:lineRule="exact"/>
        <w:jc w:val="center"/>
        <w:rPr>
          <w:rFonts w:ascii="宋体" w:hAnsi="宋体"/>
          <w:color w:val="auto"/>
          <w:sz w:val="28"/>
          <w:szCs w:val="28"/>
        </w:rPr>
      </w:pPr>
      <w:r>
        <w:rPr>
          <w:rFonts w:hint="eastAsia" w:ascii="宋体" w:hAnsi="宋体"/>
          <w:color w:val="auto"/>
          <w:sz w:val="28"/>
          <w:szCs w:val="28"/>
        </w:rPr>
        <w:t>表5.5-1 加油站站内平面布置符合性评价表（依据《汽车加油加气加氢站技术标准》GB50156-2021）</w:t>
      </w:r>
    </w:p>
    <w:tbl>
      <w:tblPr>
        <w:tblStyle w:val="25"/>
        <w:tblW w:w="514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7"/>
        <w:gridCol w:w="5717"/>
        <w:gridCol w:w="840"/>
        <w:gridCol w:w="2152"/>
        <w:gridCol w:w="427"/>
      </w:tblGrid>
      <w:tr w14:paraId="603469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3D129B49">
            <w:pPr>
              <w:spacing w:line="240" w:lineRule="exact"/>
              <w:jc w:val="center"/>
              <w:rPr>
                <w:rFonts w:ascii="宋体" w:hAnsi="宋体"/>
                <w:b/>
                <w:color w:val="auto"/>
              </w:rPr>
            </w:pPr>
            <w:r>
              <w:rPr>
                <w:rFonts w:ascii="宋体" w:hAnsi="宋体"/>
                <w:b/>
                <w:color w:val="auto"/>
              </w:rPr>
              <w:t>序号</w:t>
            </w:r>
          </w:p>
        </w:tc>
        <w:tc>
          <w:tcPr>
            <w:tcW w:w="2988" w:type="pct"/>
            <w:vAlign w:val="center"/>
          </w:tcPr>
          <w:p w14:paraId="7D2A3C6F">
            <w:pPr>
              <w:spacing w:line="240" w:lineRule="exact"/>
              <w:jc w:val="center"/>
              <w:rPr>
                <w:rFonts w:ascii="宋体" w:hAnsi="宋体"/>
                <w:b/>
                <w:color w:val="auto"/>
              </w:rPr>
            </w:pPr>
            <w:r>
              <w:rPr>
                <w:rFonts w:ascii="宋体" w:hAnsi="宋体"/>
                <w:b/>
                <w:color w:val="auto"/>
              </w:rPr>
              <w:t>检查内容</w:t>
            </w:r>
          </w:p>
        </w:tc>
        <w:tc>
          <w:tcPr>
            <w:tcW w:w="439" w:type="pct"/>
            <w:vAlign w:val="center"/>
          </w:tcPr>
          <w:p w14:paraId="2B218207">
            <w:pPr>
              <w:spacing w:line="240" w:lineRule="exact"/>
              <w:jc w:val="center"/>
              <w:rPr>
                <w:rFonts w:ascii="宋体" w:hAnsi="宋体"/>
                <w:b/>
                <w:color w:val="auto"/>
              </w:rPr>
            </w:pPr>
            <w:r>
              <w:rPr>
                <w:rFonts w:ascii="宋体" w:hAnsi="宋体"/>
                <w:b/>
                <w:color w:val="auto"/>
              </w:rPr>
              <w:t>标准条款</w:t>
            </w:r>
          </w:p>
        </w:tc>
        <w:tc>
          <w:tcPr>
            <w:tcW w:w="1125" w:type="pct"/>
            <w:vAlign w:val="center"/>
          </w:tcPr>
          <w:p w14:paraId="2ED57010">
            <w:pPr>
              <w:spacing w:line="240" w:lineRule="exact"/>
              <w:jc w:val="center"/>
              <w:rPr>
                <w:rFonts w:ascii="宋体" w:hAnsi="宋体"/>
                <w:b/>
                <w:color w:val="auto"/>
              </w:rPr>
            </w:pPr>
            <w:r>
              <w:rPr>
                <w:rFonts w:ascii="宋体" w:hAnsi="宋体"/>
                <w:b/>
                <w:color w:val="auto"/>
              </w:rPr>
              <w:t>检查记录</w:t>
            </w:r>
          </w:p>
        </w:tc>
        <w:tc>
          <w:tcPr>
            <w:tcW w:w="223" w:type="pct"/>
            <w:vAlign w:val="center"/>
          </w:tcPr>
          <w:p w14:paraId="62A01948">
            <w:pPr>
              <w:spacing w:line="240" w:lineRule="exact"/>
              <w:jc w:val="center"/>
              <w:rPr>
                <w:rFonts w:ascii="宋体" w:hAnsi="宋体"/>
                <w:b/>
                <w:color w:val="auto"/>
              </w:rPr>
            </w:pPr>
            <w:r>
              <w:rPr>
                <w:rFonts w:ascii="宋体" w:hAnsi="宋体"/>
                <w:b/>
                <w:color w:val="auto"/>
              </w:rPr>
              <w:t>结论</w:t>
            </w:r>
          </w:p>
        </w:tc>
      </w:tr>
      <w:tr w14:paraId="0428EA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B080CCF">
            <w:pPr>
              <w:spacing w:line="240" w:lineRule="exact"/>
              <w:rPr>
                <w:rFonts w:ascii="宋体" w:hAnsi="宋体"/>
                <w:color w:val="auto"/>
              </w:rPr>
            </w:pPr>
            <w:r>
              <w:rPr>
                <w:rFonts w:ascii="宋体" w:hAnsi="宋体"/>
                <w:color w:val="auto"/>
              </w:rPr>
              <w:t>1</w:t>
            </w:r>
          </w:p>
        </w:tc>
        <w:tc>
          <w:tcPr>
            <w:tcW w:w="2988" w:type="pct"/>
            <w:vAlign w:val="center"/>
          </w:tcPr>
          <w:p w14:paraId="7E4B78F5">
            <w:pPr>
              <w:spacing w:line="240" w:lineRule="exact"/>
              <w:rPr>
                <w:rFonts w:ascii="宋体" w:hAnsi="宋体"/>
                <w:color w:val="auto"/>
              </w:rPr>
            </w:pPr>
            <w:r>
              <w:rPr>
                <w:rFonts w:ascii="宋体" w:hAnsi="宋体"/>
                <w:color w:val="auto"/>
              </w:rPr>
              <w:t>车辆入口和出口应分开设置</w:t>
            </w:r>
            <w:r>
              <w:rPr>
                <w:rFonts w:hint="eastAsia" w:ascii="宋体" w:hAnsi="宋体"/>
                <w:color w:val="auto"/>
                <w:lang w:eastAsia="zh-CN"/>
              </w:rPr>
              <w:t>。</w:t>
            </w:r>
          </w:p>
        </w:tc>
        <w:tc>
          <w:tcPr>
            <w:tcW w:w="439" w:type="pct"/>
            <w:vAlign w:val="center"/>
          </w:tcPr>
          <w:p w14:paraId="72D32E00">
            <w:pPr>
              <w:spacing w:line="240" w:lineRule="exact"/>
              <w:rPr>
                <w:rFonts w:ascii="宋体" w:hAnsi="宋体"/>
                <w:color w:val="auto"/>
              </w:rPr>
            </w:pPr>
            <w:r>
              <w:rPr>
                <w:rFonts w:ascii="宋体" w:hAnsi="宋体" w:cs="Times New Roman"/>
                <w:color w:val="auto"/>
              </w:rPr>
              <w:t>5</w:t>
            </w:r>
            <w:r>
              <w:rPr>
                <w:rFonts w:ascii="宋体" w:hAnsi="宋体"/>
                <w:color w:val="auto"/>
              </w:rPr>
              <w:t>.0.1</w:t>
            </w:r>
          </w:p>
        </w:tc>
        <w:tc>
          <w:tcPr>
            <w:tcW w:w="1125" w:type="pct"/>
            <w:vAlign w:val="center"/>
          </w:tcPr>
          <w:p w14:paraId="4799CB60">
            <w:pPr>
              <w:spacing w:line="240" w:lineRule="exact"/>
              <w:rPr>
                <w:rFonts w:ascii="宋体" w:hAnsi="宋体"/>
                <w:color w:val="auto"/>
              </w:rPr>
            </w:pPr>
            <w:r>
              <w:rPr>
                <w:rFonts w:ascii="宋体" w:hAnsi="宋体"/>
                <w:color w:val="auto"/>
              </w:rPr>
              <w:t>分开设置</w:t>
            </w:r>
          </w:p>
        </w:tc>
        <w:tc>
          <w:tcPr>
            <w:tcW w:w="223" w:type="pct"/>
            <w:vAlign w:val="center"/>
          </w:tcPr>
          <w:p w14:paraId="201840CE">
            <w:pPr>
              <w:spacing w:line="240" w:lineRule="exact"/>
              <w:jc w:val="center"/>
              <w:rPr>
                <w:rFonts w:ascii="宋体" w:hAnsi="宋体"/>
                <w:color w:val="auto"/>
              </w:rPr>
            </w:pPr>
            <w:r>
              <w:rPr>
                <w:rFonts w:hint="eastAsia" w:ascii="宋体" w:hAnsi="宋体"/>
                <w:color w:val="auto"/>
              </w:rPr>
              <w:t>符合</w:t>
            </w:r>
          </w:p>
        </w:tc>
      </w:tr>
      <w:tr w14:paraId="42919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9438136">
            <w:pPr>
              <w:spacing w:line="240" w:lineRule="exact"/>
              <w:rPr>
                <w:rFonts w:ascii="宋体" w:hAnsi="宋体"/>
                <w:color w:val="auto"/>
              </w:rPr>
            </w:pPr>
            <w:r>
              <w:rPr>
                <w:rFonts w:ascii="宋体" w:hAnsi="宋体"/>
                <w:color w:val="auto"/>
              </w:rPr>
              <w:t>2</w:t>
            </w:r>
          </w:p>
        </w:tc>
        <w:tc>
          <w:tcPr>
            <w:tcW w:w="2988" w:type="pct"/>
            <w:vAlign w:val="center"/>
          </w:tcPr>
          <w:p w14:paraId="5629E6EC">
            <w:pPr>
              <w:spacing w:line="240" w:lineRule="exact"/>
              <w:rPr>
                <w:rFonts w:ascii="宋体" w:hAnsi="宋体"/>
                <w:color w:val="auto"/>
              </w:rPr>
            </w:pPr>
            <w:r>
              <w:rPr>
                <w:rFonts w:ascii="宋体" w:hAnsi="宋体"/>
                <w:color w:val="auto"/>
              </w:rPr>
              <w:t>站内车道或停车位宽度应按车辆类型确定。CNG加气母站内单车道或单车停车位宽度不应</w:t>
            </w:r>
            <w:r>
              <w:rPr>
                <w:rFonts w:hint="eastAsia" w:ascii="宋体" w:hAnsi="宋体"/>
                <w:color w:val="auto"/>
                <w:lang w:eastAsia="zh-CN"/>
              </w:rPr>
              <w:t>小于</w:t>
            </w:r>
            <w:r>
              <w:rPr>
                <w:rFonts w:ascii="宋体" w:hAnsi="宋体"/>
                <w:color w:val="auto"/>
              </w:rPr>
              <w:t>5m，双车道或双车停车位宽度不应小于9m；其他类型汽车加油加气加氢站的车道或停车位，单车道或单车停车位宽度不应小于4m，双车道或双车停车位宽度不应小于6m。</w:t>
            </w:r>
          </w:p>
        </w:tc>
        <w:tc>
          <w:tcPr>
            <w:tcW w:w="439" w:type="pct"/>
            <w:vMerge w:val="restart"/>
            <w:vAlign w:val="center"/>
          </w:tcPr>
          <w:p w14:paraId="43D12133">
            <w:pPr>
              <w:spacing w:line="240" w:lineRule="exact"/>
              <w:rPr>
                <w:rFonts w:ascii="宋体" w:hAnsi="宋体"/>
                <w:color w:val="auto"/>
              </w:rPr>
            </w:pPr>
            <w:r>
              <w:rPr>
                <w:rFonts w:ascii="宋体" w:hAnsi="宋体"/>
                <w:color w:val="auto"/>
              </w:rPr>
              <w:t>5.0.2</w:t>
            </w:r>
          </w:p>
        </w:tc>
        <w:tc>
          <w:tcPr>
            <w:tcW w:w="1125" w:type="pct"/>
            <w:vAlign w:val="center"/>
          </w:tcPr>
          <w:p w14:paraId="1B5C429E">
            <w:pPr>
              <w:spacing w:line="240" w:lineRule="exact"/>
              <w:rPr>
                <w:rFonts w:ascii="宋体" w:hAnsi="宋体"/>
                <w:color w:val="auto"/>
              </w:rPr>
            </w:pPr>
            <w:r>
              <w:rPr>
                <w:rFonts w:ascii="宋体" w:hAnsi="宋体"/>
                <w:color w:val="auto"/>
              </w:rPr>
              <w:t>单车道宽度</w:t>
            </w:r>
            <w:r>
              <w:rPr>
                <w:rFonts w:hint="eastAsia" w:ascii="宋体" w:hAnsi="宋体"/>
                <w:color w:val="auto"/>
              </w:rPr>
              <w:t>9</w:t>
            </w:r>
            <w:r>
              <w:rPr>
                <w:rFonts w:ascii="宋体" w:hAnsi="宋体"/>
                <w:color w:val="auto"/>
              </w:rPr>
              <w:t>m</w:t>
            </w:r>
            <w:r>
              <w:rPr>
                <w:rFonts w:hint="eastAsia" w:ascii="宋体" w:hAnsi="宋体"/>
                <w:color w:val="auto"/>
              </w:rPr>
              <w:t>，</w:t>
            </w:r>
            <w:r>
              <w:rPr>
                <w:rFonts w:ascii="宋体" w:hAnsi="宋体"/>
                <w:color w:val="auto"/>
              </w:rPr>
              <w:t>双车道或双车停车位宽度</w:t>
            </w:r>
            <w:r>
              <w:rPr>
                <w:rFonts w:hint="eastAsia" w:ascii="宋体" w:hAnsi="宋体"/>
                <w:color w:val="auto"/>
              </w:rPr>
              <w:t>9</w:t>
            </w:r>
            <w:r>
              <w:rPr>
                <w:rFonts w:ascii="宋体" w:hAnsi="宋体"/>
                <w:color w:val="auto"/>
              </w:rPr>
              <w:t>m</w:t>
            </w:r>
          </w:p>
        </w:tc>
        <w:tc>
          <w:tcPr>
            <w:tcW w:w="223" w:type="pct"/>
            <w:vAlign w:val="center"/>
          </w:tcPr>
          <w:p w14:paraId="1F290A09">
            <w:pPr>
              <w:spacing w:line="240" w:lineRule="exact"/>
              <w:jc w:val="center"/>
              <w:rPr>
                <w:rFonts w:ascii="宋体" w:hAnsi="宋体"/>
                <w:color w:val="auto"/>
              </w:rPr>
            </w:pPr>
            <w:r>
              <w:rPr>
                <w:rFonts w:hint="eastAsia" w:ascii="宋体" w:hAnsi="宋体"/>
                <w:color w:val="auto"/>
              </w:rPr>
              <w:t>符合</w:t>
            </w:r>
          </w:p>
        </w:tc>
      </w:tr>
      <w:tr w14:paraId="7B4027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131BBA1">
            <w:pPr>
              <w:spacing w:line="240" w:lineRule="exact"/>
              <w:rPr>
                <w:rFonts w:ascii="宋体" w:hAnsi="宋体"/>
                <w:color w:val="auto"/>
              </w:rPr>
            </w:pPr>
            <w:r>
              <w:rPr>
                <w:rFonts w:ascii="宋体" w:hAnsi="宋体"/>
                <w:color w:val="auto"/>
              </w:rPr>
              <w:t>3</w:t>
            </w:r>
          </w:p>
        </w:tc>
        <w:tc>
          <w:tcPr>
            <w:tcW w:w="2988" w:type="pct"/>
            <w:vAlign w:val="center"/>
          </w:tcPr>
          <w:p w14:paraId="02A827D7">
            <w:pPr>
              <w:spacing w:line="240" w:lineRule="exact"/>
              <w:rPr>
                <w:rFonts w:ascii="宋体" w:hAnsi="宋体"/>
                <w:color w:val="auto"/>
              </w:rPr>
            </w:pPr>
            <w:r>
              <w:rPr>
                <w:rFonts w:ascii="宋体" w:hAnsi="宋体"/>
                <w:color w:val="auto"/>
              </w:rPr>
              <w:t>站内的道路转弯</w:t>
            </w:r>
            <w:r>
              <w:rPr>
                <w:rFonts w:hint="eastAsia" w:ascii="宋体" w:hAnsi="宋体"/>
                <w:color w:val="auto"/>
              </w:rPr>
              <w:t>半</w:t>
            </w:r>
            <w:r>
              <w:rPr>
                <w:rFonts w:ascii="宋体" w:hAnsi="宋体"/>
                <w:color w:val="auto"/>
              </w:rPr>
              <w:t>径应按行驶车型确定</w:t>
            </w:r>
            <w:r>
              <w:rPr>
                <w:rFonts w:hint="eastAsia" w:ascii="宋体" w:hAnsi="宋体"/>
                <w:color w:val="auto"/>
              </w:rPr>
              <w:t>，</w:t>
            </w:r>
            <w:r>
              <w:rPr>
                <w:rFonts w:ascii="宋体" w:hAnsi="宋体"/>
                <w:color w:val="auto"/>
              </w:rPr>
              <w:t>且不宜小于9m。</w:t>
            </w:r>
          </w:p>
        </w:tc>
        <w:tc>
          <w:tcPr>
            <w:tcW w:w="439" w:type="pct"/>
            <w:vMerge w:val="continue"/>
            <w:vAlign w:val="center"/>
          </w:tcPr>
          <w:p w14:paraId="070B1489">
            <w:pPr>
              <w:spacing w:line="240" w:lineRule="exact"/>
              <w:rPr>
                <w:rFonts w:ascii="宋体" w:hAnsi="宋体"/>
                <w:color w:val="auto"/>
              </w:rPr>
            </w:pPr>
          </w:p>
        </w:tc>
        <w:tc>
          <w:tcPr>
            <w:tcW w:w="1125" w:type="pct"/>
            <w:vAlign w:val="center"/>
          </w:tcPr>
          <w:p w14:paraId="667879F4">
            <w:pPr>
              <w:spacing w:line="240" w:lineRule="exact"/>
              <w:rPr>
                <w:rFonts w:ascii="宋体" w:hAnsi="宋体"/>
                <w:color w:val="auto"/>
              </w:rPr>
            </w:pPr>
            <w:r>
              <w:rPr>
                <w:rFonts w:ascii="宋体" w:hAnsi="宋体"/>
                <w:color w:val="auto"/>
              </w:rPr>
              <w:t>不小于9m</w:t>
            </w:r>
          </w:p>
        </w:tc>
        <w:tc>
          <w:tcPr>
            <w:tcW w:w="223" w:type="pct"/>
            <w:vAlign w:val="center"/>
          </w:tcPr>
          <w:p w14:paraId="5CD9FF0B">
            <w:pPr>
              <w:spacing w:line="240" w:lineRule="exact"/>
              <w:jc w:val="center"/>
              <w:rPr>
                <w:rFonts w:ascii="宋体" w:hAnsi="宋体"/>
                <w:color w:val="auto"/>
              </w:rPr>
            </w:pPr>
            <w:r>
              <w:rPr>
                <w:rFonts w:hint="eastAsia" w:ascii="宋体" w:hAnsi="宋体"/>
                <w:color w:val="auto"/>
              </w:rPr>
              <w:t>符合</w:t>
            </w:r>
          </w:p>
        </w:tc>
      </w:tr>
      <w:tr w14:paraId="71512C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792AB457">
            <w:pPr>
              <w:spacing w:line="240" w:lineRule="exact"/>
              <w:rPr>
                <w:rFonts w:ascii="宋体" w:hAnsi="宋体"/>
                <w:color w:val="auto"/>
              </w:rPr>
            </w:pPr>
            <w:r>
              <w:rPr>
                <w:rFonts w:ascii="宋体" w:hAnsi="宋体"/>
                <w:color w:val="auto"/>
              </w:rPr>
              <w:t>4</w:t>
            </w:r>
          </w:p>
        </w:tc>
        <w:tc>
          <w:tcPr>
            <w:tcW w:w="2988" w:type="pct"/>
            <w:vAlign w:val="center"/>
          </w:tcPr>
          <w:p w14:paraId="79C54CA8">
            <w:pPr>
              <w:spacing w:line="240" w:lineRule="exact"/>
              <w:rPr>
                <w:rFonts w:ascii="宋体" w:hAnsi="宋体"/>
                <w:color w:val="auto"/>
              </w:rPr>
            </w:pPr>
            <w:r>
              <w:rPr>
                <w:rFonts w:ascii="宋体" w:hAnsi="宋体"/>
                <w:color w:val="auto"/>
              </w:rPr>
              <w:t>站内停车位应为平坡，道路坡度不应大于8%，且宜坡向站外。</w:t>
            </w:r>
          </w:p>
        </w:tc>
        <w:tc>
          <w:tcPr>
            <w:tcW w:w="439" w:type="pct"/>
            <w:vMerge w:val="continue"/>
            <w:vAlign w:val="center"/>
          </w:tcPr>
          <w:p w14:paraId="7684B88C">
            <w:pPr>
              <w:spacing w:line="240" w:lineRule="exact"/>
              <w:rPr>
                <w:rFonts w:ascii="宋体" w:hAnsi="宋体"/>
                <w:color w:val="auto"/>
              </w:rPr>
            </w:pPr>
          </w:p>
        </w:tc>
        <w:tc>
          <w:tcPr>
            <w:tcW w:w="1125" w:type="pct"/>
            <w:vAlign w:val="center"/>
          </w:tcPr>
          <w:p w14:paraId="57DDFC8E">
            <w:pPr>
              <w:spacing w:line="240" w:lineRule="exact"/>
              <w:rPr>
                <w:rFonts w:ascii="宋体" w:hAnsi="宋体"/>
                <w:color w:val="auto"/>
              </w:rPr>
            </w:pPr>
            <w:r>
              <w:rPr>
                <w:rFonts w:ascii="宋体" w:hAnsi="宋体"/>
                <w:color w:val="auto"/>
              </w:rPr>
              <w:t>站内停车位为平坡，道路坡度不大于8%</w:t>
            </w:r>
          </w:p>
        </w:tc>
        <w:tc>
          <w:tcPr>
            <w:tcW w:w="223" w:type="pct"/>
            <w:vAlign w:val="center"/>
          </w:tcPr>
          <w:p w14:paraId="42711302">
            <w:pPr>
              <w:spacing w:line="240" w:lineRule="exact"/>
              <w:jc w:val="center"/>
              <w:rPr>
                <w:rFonts w:ascii="宋体" w:hAnsi="宋体"/>
                <w:color w:val="auto"/>
              </w:rPr>
            </w:pPr>
            <w:r>
              <w:rPr>
                <w:rFonts w:hint="eastAsia" w:ascii="宋体" w:hAnsi="宋体"/>
                <w:color w:val="auto"/>
              </w:rPr>
              <w:t>符合</w:t>
            </w:r>
          </w:p>
        </w:tc>
      </w:tr>
      <w:tr w14:paraId="777F4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13B6ACC3">
            <w:pPr>
              <w:spacing w:line="240" w:lineRule="exact"/>
              <w:rPr>
                <w:rFonts w:ascii="宋体" w:hAnsi="宋体"/>
                <w:color w:val="auto"/>
              </w:rPr>
            </w:pPr>
            <w:r>
              <w:rPr>
                <w:rFonts w:ascii="宋体" w:hAnsi="宋体"/>
                <w:color w:val="auto"/>
              </w:rPr>
              <w:t>5</w:t>
            </w:r>
          </w:p>
        </w:tc>
        <w:tc>
          <w:tcPr>
            <w:tcW w:w="2988" w:type="pct"/>
            <w:vAlign w:val="center"/>
          </w:tcPr>
          <w:p w14:paraId="47C32DFE">
            <w:pPr>
              <w:spacing w:line="240" w:lineRule="exact"/>
              <w:rPr>
                <w:rFonts w:ascii="宋体" w:hAnsi="宋体"/>
                <w:color w:val="auto"/>
              </w:rPr>
            </w:pPr>
            <w:r>
              <w:rPr>
                <w:rFonts w:ascii="宋体" w:hAnsi="宋体"/>
                <w:color w:val="auto"/>
              </w:rPr>
              <w:t>作业区内的停车</w:t>
            </w:r>
            <w:r>
              <w:rPr>
                <w:rFonts w:hint="eastAsia" w:ascii="宋体" w:hAnsi="宋体"/>
                <w:color w:val="auto"/>
              </w:rPr>
              <w:t>场</w:t>
            </w:r>
            <w:r>
              <w:rPr>
                <w:rFonts w:ascii="宋体" w:hAnsi="宋体"/>
                <w:color w:val="auto"/>
              </w:rPr>
              <w:t>和道路路面不应采用沥青路面。</w:t>
            </w:r>
          </w:p>
        </w:tc>
        <w:tc>
          <w:tcPr>
            <w:tcW w:w="439" w:type="pct"/>
            <w:vMerge w:val="continue"/>
            <w:vAlign w:val="center"/>
          </w:tcPr>
          <w:p w14:paraId="1D1FE3A7">
            <w:pPr>
              <w:spacing w:line="240" w:lineRule="exact"/>
              <w:rPr>
                <w:rFonts w:ascii="宋体" w:hAnsi="宋体"/>
                <w:color w:val="auto"/>
              </w:rPr>
            </w:pPr>
          </w:p>
        </w:tc>
        <w:tc>
          <w:tcPr>
            <w:tcW w:w="1125" w:type="pct"/>
            <w:vAlign w:val="center"/>
          </w:tcPr>
          <w:p w14:paraId="316B0359">
            <w:pPr>
              <w:spacing w:line="240" w:lineRule="exact"/>
              <w:rPr>
                <w:rFonts w:ascii="宋体" w:hAnsi="宋体"/>
                <w:color w:val="auto"/>
              </w:rPr>
            </w:pPr>
            <w:r>
              <w:rPr>
                <w:rFonts w:ascii="宋体" w:hAnsi="宋体"/>
                <w:color w:val="auto"/>
              </w:rPr>
              <w:t>混凝土路面</w:t>
            </w:r>
          </w:p>
        </w:tc>
        <w:tc>
          <w:tcPr>
            <w:tcW w:w="223" w:type="pct"/>
            <w:vAlign w:val="center"/>
          </w:tcPr>
          <w:p w14:paraId="2F99538A">
            <w:pPr>
              <w:spacing w:line="240" w:lineRule="exact"/>
              <w:jc w:val="center"/>
              <w:rPr>
                <w:rFonts w:ascii="宋体" w:hAnsi="宋体"/>
                <w:color w:val="auto"/>
              </w:rPr>
            </w:pPr>
            <w:r>
              <w:rPr>
                <w:rFonts w:hint="eastAsia" w:ascii="宋体" w:hAnsi="宋体"/>
                <w:color w:val="auto"/>
              </w:rPr>
              <w:t>符合</w:t>
            </w:r>
          </w:p>
        </w:tc>
      </w:tr>
      <w:tr w14:paraId="652C6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3965CB55">
            <w:pPr>
              <w:spacing w:line="240" w:lineRule="exact"/>
              <w:rPr>
                <w:rFonts w:ascii="宋体" w:hAnsi="宋体"/>
                <w:color w:val="auto"/>
              </w:rPr>
            </w:pPr>
            <w:r>
              <w:rPr>
                <w:rFonts w:hint="eastAsia" w:ascii="宋体" w:hAnsi="宋体"/>
                <w:color w:val="auto"/>
              </w:rPr>
              <w:t>6</w:t>
            </w:r>
          </w:p>
        </w:tc>
        <w:tc>
          <w:tcPr>
            <w:tcW w:w="2988" w:type="pct"/>
            <w:vAlign w:val="center"/>
          </w:tcPr>
          <w:p w14:paraId="5766B428">
            <w:pPr>
              <w:spacing w:line="240" w:lineRule="exact"/>
              <w:rPr>
                <w:rFonts w:ascii="宋体" w:hAnsi="宋体"/>
                <w:color w:val="auto"/>
              </w:rPr>
            </w:pPr>
            <w:r>
              <w:rPr>
                <w:rFonts w:ascii="宋体" w:hAnsi="宋体"/>
                <w:color w:val="auto"/>
              </w:rPr>
              <w:t>作业区与辅助服务区之间应有界线标识。</w:t>
            </w:r>
          </w:p>
        </w:tc>
        <w:tc>
          <w:tcPr>
            <w:tcW w:w="439" w:type="pct"/>
            <w:vAlign w:val="center"/>
          </w:tcPr>
          <w:p w14:paraId="2385A189">
            <w:pPr>
              <w:spacing w:line="240" w:lineRule="exact"/>
              <w:rPr>
                <w:rFonts w:ascii="宋体" w:hAnsi="宋体"/>
                <w:color w:val="auto"/>
              </w:rPr>
            </w:pPr>
            <w:r>
              <w:rPr>
                <w:rFonts w:hint="eastAsia" w:ascii="宋体" w:hAnsi="宋体"/>
                <w:color w:val="auto"/>
              </w:rPr>
              <w:t>5.0.3</w:t>
            </w:r>
          </w:p>
        </w:tc>
        <w:tc>
          <w:tcPr>
            <w:tcW w:w="1125" w:type="pct"/>
            <w:vAlign w:val="center"/>
          </w:tcPr>
          <w:p w14:paraId="553FEC0F">
            <w:pPr>
              <w:spacing w:line="240" w:lineRule="exact"/>
              <w:rPr>
                <w:rFonts w:ascii="宋体" w:hAnsi="宋体"/>
                <w:color w:val="auto"/>
              </w:rPr>
            </w:pPr>
            <w:r>
              <w:rPr>
                <w:rFonts w:hint="eastAsia" w:ascii="宋体" w:hAnsi="宋体"/>
                <w:color w:val="auto"/>
              </w:rPr>
              <w:t>作业区与辅助服务区之间有界线标识</w:t>
            </w:r>
          </w:p>
        </w:tc>
        <w:tc>
          <w:tcPr>
            <w:tcW w:w="223" w:type="pct"/>
            <w:vAlign w:val="center"/>
          </w:tcPr>
          <w:p w14:paraId="178EEB13">
            <w:pPr>
              <w:spacing w:line="240" w:lineRule="exact"/>
              <w:jc w:val="center"/>
              <w:rPr>
                <w:rFonts w:ascii="宋体" w:hAnsi="宋体"/>
                <w:color w:val="auto"/>
              </w:rPr>
            </w:pPr>
            <w:r>
              <w:rPr>
                <w:rFonts w:hint="eastAsia" w:ascii="宋体" w:hAnsi="宋体"/>
                <w:color w:val="auto"/>
              </w:rPr>
              <w:t>符合</w:t>
            </w:r>
          </w:p>
        </w:tc>
      </w:tr>
      <w:tr w14:paraId="71AFD3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43D7F492">
            <w:pPr>
              <w:spacing w:line="240" w:lineRule="exact"/>
              <w:rPr>
                <w:rFonts w:ascii="宋体" w:hAnsi="宋体"/>
                <w:color w:val="auto"/>
              </w:rPr>
            </w:pPr>
            <w:r>
              <w:rPr>
                <w:rFonts w:hint="eastAsia" w:ascii="宋体" w:hAnsi="宋体"/>
                <w:color w:val="auto"/>
              </w:rPr>
              <w:t>7</w:t>
            </w:r>
          </w:p>
        </w:tc>
        <w:tc>
          <w:tcPr>
            <w:tcW w:w="2988" w:type="pct"/>
          </w:tcPr>
          <w:p w14:paraId="58C85DB1">
            <w:pPr>
              <w:spacing w:line="240" w:lineRule="exact"/>
              <w:rPr>
                <w:rFonts w:ascii="宋体" w:hAnsi="宋体"/>
                <w:color w:val="auto"/>
              </w:rPr>
            </w:pPr>
            <w:r>
              <w:rPr>
                <w:rFonts w:ascii="宋体" w:hAnsi="宋体"/>
                <w:color w:val="auto"/>
              </w:rPr>
              <w:t>在加油加气、加油加氢合建站内，宜将柴油罐布置在储气设施或储氢设施与汽油罐之间。</w:t>
            </w:r>
          </w:p>
        </w:tc>
        <w:tc>
          <w:tcPr>
            <w:tcW w:w="439" w:type="pct"/>
            <w:vAlign w:val="center"/>
          </w:tcPr>
          <w:p w14:paraId="0D0570F3">
            <w:pPr>
              <w:spacing w:line="240" w:lineRule="exact"/>
              <w:rPr>
                <w:rFonts w:ascii="宋体" w:hAnsi="宋体"/>
                <w:color w:val="auto"/>
              </w:rPr>
            </w:pPr>
            <w:r>
              <w:rPr>
                <w:rFonts w:ascii="宋体" w:hAnsi="宋体"/>
                <w:color w:val="auto"/>
              </w:rPr>
              <w:t>5.0.</w:t>
            </w:r>
            <w:r>
              <w:rPr>
                <w:rFonts w:hint="eastAsia" w:ascii="宋体" w:hAnsi="宋体"/>
                <w:color w:val="auto"/>
              </w:rPr>
              <w:t>4</w:t>
            </w:r>
          </w:p>
        </w:tc>
        <w:tc>
          <w:tcPr>
            <w:tcW w:w="1125" w:type="pct"/>
            <w:vAlign w:val="center"/>
          </w:tcPr>
          <w:p w14:paraId="7F48BA5C">
            <w:pPr>
              <w:spacing w:line="240" w:lineRule="exact"/>
              <w:rPr>
                <w:rFonts w:ascii="宋体" w:hAnsi="宋体"/>
                <w:color w:val="auto"/>
              </w:rPr>
            </w:pPr>
            <w:r>
              <w:rPr>
                <w:rFonts w:hint="eastAsia" w:ascii="宋体" w:hAnsi="宋体"/>
                <w:color w:val="auto"/>
              </w:rPr>
              <w:t>不涉及</w:t>
            </w:r>
          </w:p>
        </w:tc>
        <w:tc>
          <w:tcPr>
            <w:tcW w:w="223" w:type="pct"/>
            <w:vAlign w:val="center"/>
          </w:tcPr>
          <w:p w14:paraId="7EAE3237">
            <w:pPr>
              <w:spacing w:line="240" w:lineRule="exact"/>
              <w:rPr>
                <w:rFonts w:ascii="宋体" w:hAnsi="宋体"/>
                <w:color w:val="auto"/>
              </w:rPr>
            </w:pPr>
            <w:r>
              <w:rPr>
                <w:rFonts w:hint="eastAsia" w:ascii="宋体" w:hAnsi="宋体"/>
                <w:color w:val="auto"/>
              </w:rPr>
              <w:t>-</w:t>
            </w:r>
          </w:p>
        </w:tc>
      </w:tr>
      <w:tr w14:paraId="76CC4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8E754EF">
            <w:pPr>
              <w:spacing w:line="240" w:lineRule="exact"/>
              <w:rPr>
                <w:rFonts w:ascii="宋体" w:hAnsi="宋体"/>
                <w:color w:val="auto"/>
              </w:rPr>
            </w:pPr>
            <w:r>
              <w:rPr>
                <w:rFonts w:hint="eastAsia" w:ascii="宋体" w:hAnsi="宋体"/>
                <w:color w:val="auto"/>
              </w:rPr>
              <w:t>8</w:t>
            </w:r>
          </w:p>
        </w:tc>
        <w:tc>
          <w:tcPr>
            <w:tcW w:w="2988" w:type="pct"/>
          </w:tcPr>
          <w:p w14:paraId="79E94457">
            <w:pPr>
              <w:spacing w:line="240" w:lineRule="exact"/>
              <w:rPr>
                <w:rFonts w:ascii="宋体" w:hAnsi="宋体"/>
                <w:color w:val="auto"/>
              </w:rPr>
            </w:pPr>
            <w:r>
              <w:rPr>
                <w:rFonts w:ascii="宋体" w:hAnsi="宋体"/>
                <w:color w:val="auto"/>
              </w:rPr>
              <w:t>加油加气加氢站作业区内，不得有“明火地点”或“散发火花地点”。</w:t>
            </w:r>
          </w:p>
        </w:tc>
        <w:tc>
          <w:tcPr>
            <w:tcW w:w="439" w:type="pct"/>
            <w:vAlign w:val="center"/>
          </w:tcPr>
          <w:p w14:paraId="5FE7F40B">
            <w:pPr>
              <w:spacing w:line="240" w:lineRule="exact"/>
              <w:rPr>
                <w:rFonts w:ascii="宋体" w:hAnsi="宋体"/>
                <w:color w:val="auto"/>
              </w:rPr>
            </w:pPr>
            <w:r>
              <w:rPr>
                <w:rFonts w:ascii="宋体" w:hAnsi="宋体"/>
                <w:color w:val="auto"/>
              </w:rPr>
              <w:t>5.0.</w:t>
            </w:r>
            <w:r>
              <w:rPr>
                <w:rFonts w:hint="eastAsia" w:ascii="宋体" w:hAnsi="宋体"/>
                <w:color w:val="auto"/>
              </w:rPr>
              <w:t>5</w:t>
            </w:r>
          </w:p>
        </w:tc>
        <w:tc>
          <w:tcPr>
            <w:tcW w:w="1125" w:type="pct"/>
            <w:vAlign w:val="center"/>
          </w:tcPr>
          <w:p w14:paraId="53B75B5F">
            <w:pPr>
              <w:spacing w:line="240" w:lineRule="exact"/>
              <w:rPr>
                <w:rFonts w:ascii="宋体" w:hAnsi="宋体"/>
                <w:color w:val="auto"/>
              </w:rPr>
            </w:pPr>
            <w:r>
              <w:rPr>
                <w:rFonts w:hint="eastAsia" w:ascii="宋体" w:hAnsi="宋体"/>
                <w:color w:val="auto"/>
              </w:rPr>
              <w:t>无</w:t>
            </w:r>
            <w:r>
              <w:rPr>
                <w:rFonts w:ascii="宋体" w:hAnsi="宋体"/>
                <w:color w:val="auto"/>
              </w:rPr>
              <w:t>“明火地点”或“散发火花地点”</w:t>
            </w:r>
          </w:p>
        </w:tc>
        <w:tc>
          <w:tcPr>
            <w:tcW w:w="223" w:type="pct"/>
            <w:vAlign w:val="center"/>
          </w:tcPr>
          <w:p w14:paraId="58C2CA71">
            <w:pPr>
              <w:spacing w:line="240" w:lineRule="exact"/>
              <w:jc w:val="center"/>
              <w:rPr>
                <w:rFonts w:ascii="宋体" w:hAnsi="宋体"/>
                <w:color w:val="auto"/>
              </w:rPr>
            </w:pPr>
            <w:r>
              <w:rPr>
                <w:rFonts w:hint="eastAsia" w:ascii="宋体" w:hAnsi="宋体"/>
                <w:color w:val="auto"/>
              </w:rPr>
              <w:t>符合</w:t>
            </w:r>
          </w:p>
        </w:tc>
      </w:tr>
      <w:tr w14:paraId="614197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2E3C85C">
            <w:pPr>
              <w:spacing w:line="240" w:lineRule="exact"/>
              <w:rPr>
                <w:rFonts w:ascii="宋体" w:hAnsi="宋体"/>
                <w:color w:val="auto"/>
              </w:rPr>
            </w:pPr>
            <w:r>
              <w:rPr>
                <w:rFonts w:hint="eastAsia" w:ascii="宋体" w:hAnsi="宋体"/>
                <w:color w:val="auto"/>
              </w:rPr>
              <w:t>9</w:t>
            </w:r>
          </w:p>
        </w:tc>
        <w:tc>
          <w:tcPr>
            <w:tcW w:w="2988" w:type="pct"/>
          </w:tcPr>
          <w:p w14:paraId="6A4A8A15">
            <w:pPr>
              <w:spacing w:line="240" w:lineRule="exact"/>
              <w:rPr>
                <w:rFonts w:ascii="宋体" w:hAnsi="宋体"/>
                <w:color w:val="auto"/>
              </w:rPr>
            </w:pPr>
            <w:r>
              <w:rPr>
                <w:rFonts w:ascii="宋体" w:hAnsi="宋体"/>
                <w:color w:val="auto"/>
              </w:rPr>
              <w:t>柴油尾气处理液加注设施的布置应符合下列规定：</w:t>
            </w:r>
          </w:p>
          <w:p w14:paraId="4DA6932B">
            <w:pPr>
              <w:spacing w:line="24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不符合防爆要求的设备应布置在爆炸危险区域之外，且与爆炸危险区域边界线的距离不应小于3m；</w:t>
            </w:r>
          </w:p>
          <w:p w14:paraId="030E5E18">
            <w:pPr>
              <w:spacing w:line="24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符合防爆要求的设备，在进行平面布置时可按柴油加油机对待；</w:t>
            </w:r>
          </w:p>
          <w:p w14:paraId="00DB9C5F">
            <w:pPr>
              <w:spacing w:line="24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当柴油尾气处理液的储液箱（罐）或橇装设备布置在加油岛上时，容量不得超过1.2</w:t>
            </w:r>
            <w:r>
              <w:rPr>
                <w:rFonts w:hint="eastAsia" w:ascii="宋体" w:hAnsi="宋体"/>
                <w:color w:val="auto"/>
              </w:rPr>
              <w:t>m³</w:t>
            </w:r>
            <w:r>
              <w:rPr>
                <w:rFonts w:ascii="宋体" w:hAnsi="宋体"/>
                <w:color w:val="auto"/>
              </w:rPr>
              <w:t>，且储液箱（罐）或橇装设备应在岛的两侧边缘100mm和岛端1.2m以内布置。</w:t>
            </w:r>
          </w:p>
        </w:tc>
        <w:tc>
          <w:tcPr>
            <w:tcW w:w="439" w:type="pct"/>
            <w:vAlign w:val="center"/>
          </w:tcPr>
          <w:p w14:paraId="3FC6E4DC">
            <w:pPr>
              <w:spacing w:line="240" w:lineRule="exact"/>
              <w:rPr>
                <w:rFonts w:ascii="宋体" w:hAnsi="宋体"/>
                <w:color w:val="auto"/>
              </w:rPr>
            </w:pPr>
            <w:r>
              <w:rPr>
                <w:rFonts w:ascii="宋体" w:hAnsi="宋体"/>
                <w:color w:val="auto"/>
              </w:rPr>
              <w:t>5.0.</w:t>
            </w:r>
            <w:r>
              <w:rPr>
                <w:rFonts w:hint="eastAsia" w:ascii="宋体" w:hAnsi="宋体"/>
                <w:color w:val="auto"/>
              </w:rPr>
              <w:t>6</w:t>
            </w:r>
          </w:p>
        </w:tc>
        <w:tc>
          <w:tcPr>
            <w:tcW w:w="1125" w:type="pct"/>
            <w:vAlign w:val="center"/>
          </w:tcPr>
          <w:p w14:paraId="5C3B7BF3">
            <w:pPr>
              <w:spacing w:line="240" w:lineRule="exact"/>
              <w:rPr>
                <w:rFonts w:ascii="宋体" w:hAnsi="宋体"/>
                <w:color w:val="auto"/>
              </w:rPr>
            </w:pPr>
            <w:r>
              <w:rPr>
                <w:rFonts w:hint="eastAsia" w:ascii="宋体" w:hAnsi="宋体"/>
                <w:color w:val="auto"/>
              </w:rPr>
              <w:t>不涉及</w:t>
            </w:r>
          </w:p>
        </w:tc>
        <w:tc>
          <w:tcPr>
            <w:tcW w:w="223" w:type="pct"/>
            <w:vAlign w:val="center"/>
          </w:tcPr>
          <w:p w14:paraId="75FD1B1C">
            <w:pPr>
              <w:spacing w:line="240" w:lineRule="exact"/>
              <w:rPr>
                <w:rFonts w:ascii="宋体" w:hAnsi="宋体"/>
                <w:color w:val="auto"/>
              </w:rPr>
            </w:pPr>
            <w:r>
              <w:rPr>
                <w:rFonts w:hint="eastAsia" w:ascii="宋体" w:hAnsi="宋体"/>
                <w:color w:val="auto"/>
              </w:rPr>
              <w:t>-</w:t>
            </w:r>
          </w:p>
        </w:tc>
      </w:tr>
      <w:tr w14:paraId="06AA46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4388EA87">
            <w:pPr>
              <w:spacing w:line="240" w:lineRule="exact"/>
              <w:rPr>
                <w:rFonts w:ascii="宋体" w:hAnsi="宋体"/>
                <w:color w:val="auto"/>
              </w:rPr>
            </w:pPr>
            <w:r>
              <w:rPr>
                <w:rFonts w:hint="eastAsia" w:ascii="宋体" w:hAnsi="宋体"/>
                <w:color w:val="auto"/>
              </w:rPr>
              <w:t>10</w:t>
            </w:r>
          </w:p>
        </w:tc>
        <w:tc>
          <w:tcPr>
            <w:tcW w:w="2988" w:type="pct"/>
            <w:vAlign w:val="center"/>
          </w:tcPr>
          <w:p w14:paraId="7EF742F9">
            <w:pPr>
              <w:spacing w:line="240" w:lineRule="exact"/>
              <w:rPr>
                <w:rFonts w:ascii="宋体" w:hAnsi="宋体"/>
                <w:color w:val="auto"/>
              </w:rPr>
            </w:pPr>
            <w:r>
              <w:rPr>
                <w:rFonts w:ascii="宋体" w:hAnsi="宋体"/>
                <w:color w:val="auto"/>
              </w:rPr>
              <w:t>电动汽车充电设施应布置在辅助服务区内</w:t>
            </w:r>
          </w:p>
        </w:tc>
        <w:tc>
          <w:tcPr>
            <w:tcW w:w="439" w:type="pct"/>
            <w:vAlign w:val="center"/>
          </w:tcPr>
          <w:p w14:paraId="40669D57">
            <w:pPr>
              <w:spacing w:line="240" w:lineRule="exact"/>
              <w:rPr>
                <w:rFonts w:ascii="宋体" w:hAnsi="宋体"/>
                <w:color w:val="auto"/>
              </w:rPr>
            </w:pPr>
            <w:r>
              <w:rPr>
                <w:rFonts w:hint="eastAsia" w:ascii="宋体" w:hAnsi="宋体"/>
                <w:color w:val="auto"/>
              </w:rPr>
              <w:t>5.0.7</w:t>
            </w:r>
          </w:p>
        </w:tc>
        <w:tc>
          <w:tcPr>
            <w:tcW w:w="1125" w:type="pct"/>
            <w:vAlign w:val="center"/>
          </w:tcPr>
          <w:p w14:paraId="35DA90EB">
            <w:pPr>
              <w:spacing w:line="240" w:lineRule="exact"/>
              <w:rPr>
                <w:rFonts w:hint="default" w:ascii="宋体" w:hAnsi="宋体" w:eastAsia="宋体"/>
                <w:color w:val="auto"/>
                <w:lang w:val="en-US" w:eastAsia="zh-CN"/>
              </w:rPr>
            </w:pPr>
            <w:r>
              <w:rPr>
                <w:rFonts w:hint="eastAsia" w:ascii="宋体" w:hAnsi="宋体"/>
                <w:color w:val="auto"/>
                <w:lang w:val="en-US" w:eastAsia="zh-CN"/>
              </w:rPr>
              <w:t>无</w:t>
            </w:r>
            <w:r>
              <w:rPr>
                <w:rFonts w:hint="eastAsia" w:ascii="宋体" w:hAnsi="宋体"/>
                <w:color w:val="auto"/>
              </w:rPr>
              <w:t>电动汽车充电设施</w:t>
            </w:r>
          </w:p>
        </w:tc>
        <w:tc>
          <w:tcPr>
            <w:tcW w:w="223" w:type="pct"/>
            <w:vAlign w:val="center"/>
          </w:tcPr>
          <w:p w14:paraId="14FC57E7">
            <w:pPr>
              <w:spacing w:line="240" w:lineRule="exact"/>
              <w:rPr>
                <w:rFonts w:ascii="宋体" w:hAnsi="宋体"/>
                <w:color w:val="auto"/>
              </w:rPr>
            </w:pPr>
            <w:r>
              <w:rPr>
                <w:rFonts w:hint="eastAsia" w:ascii="宋体" w:hAnsi="宋体"/>
                <w:color w:val="auto"/>
              </w:rPr>
              <w:t>符合</w:t>
            </w:r>
          </w:p>
        </w:tc>
      </w:tr>
      <w:tr w14:paraId="7D8CB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257342B">
            <w:pPr>
              <w:spacing w:line="240" w:lineRule="exact"/>
              <w:rPr>
                <w:rFonts w:ascii="宋体" w:hAnsi="宋体"/>
                <w:color w:val="auto"/>
              </w:rPr>
            </w:pPr>
            <w:r>
              <w:rPr>
                <w:rFonts w:hint="eastAsia" w:ascii="宋体" w:hAnsi="宋体"/>
                <w:color w:val="auto"/>
              </w:rPr>
              <w:t>11</w:t>
            </w:r>
          </w:p>
        </w:tc>
        <w:tc>
          <w:tcPr>
            <w:tcW w:w="2988" w:type="pct"/>
            <w:vAlign w:val="center"/>
          </w:tcPr>
          <w:p w14:paraId="73F418A2">
            <w:pPr>
              <w:spacing w:line="240" w:lineRule="exact"/>
              <w:rPr>
                <w:rFonts w:ascii="宋体" w:hAnsi="宋体"/>
                <w:color w:val="auto"/>
              </w:rPr>
            </w:pPr>
            <w:r>
              <w:rPr>
                <w:rFonts w:ascii="宋体" w:hAnsi="宋体"/>
                <w:color w:val="auto"/>
              </w:rPr>
              <w:t>加油加气加氢站的变</w:t>
            </w:r>
            <w:r>
              <w:rPr>
                <w:rFonts w:hint="eastAsia" w:ascii="宋体" w:hAnsi="宋体"/>
                <w:color w:val="auto"/>
              </w:rPr>
              <w:t>配发电间</w:t>
            </w:r>
            <w:r>
              <w:rPr>
                <w:rFonts w:ascii="宋体" w:hAnsi="宋体"/>
                <w:color w:val="auto"/>
              </w:rPr>
              <w:t>或室外变压器应布置在作业区之外。变</w:t>
            </w:r>
            <w:r>
              <w:rPr>
                <w:rFonts w:hint="eastAsia" w:ascii="宋体" w:hAnsi="宋体"/>
                <w:color w:val="auto"/>
              </w:rPr>
              <w:t>配发电间</w:t>
            </w:r>
            <w:r>
              <w:rPr>
                <w:rFonts w:ascii="宋体" w:hAnsi="宋体"/>
                <w:color w:val="auto"/>
              </w:rPr>
              <w:t>的起算点应为门窗等洞口。</w:t>
            </w:r>
          </w:p>
        </w:tc>
        <w:tc>
          <w:tcPr>
            <w:tcW w:w="439" w:type="pct"/>
            <w:vAlign w:val="center"/>
          </w:tcPr>
          <w:p w14:paraId="1D320CBD">
            <w:pPr>
              <w:spacing w:line="240" w:lineRule="exact"/>
              <w:rPr>
                <w:rFonts w:ascii="宋体" w:hAnsi="宋体"/>
                <w:color w:val="auto"/>
              </w:rPr>
            </w:pPr>
            <w:r>
              <w:rPr>
                <w:rFonts w:hint="eastAsia" w:ascii="宋体" w:hAnsi="宋体"/>
                <w:color w:val="auto"/>
              </w:rPr>
              <w:t>5.0.8</w:t>
            </w:r>
          </w:p>
        </w:tc>
        <w:tc>
          <w:tcPr>
            <w:tcW w:w="1125" w:type="pct"/>
            <w:vAlign w:val="center"/>
          </w:tcPr>
          <w:p w14:paraId="5E3F0C7C">
            <w:pPr>
              <w:spacing w:line="240" w:lineRule="exact"/>
              <w:rPr>
                <w:rFonts w:ascii="宋体" w:hAnsi="宋体"/>
                <w:color w:val="auto"/>
              </w:rPr>
            </w:pPr>
            <w:r>
              <w:rPr>
                <w:rFonts w:hint="eastAsia" w:ascii="宋体" w:hAnsi="宋体"/>
                <w:color w:val="auto"/>
              </w:rPr>
              <w:t>配电间布置在作业区外</w:t>
            </w:r>
          </w:p>
        </w:tc>
        <w:tc>
          <w:tcPr>
            <w:tcW w:w="223" w:type="pct"/>
            <w:vAlign w:val="center"/>
          </w:tcPr>
          <w:p w14:paraId="2465637E">
            <w:pPr>
              <w:spacing w:line="240" w:lineRule="exact"/>
              <w:jc w:val="center"/>
              <w:rPr>
                <w:rFonts w:ascii="宋体" w:hAnsi="宋体"/>
                <w:color w:val="auto"/>
              </w:rPr>
            </w:pPr>
            <w:r>
              <w:rPr>
                <w:rFonts w:hint="eastAsia" w:ascii="宋体" w:hAnsi="宋体"/>
                <w:color w:val="auto"/>
              </w:rPr>
              <w:t>符合</w:t>
            </w:r>
          </w:p>
        </w:tc>
      </w:tr>
      <w:tr w14:paraId="245A5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0D693B51">
            <w:pPr>
              <w:spacing w:line="240" w:lineRule="exact"/>
              <w:rPr>
                <w:rFonts w:ascii="宋体" w:hAnsi="宋体"/>
                <w:color w:val="auto"/>
              </w:rPr>
            </w:pPr>
            <w:r>
              <w:rPr>
                <w:rFonts w:hint="eastAsia" w:ascii="宋体" w:hAnsi="宋体"/>
                <w:color w:val="auto"/>
              </w:rPr>
              <w:t>12</w:t>
            </w:r>
          </w:p>
        </w:tc>
        <w:tc>
          <w:tcPr>
            <w:tcW w:w="2988" w:type="pct"/>
            <w:vAlign w:val="center"/>
          </w:tcPr>
          <w:p w14:paraId="66021A7E">
            <w:pPr>
              <w:spacing w:line="240" w:lineRule="exact"/>
              <w:rPr>
                <w:rFonts w:ascii="宋体" w:hAnsi="宋体"/>
                <w:color w:val="auto"/>
              </w:rPr>
            </w:pPr>
            <w:r>
              <w:rPr>
                <w:rFonts w:ascii="宋体" w:hAnsi="宋体"/>
                <w:color w:val="auto"/>
              </w:rPr>
              <w:t>站房不应布置在爆炸危险区域。站房部分位于作业区内时，建筑面积等应符合本标准第14.2.10条的规</w:t>
            </w:r>
          </w:p>
        </w:tc>
        <w:tc>
          <w:tcPr>
            <w:tcW w:w="439" w:type="pct"/>
            <w:vAlign w:val="center"/>
          </w:tcPr>
          <w:p w14:paraId="4E6BED8C">
            <w:pPr>
              <w:spacing w:line="240" w:lineRule="exact"/>
              <w:rPr>
                <w:rFonts w:ascii="宋体" w:hAnsi="宋体"/>
                <w:color w:val="auto"/>
              </w:rPr>
            </w:pPr>
            <w:r>
              <w:rPr>
                <w:rFonts w:hint="eastAsia" w:ascii="宋体" w:hAnsi="宋体"/>
                <w:color w:val="auto"/>
              </w:rPr>
              <w:t>5.0.9</w:t>
            </w:r>
          </w:p>
        </w:tc>
        <w:tc>
          <w:tcPr>
            <w:tcW w:w="1125" w:type="pct"/>
            <w:vAlign w:val="center"/>
          </w:tcPr>
          <w:p w14:paraId="47C1715F">
            <w:pPr>
              <w:spacing w:line="240" w:lineRule="exact"/>
              <w:rPr>
                <w:rFonts w:ascii="宋体" w:hAnsi="宋体"/>
                <w:color w:val="auto"/>
              </w:rPr>
            </w:pPr>
            <w:r>
              <w:rPr>
                <w:rFonts w:ascii="宋体" w:hAnsi="宋体"/>
                <w:color w:val="auto"/>
              </w:rPr>
              <w:t>站房</w:t>
            </w:r>
            <w:r>
              <w:rPr>
                <w:rFonts w:hint="eastAsia" w:ascii="宋体" w:hAnsi="宋体"/>
                <w:color w:val="auto"/>
              </w:rPr>
              <w:t>未</w:t>
            </w:r>
            <w:r>
              <w:rPr>
                <w:rFonts w:ascii="宋体" w:hAnsi="宋体"/>
                <w:color w:val="auto"/>
              </w:rPr>
              <w:t>布置在爆炸危险区域</w:t>
            </w:r>
          </w:p>
        </w:tc>
        <w:tc>
          <w:tcPr>
            <w:tcW w:w="223" w:type="pct"/>
            <w:vAlign w:val="center"/>
          </w:tcPr>
          <w:p w14:paraId="427D9F3E">
            <w:pPr>
              <w:spacing w:line="240" w:lineRule="exact"/>
              <w:jc w:val="center"/>
              <w:rPr>
                <w:rFonts w:ascii="宋体" w:hAnsi="宋体"/>
                <w:color w:val="auto"/>
              </w:rPr>
            </w:pPr>
            <w:r>
              <w:rPr>
                <w:rFonts w:hint="eastAsia" w:ascii="宋体" w:hAnsi="宋体"/>
                <w:color w:val="auto"/>
              </w:rPr>
              <w:t>符合</w:t>
            </w:r>
          </w:p>
        </w:tc>
      </w:tr>
      <w:tr w14:paraId="3A6F26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FE6C130">
            <w:pPr>
              <w:spacing w:line="240" w:lineRule="exact"/>
              <w:rPr>
                <w:rFonts w:ascii="宋体" w:hAnsi="宋体"/>
                <w:color w:val="auto"/>
              </w:rPr>
            </w:pPr>
            <w:r>
              <w:rPr>
                <w:rFonts w:hint="eastAsia" w:ascii="宋体" w:hAnsi="宋体"/>
                <w:color w:val="auto"/>
              </w:rPr>
              <w:t>13</w:t>
            </w:r>
          </w:p>
        </w:tc>
        <w:tc>
          <w:tcPr>
            <w:tcW w:w="2988" w:type="pct"/>
            <w:vAlign w:val="center"/>
          </w:tcPr>
          <w:p w14:paraId="16ADAE93">
            <w:pPr>
              <w:spacing w:line="240" w:lineRule="exact"/>
              <w:rPr>
                <w:rFonts w:ascii="宋体" w:hAnsi="宋体"/>
                <w:color w:val="auto"/>
              </w:rPr>
            </w:pPr>
            <w:r>
              <w:rPr>
                <w:rFonts w:ascii="宋体" w:hAnsi="宋体"/>
                <w:color w:val="auto"/>
                <w:spacing w:val="-6"/>
              </w:rPr>
              <w:t>当汽车加油加气加氢站内设置非油品业务建筑物或设施时，不应布置在作业区内，与站内可燃液体或可燃气体设备的防火间距，应符合本标准第4.04条</w:t>
            </w:r>
            <w:r>
              <w:rPr>
                <w:rFonts w:hint="eastAsia" w:ascii="宋体" w:hAnsi="宋体"/>
                <w:color w:val="auto"/>
                <w:spacing w:val="-6"/>
                <w:lang w:eastAsia="zh-CN"/>
              </w:rPr>
              <w:t>～</w:t>
            </w:r>
            <w:r>
              <w:rPr>
                <w:rFonts w:ascii="宋体" w:hAnsi="宋体"/>
                <w:color w:val="auto"/>
                <w:spacing w:val="-6"/>
              </w:rPr>
              <w:t>第4.0.8条有关三类保护物的规定。当站内经营性餐饮、汽车服务、司机休息室等设施内设置明火设备时，应等同于“明火地点”或“散发火花地点”</w:t>
            </w:r>
            <w:r>
              <w:rPr>
                <w:rFonts w:ascii="宋体" w:hAnsi="宋体"/>
                <w:color w:val="auto"/>
              </w:rPr>
              <w:t>。</w:t>
            </w:r>
          </w:p>
        </w:tc>
        <w:tc>
          <w:tcPr>
            <w:tcW w:w="439" w:type="pct"/>
            <w:vAlign w:val="center"/>
          </w:tcPr>
          <w:p w14:paraId="220AF7E1">
            <w:pPr>
              <w:spacing w:line="240" w:lineRule="exact"/>
              <w:rPr>
                <w:rFonts w:ascii="宋体" w:hAnsi="宋体"/>
                <w:color w:val="auto"/>
              </w:rPr>
            </w:pPr>
            <w:r>
              <w:rPr>
                <w:rFonts w:hint="eastAsia" w:ascii="宋体" w:hAnsi="宋体"/>
                <w:color w:val="auto"/>
              </w:rPr>
              <w:t>5.0.10</w:t>
            </w:r>
          </w:p>
        </w:tc>
        <w:tc>
          <w:tcPr>
            <w:tcW w:w="1125" w:type="pct"/>
            <w:vAlign w:val="center"/>
          </w:tcPr>
          <w:p w14:paraId="43C3E7AD">
            <w:pPr>
              <w:spacing w:line="240" w:lineRule="exact"/>
              <w:rPr>
                <w:rFonts w:ascii="宋体" w:hAnsi="宋体"/>
                <w:color w:val="auto"/>
              </w:rPr>
            </w:pPr>
            <w:r>
              <w:rPr>
                <w:rFonts w:hint="eastAsia" w:ascii="宋体" w:hAnsi="宋体"/>
                <w:color w:val="auto"/>
              </w:rPr>
              <w:t>厕所等不在作业区内，</w:t>
            </w:r>
            <w:r>
              <w:rPr>
                <w:rFonts w:ascii="宋体" w:hAnsi="宋体"/>
                <w:color w:val="auto"/>
              </w:rPr>
              <w:t>防火间距</w:t>
            </w:r>
            <w:r>
              <w:rPr>
                <w:rFonts w:hint="eastAsia" w:ascii="宋体" w:hAnsi="宋体"/>
                <w:color w:val="auto"/>
              </w:rPr>
              <w:t>满足要求</w:t>
            </w:r>
          </w:p>
        </w:tc>
        <w:tc>
          <w:tcPr>
            <w:tcW w:w="223" w:type="pct"/>
            <w:vAlign w:val="center"/>
          </w:tcPr>
          <w:p w14:paraId="56DC304D">
            <w:pPr>
              <w:spacing w:line="240" w:lineRule="exact"/>
              <w:jc w:val="center"/>
              <w:rPr>
                <w:rFonts w:ascii="宋体" w:hAnsi="宋体"/>
                <w:color w:val="auto"/>
              </w:rPr>
            </w:pPr>
            <w:r>
              <w:rPr>
                <w:rFonts w:hint="eastAsia" w:ascii="宋体" w:hAnsi="宋体"/>
                <w:color w:val="auto"/>
              </w:rPr>
              <w:t>符合</w:t>
            </w:r>
          </w:p>
        </w:tc>
      </w:tr>
      <w:tr w14:paraId="1B3C4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7083017B">
            <w:pPr>
              <w:spacing w:line="240" w:lineRule="exact"/>
              <w:rPr>
                <w:rFonts w:ascii="宋体" w:hAnsi="宋体"/>
                <w:color w:val="auto"/>
              </w:rPr>
            </w:pPr>
            <w:r>
              <w:rPr>
                <w:rFonts w:hint="eastAsia" w:ascii="宋体" w:hAnsi="宋体"/>
                <w:color w:val="auto"/>
              </w:rPr>
              <w:t>14</w:t>
            </w:r>
          </w:p>
        </w:tc>
        <w:tc>
          <w:tcPr>
            <w:tcW w:w="2988" w:type="pct"/>
            <w:vAlign w:val="center"/>
          </w:tcPr>
          <w:p w14:paraId="7C8FEC70">
            <w:pPr>
              <w:spacing w:line="240" w:lineRule="exact"/>
              <w:rPr>
                <w:rFonts w:ascii="宋体" w:hAnsi="宋体"/>
                <w:color w:val="auto"/>
              </w:rPr>
            </w:pPr>
            <w:r>
              <w:rPr>
                <w:rFonts w:ascii="宋体" w:hAnsi="宋体"/>
                <w:color w:val="auto"/>
              </w:rPr>
              <w:t>汽车加油加气加氢站内的爆炸危险区域，不应超出站区围墙和可用地界线</w:t>
            </w:r>
            <w:r>
              <w:rPr>
                <w:rFonts w:hint="eastAsia" w:ascii="宋体" w:hAnsi="宋体"/>
                <w:color w:val="auto"/>
              </w:rPr>
              <w:t>。</w:t>
            </w:r>
          </w:p>
        </w:tc>
        <w:tc>
          <w:tcPr>
            <w:tcW w:w="439" w:type="pct"/>
            <w:vAlign w:val="center"/>
          </w:tcPr>
          <w:p w14:paraId="172407C9">
            <w:pPr>
              <w:spacing w:line="240" w:lineRule="exact"/>
              <w:rPr>
                <w:rFonts w:ascii="宋体" w:hAnsi="宋体"/>
                <w:color w:val="auto"/>
              </w:rPr>
            </w:pPr>
            <w:r>
              <w:rPr>
                <w:rFonts w:hint="eastAsia" w:ascii="宋体" w:hAnsi="宋体"/>
                <w:color w:val="auto"/>
              </w:rPr>
              <w:t>5.0.11</w:t>
            </w:r>
          </w:p>
        </w:tc>
        <w:tc>
          <w:tcPr>
            <w:tcW w:w="1125" w:type="pct"/>
            <w:vAlign w:val="center"/>
          </w:tcPr>
          <w:p w14:paraId="7086B42D">
            <w:pPr>
              <w:spacing w:line="240" w:lineRule="exact"/>
              <w:rPr>
                <w:rFonts w:ascii="宋体" w:hAnsi="宋体"/>
                <w:color w:val="auto"/>
              </w:rPr>
            </w:pPr>
            <w:r>
              <w:rPr>
                <w:rFonts w:ascii="宋体" w:hAnsi="宋体"/>
                <w:color w:val="auto"/>
                <w:spacing w:val="-11"/>
              </w:rPr>
              <w:t>爆炸危险区域</w:t>
            </w:r>
            <w:r>
              <w:rPr>
                <w:rFonts w:hint="eastAsia" w:ascii="宋体" w:hAnsi="宋体"/>
                <w:color w:val="auto"/>
                <w:spacing w:val="-11"/>
              </w:rPr>
              <w:t>未</w:t>
            </w:r>
            <w:r>
              <w:rPr>
                <w:rFonts w:ascii="宋体" w:hAnsi="宋体"/>
                <w:color w:val="auto"/>
                <w:spacing w:val="-11"/>
              </w:rPr>
              <w:t>超出站区围墙和可用地界线</w:t>
            </w:r>
          </w:p>
        </w:tc>
        <w:tc>
          <w:tcPr>
            <w:tcW w:w="223" w:type="pct"/>
            <w:vAlign w:val="center"/>
          </w:tcPr>
          <w:p w14:paraId="2BAEDDED">
            <w:pPr>
              <w:spacing w:line="240" w:lineRule="exact"/>
              <w:jc w:val="center"/>
              <w:rPr>
                <w:rFonts w:ascii="宋体" w:hAnsi="宋体"/>
                <w:color w:val="auto"/>
              </w:rPr>
            </w:pPr>
            <w:r>
              <w:rPr>
                <w:rFonts w:hint="eastAsia" w:ascii="宋体" w:hAnsi="宋体"/>
                <w:color w:val="auto"/>
              </w:rPr>
              <w:t>符合</w:t>
            </w:r>
          </w:p>
        </w:tc>
      </w:tr>
      <w:tr w14:paraId="27C39C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93653F9">
            <w:pPr>
              <w:spacing w:line="240" w:lineRule="exact"/>
              <w:rPr>
                <w:rFonts w:ascii="宋体" w:hAnsi="宋体"/>
                <w:color w:val="auto"/>
              </w:rPr>
            </w:pPr>
            <w:r>
              <w:rPr>
                <w:rFonts w:hint="eastAsia" w:ascii="宋体" w:hAnsi="宋体"/>
                <w:color w:val="auto"/>
              </w:rPr>
              <w:t>15</w:t>
            </w:r>
          </w:p>
        </w:tc>
        <w:tc>
          <w:tcPr>
            <w:tcW w:w="2988" w:type="pct"/>
            <w:vAlign w:val="center"/>
          </w:tcPr>
          <w:p w14:paraId="426CC00C">
            <w:pPr>
              <w:spacing w:line="240" w:lineRule="exact"/>
              <w:rPr>
                <w:rFonts w:ascii="宋体" w:hAnsi="宋体"/>
                <w:color w:val="auto"/>
              </w:rPr>
            </w:pPr>
            <w:r>
              <w:rPr>
                <w:rFonts w:ascii="宋体" w:hAnsi="宋体"/>
                <w:color w:val="auto"/>
              </w:rPr>
              <w:t>汽车加油加气加氢站的工艺设备与站外建（构）筑物之间，</w:t>
            </w:r>
            <w:r>
              <w:rPr>
                <w:rFonts w:ascii="宋体" w:hAnsi="宋体"/>
                <w:bCs/>
                <w:color w:val="auto"/>
              </w:rPr>
              <w:t>宜</w:t>
            </w:r>
            <w:r>
              <w:rPr>
                <w:rFonts w:ascii="宋体" w:hAnsi="宋体"/>
                <w:color w:val="auto"/>
              </w:rPr>
              <w:t>设置不燃烧体实体围墙，围墙高度相对于站内和站外地坪均不宜低于2</w:t>
            </w:r>
            <w:r>
              <w:rPr>
                <w:rFonts w:hint="eastAsia" w:ascii="宋体" w:hAnsi="宋体"/>
                <w:color w:val="auto"/>
              </w:rPr>
              <w:t>.</w:t>
            </w:r>
            <w:r>
              <w:rPr>
                <w:rFonts w:ascii="宋体" w:hAnsi="宋体"/>
                <w:color w:val="auto"/>
              </w:rPr>
              <w:t>2m。当汽车加油加气加氢站的工艺设备与站外建（构）筑物之间的距离大于本标准表4.0.4</w:t>
            </w:r>
            <w:r>
              <w:rPr>
                <w:rFonts w:hint="eastAsia" w:ascii="宋体" w:hAnsi="宋体"/>
                <w:color w:val="auto"/>
                <w:lang w:eastAsia="zh-CN"/>
              </w:rPr>
              <w:t>～</w:t>
            </w:r>
            <w:r>
              <w:rPr>
                <w:rFonts w:ascii="宋体" w:hAnsi="宋体"/>
                <w:color w:val="auto"/>
              </w:rPr>
              <w:t>表4.0.8中安全间距的1.5倍，且大于25m时，可设置非实体围墙。面向车辆入口和出口道路的一侧可设非实体围墙或不设围墙。与站区</w:t>
            </w:r>
            <w:r>
              <w:rPr>
                <w:rFonts w:hint="eastAsia" w:ascii="宋体" w:hAnsi="宋体"/>
                <w:color w:val="auto"/>
              </w:rPr>
              <w:t>相</w:t>
            </w:r>
            <w:r>
              <w:rPr>
                <w:rFonts w:ascii="宋体" w:hAnsi="宋体"/>
                <w:color w:val="auto"/>
              </w:rPr>
              <w:t>毗邻的一、二级耐火等级的站外建（构）筑物，其面向加油加气加氢站侧无门、窗、孔洞的外墙，可视为站区实体围墙的一部分，但站内工艺设备与其的安全距离应符合本标准表4.0.4</w:t>
            </w:r>
            <w:r>
              <w:rPr>
                <w:rFonts w:hint="eastAsia" w:ascii="宋体" w:hAnsi="宋体"/>
                <w:color w:val="auto"/>
              </w:rPr>
              <w:t>～</w:t>
            </w:r>
            <w:r>
              <w:rPr>
                <w:rFonts w:ascii="宋体" w:hAnsi="宋体"/>
                <w:color w:val="auto"/>
              </w:rPr>
              <w:t>表4.0.8的相关规定。</w:t>
            </w:r>
          </w:p>
        </w:tc>
        <w:tc>
          <w:tcPr>
            <w:tcW w:w="439" w:type="pct"/>
            <w:vAlign w:val="center"/>
          </w:tcPr>
          <w:p w14:paraId="779B4E2D">
            <w:pPr>
              <w:spacing w:line="240" w:lineRule="exact"/>
              <w:rPr>
                <w:rFonts w:ascii="宋体" w:hAnsi="宋体"/>
                <w:color w:val="auto"/>
              </w:rPr>
            </w:pPr>
            <w:r>
              <w:rPr>
                <w:rFonts w:hint="eastAsia" w:ascii="宋体" w:hAnsi="宋体"/>
                <w:color w:val="auto"/>
              </w:rPr>
              <w:t>5.0.12</w:t>
            </w:r>
          </w:p>
        </w:tc>
        <w:tc>
          <w:tcPr>
            <w:tcW w:w="1125" w:type="pct"/>
            <w:vAlign w:val="center"/>
          </w:tcPr>
          <w:p w14:paraId="541E5C8A">
            <w:pPr>
              <w:spacing w:line="240" w:lineRule="exact"/>
              <w:rPr>
                <w:rFonts w:ascii="宋体" w:hAnsi="宋体"/>
                <w:color w:val="auto"/>
              </w:rPr>
            </w:pPr>
            <w:r>
              <w:rPr>
                <w:rFonts w:ascii="宋体" w:hAnsi="宋体"/>
                <w:color w:val="auto"/>
              </w:rPr>
              <w:t>与站外建（构）筑物之间</w:t>
            </w:r>
            <w:r>
              <w:rPr>
                <w:rFonts w:hint="eastAsia" w:ascii="宋体" w:hAnsi="宋体"/>
                <w:color w:val="auto"/>
              </w:rPr>
              <w:t>建有</w:t>
            </w:r>
            <w:r>
              <w:rPr>
                <w:rFonts w:ascii="宋体" w:hAnsi="宋体"/>
                <w:color w:val="auto"/>
              </w:rPr>
              <w:t>不燃烧体实体围墙</w:t>
            </w:r>
          </w:p>
        </w:tc>
        <w:tc>
          <w:tcPr>
            <w:tcW w:w="223" w:type="pct"/>
            <w:vAlign w:val="center"/>
          </w:tcPr>
          <w:p w14:paraId="454AF834">
            <w:pPr>
              <w:spacing w:line="240" w:lineRule="exact"/>
              <w:jc w:val="center"/>
              <w:rPr>
                <w:rFonts w:ascii="宋体" w:hAnsi="宋体"/>
                <w:color w:val="auto"/>
              </w:rPr>
            </w:pPr>
            <w:r>
              <w:rPr>
                <w:rFonts w:hint="eastAsia" w:ascii="宋体" w:hAnsi="宋体"/>
                <w:color w:val="auto"/>
              </w:rPr>
              <w:t>符合</w:t>
            </w:r>
          </w:p>
        </w:tc>
      </w:tr>
      <w:tr w14:paraId="1DE875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30623320">
            <w:pPr>
              <w:spacing w:line="240" w:lineRule="exact"/>
              <w:rPr>
                <w:rFonts w:ascii="宋体" w:hAnsi="宋体"/>
                <w:color w:val="auto"/>
              </w:rPr>
            </w:pPr>
            <w:r>
              <w:rPr>
                <w:rFonts w:hint="eastAsia" w:ascii="宋体" w:hAnsi="宋体"/>
                <w:color w:val="auto"/>
              </w:rPr>
              <w:t>16</w:t>
            </w:r>
          </w:p>
        </w:tc>
        <w:tc>
          <w:tcPr>
            <w:tcW w:w="2988" w:type="pct"/>
            <w:vAlign w:val="center"/>
          </w:tcPr>
          <w:p w14:paraId="2C9A59E4">
            <w:pPr>
              <w:spacing w:line="240" w:lineRule="exact"/>
              <w:rPr>
                <w:rFonts w:ascii="宋体" w:hAnsi="宋体"/>
                <w:color w:val="auto"/>
              </w:rPr>
            </w:pPr>
            <w:r>
              <w:rPr>
                <w:rStyle w:val="28"/>
                <w:rFonts w:ascii="Arial" w:hAnsi="Arial" w:cs="Arial"/>
                <w:color w:val="auto"/>
                <w:shd w:val="clear" w:color="auto" w:fill="FFFFFF"/>
              </w:rPr>
              <w:t>加油加气站站内设施的防火间距不应小于表5.0.13-1和表5.0.13-2的规定。</w:t>
            </w:r>
          </w:p>
        </w:tc>
        <w:tc>
          <w:tcPr>
            <w:tcW w:w="439" w:type="pct"/>
            <w:vAlign w:val="center"/>
          </w:tcPr>
          <w:p w14:paraId="2483F4EA">
            <w:pPr>
              <w:spacing w:line="240" w:lineRule="exact"/>
              <w:rPr>
                <w:rFonts w:ascii="宋体" w:hAnsi="宋体"/>
                <w:color w:val="auto"/>
              </w:rPr>
            </w:pPr>
            <w:r>
              <w:rPr>
                <w:rFonts w:hint="eastAsia" w:ascii="宋体" w:hAnsi="宋体"/>
                <w:color w:val="auto"/>
              </w:rPr>
              <w:t>5.0.13</w:t>
            </w:r>
          </w:p>
        </w:tc>
        <w:tc>
          <w:tcPr>
            <w:tcW w:w="1125" w:type="pct"/>
            <w:vAlign w:val="center"/>
          </w:tcPr>
          <w:p w14:paraId="585FA78F">
            <w:pPr>
              <w:spacing w:line="240" w:lineRule="exact"/>
              <w:rPr>
                <w:rFonts w:ascii="宋体" w:hAnsi="宋体"/>
                <w:color w:val="auto"/>
              </w:rPr>
            </w:pPr>
            <w:r>
              <w:rPr>
                <w:rFonts w:hint="eastAsia" w:ascii="宋体" w:hAnsi="宋体"/>
                <w:color w:val="auto"/>
              </w:rPr>
              <w:t>详见表5.5-2站内设施之间的防火间距表</w:t>
            </w:r>
          </w:p>
        </w:tc>
        <w:tc>
          <w:tcPr>
            <w:tcW w:w="223" w:type="pct"/>
            <w:vAlign w:val="center"/>
          </w:tcPr>
          <w:p w14:paraId="5BCE2E38">
            <w:pPr>
              <w:spacing w:line="240" w:lineRule="exact"/>
              <w:jc w:val="center"/>
              <w:rPr>
                <w:rFonts w:ascii="宋体" w:hAnsi="宋体"/>
                <w:color w:val="auto"/>
              </w:rPr>
            </w:pPr>
            <w:r>
              <w:rPr>
                <w:rFonts w:hint="eastAsia" w:ascii="宋体" w:hAnsi="宋体"/>
                <w:color w:val="auto"/>
              </w:rPr>
              <w:t>符合</w:t>
            </w:r>
          </w:p>
        </w:tc>
      </w:tr>
    </w:tbl>
    <w:p w14:paraId="01D33295">
      <w:pPr>
        <w:rPr>
          <w:rFonts w:hint="eastAsia" w:ascii="宋体" w:hAnsi="宋体"/>
          <w:color w:val="auto"/>
          <w:sz w:val="28"/>
          <w:szCs w:val="28"/>
        </w:rPr>
      </w:pPr>
      <w:r>
        <w:rPr>
          <w:rFonts w:hint="eastAsia" w:ascii="宋体" w:hAnsi="宋体"/>
          <w:color w:val="auto"/>
          <w:sz w:val="28"/>
          <w:szCs w:val="28"/>
        </w:rPr>
        <w:br w:type="page"/>
      </w:r>
    </w:p>
    <w:p w14:paraId="559BAD67">
      <w:pPr>
        <w:jc w:val="center"/>
        <w:rPr>
          <w:rFonts w:ascii="宋体" w:hAnsi="宋体"/>
          <w:color w:val="auto"/>
          <w:sz w:val="28"/>
          <w:szCs w:val="28"/>
        </w:rPr>
      </w:pPr>
      <w:r>
        <w:rPr>
          <w:rFonts w:hint="eastAsia" w:ascii="宋体" w:hAnsi="宋体"/>
          <w:color w:val="auto"/>
          <w:sz w:val="28"/>
          <w:szCs w:val="28"/>
        </w:rPr>
        <w:t>表5.5-2 站内设施之间的防火距离（m）</w:t>
      </w:r>
    </w:p>
    <w:tbl>
      <w:tblPr>
        <w:tblStyle w:val="25"/>
        <w:tblW w:w="513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67"/>
        <w:gridCol w:w="2189"/>
        <w:gridCol w:w="1371"/>
        <w:gridCol w:w="2228"/>
        <w:gridCol w:w="1876"/>
        <w:gridCol w:w="1117"/>
      </w:tblGrid>
      <w:tr w14:paraId="1D595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5" w:hRule="atLeast"/>
          <w:jc w:val="center"/>
        </w:trPr>
        <w:tc>
          <w:tcPr>
            <w:tcW w:w="303" w:type="pct"/>
            <w:vAlign w:val="center"/>
          </w:tcPr>
          <w:p w14:paraId="1F16212C">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序号</w:t>
            </w:r>
          </w:p>
        </w:tc>
        <w:tc>
          <w:tcPr>
            <w:tcW w:w="1170" w:type="pct"/>
            <w:vAlign w:val="center"/>
          </w:tcPr>
          <w:p w14:paraId="148F0A60">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设施名称</w:t>
            </w:r>
          </w:p>
        </w:tc>
        <w:tc>
          <w:tcPr>
            <w:tcW w:w="733" w:type="pct"/>
            <w:vAlign w:val="center"/>
          </w:tcPr>
          <w:p w14:paraId="626AF859">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相邻设施</w:t>
            </w:r>
          </w:p>
        </w:tc>
        <w:tc>
          <w:tcPr>
            <w:tcW w:w="1191" w:type="pct"/>
            <w:vAlign w:val="center"/>
          </w:tcPr>
          <w:p w14:paraId="19116701">
            <w:pPr>
              <w:jc w:val="center"/>
              <w:rPr>
                <w:rFonts w:ascii="Times New Roman" w:hAnsi="Times New Roman" w:cs="Times New Roman"/>
                <w:b/>
                <w:bCs/>
                <w:color w:val="auto"/>
              </w:rPr>
            </w:pPr>
            <w:r>
              <w:rPr>
                <w:rFonts w:ascii="Times New Roman" w:hAnsi="Times New Roman" w:cs="Times New Roman"/>
                <w:b/>
                <w:bCs/>
                <w:color w:val="auto"/>
              </w:rPr>
              <w:t>标准要求（m）</w:t>
            </w:r>
          </w:p>
        </w:tc>
        <w:tc>
          <w:tcPr>
            <w:tcW w:w="1003" w:type="pct"/>
            <w:vAlign w:val="center"/>
          </w:tcPr>
          <w:p w14:paraId="75701F0B">
            <w:pPr>
              <w:jc w:val="center"/>
              <w:rPr>
                <w:rFonts w:ascii="Times New Roman" w:hAnsi="Times New Roman" w:cs="Times New Roman"/>
                <w:b/>
                <w:bCs/>
                <w:color w:val="auto"/>
                <w:kern w:val="0"/>
              </w:rPr>
            </w:pPr>
            <w:r>
              <w:rPr>
                <w:rFonts w:ascii="Times New Roman" w:hAnsi="Times New Roman" w:cs="Times New Roman"/>
                <w:b/>
                <w:bCs/>
                <w:color w:val="auto"/>
                <w:kern w:val="0"/>
              </w:rPr>
              <w:t>检查记录（m）</w:t>
            </w:r>
          </w:p>
        </w:tc>
        <w:tc>
          <w:tcPr>
            <w:tcW w:w="597" w:type="pct"/>
            <w:shd w:val="clear" w:color="auto" w:fill="auto"/>
            <w:vAlign w:val="center"/>
          </w:tcPr>
          <w:p w14:paraId="0944E0D6">
            <w:pPr>
              <w:snapToGrid w:val="0"/>
              <w:jc w:val="center"/>
              <w:rPr>
                <w:rFonts w:ascii="Times New Roman" w:hAnsi="Times New Roman" w:eastAsia="宋体" w:cs="Times New Roman"/>
                <w:b/>
                <w:bCs/>
                <w:color w:val="auto"/>
                <w:kern w:val="2"/>
                <w:sz w:val="21"/>
                <w:szCs w:val="24"/>
                <w:lang w:val="en-US" w:eastAsia="zh-CN" w:bidi="ar-SA"/>
              </w:rPr>
            </w:pPr>
            <w:r>
              <w:rPr>
                <w:rFonts w:hint="eastAsia" w:ascii="Times New Roman" w:hAnsi="宋体"/>
                <w:b/>
                <w:color w:val="auto"/>
              </w:rPr>
              <w:t>符合情况</w:t>
            </w:r>
          </w:p>
        </w:tc>
      </w:tr>
      <w:tr w14:paraId="5F082F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303" w:type="pct"/>
            <w:vAlign w:val="center"/>
          </w:tcPr>
          <w:p w14:paraId="6E30A1B5">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659ABF0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733" w:type="pct"/>
            <w:vAlign w:val="center"/>
          </w:tcPr>
          <w:p w14:paraId="03D3ED9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1191" w:type="pct"/>
            <w:vAlign w:val="center"/>
          </w:tcPr>
          <w:p w14:paraId="0A908C4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0.5</w:t>
            </w:r>
          </w:p>
        </w:tc>
        <w:tc>
          <w:tcPr>
            <w:tcW w:w="1003" w:type="pct"/>
            <w:vAlign w:val="center"/>
          </w:tcPr>
          <w:p w14:paraId="10DBF11C">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0.5</w:t>
            </w:r>
          </w:p>
        </w:tc>
        <w:tc>
          <w:tcPr>
            <w:tcW w:w="597" w:type="pct"/>
            <w:shd w:val="clear" w:color="auto" w:fill="auto"/>
            <w:vAlign w:val="center"/>
          </w:tcPr>
          <w:p w14:paraId="32D6BE5B">
            <w:pPr>
              <w:snapToGrid w:val="0"/>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宋体"/>
                <w:color w:val="auto"/>
              </w:rPr>
              <w:t>符合</w:t>
            </w:r>
          </w:p>
        </w:tc>
      </w:tr>
      <w:tr w14:paraId="5A481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303" w:type="pct"/>
            <w:vAlign w:val="center"/>
          </w:tcPr>
          <w:p w14:paraId="60CEC37A">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0892DAB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733" w:type="pct"/>
            <w:vAlign w:val="center"/>
          </w:tcPr>
          <w:p w14:paraId="51F0EC4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1" w:type="pct"/>
            <w:vAlign w:val="center"/>
          </w:tcPr>
          <w:p w14:paraId="6A49144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4</w:t>
            </w:r>
          </w:p>
        </w:tc>
        <w:tc>
          <w:tcPr>
            <w:tcW w:w="1003" w:type="pct"/>
            <w:vAlign w:val="center"/>
          </w:tcPr>
          <w:p w14:paraId="3B4C2C71">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7.1</w:t>
            </w:r>
          </w:p>
        </w:tc>
        <w:tc>
          <w:tcPr>
            <w:tcW w:w="597" w:type="pct"/>
            <w:vAlign w:val="center"/>
          </w:tcPr>
          <w:p w14:paraId="4EB1E5B8">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AA689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303" w:type="pct"/>
            <w:vAlign w:val="center"/>
          </w:tcPr>
          <w:p w14:paraId="4720396A">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47427BF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733" w:type="pct"/>
            <w:vAlign w:val="center"/>
          </w:tcPr>
          <w:p w14:paraId="4A290BBF">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1" w:type="pct"/>
            <w:vAlign w:val="center"/>
          </w:tcPr>
          <w:p w14:paraId="64B5C94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3</w:t>
            </w:r>
          </w:p>
        </w:tc>
        <w:tc>
          <w:tcPr>
            <w:tcW w:w="1003" w:type="pct"/>
            <w:vAlign w:val="center"/>
          </w:tcPr>
          <w:p w14:paraId="6F6EDF39">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13.2</w:t>
            </w:r>
          </w:p>
        </w:tc>
        <w:tc>
          <w:tcPr>
            <w:tcW w:w="597" w:type="pct"/>
            <w:vAlign w:val="center"/>
          </w:tcPr>
          <w:p w14:paraId="5953B815">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B46A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303" w:type="pct"/>
            <w:vAlign w:val="center"/>
          </w:tcPr>
          <w:p w14:paraId="3945B7AA">
            <w:pPr>
              <w:numPr>
                <w:ilvl w:val="0"/>
                <w:numId w:val="6"/>
              </w:numPr>
              <w:autoSpaceDE w:val="0"/>
              <w:autoSpaceDN w:val="0"/>
              <w:ind w:left="0" w:firstLine="0"/>
              <w:jc w:val="center"/>
              <w:rPr>
                <w:rFonts w:ascii="Times New Roman" w:hAnsi="Times New Roman" w:cs="Times New Roman"/>
                <w:color w:val="auto"/>
                <w:kern w:val="0"/>
              </w:rPr>
            </w:pPr>
          </w:p>
        </w:tc>
        <w:tc>
          <w:tcPr>
            <w:tcW w:w="1170" w:type="pct"/>
            <w:shd w:val="clear" w:color="auto" w:fill="auto"/>
            <w:vAlign w:val="center"/>
          </w:tcPr>
          <w:p w14:paraId="03074AF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733" w:type="pct"/>
            <w:shd w:val="clear" w:color="auto" w:fill="auto"/>
            <w:vAlign w:val="center"/>
          </w:tcPr>
          <w:p w14:paraId="692A82B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91" w:type="pct"/>
            <w:shd w:val="clear" w:color="auto" w:fill="auto"/>
            <w:vAlign w:val="center"/>
          </w:tcPr>
          <w:p w14:paraId="2D78548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2</w:t>
            </w:r>
          </w:p>
        </w:tc>
        <w:tc>
          <w:tcPr>
            <w:tcW w:w="1003" w:type="pct"/>
            <w:vAlign w:val="center"/>
          </w:tcPr>
          <w:p w14:paraId="429A423A">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2.0</w:t>
            </w:r>
          </w:p>
        </w:tc>
        <w:tc>
          <w:tcPr>
            <w:tcW w:w="597" w:type="pct"/>
            <w:vAlign w:val="center"/>
          </w:tcPr>
          <w:p w14:paraId="469323E8">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479652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303" w:type="pct"/>
            <w:vAlign w:val="center"/>
          </w:tcPr>
          <w:p w14:paraId="45E17857">
            <w:pPr>
              <w:numPr>
                <w:ilvl w:val="0"/>
                <w:numId w:val="6"/>
              </w:numPr>
              <w:autoSpaceDE w:val="0"/>
              <w:autoSpaceDN w:val="0"/>
              <w:ind w:left="0" w:firstLine="0"/>
              <w:jc w:val="center"/>
              <w:rPr>
                <w:rFonts w:ascii="Times New Roman" w:hAnsi="Times New Roman" w:cs="Times New Roman"/>
                <w:color w:val="auto"/>
                <w:kern w:val="0"/>
              </w:rPr>
            </w:pPr>
          </w:p>
        </w:tc>
        <w:tc>
          <w:tcPr>
            <w:tcW w:w="1170" w:type="pct"/>
            <w:shd w:val="clear" w:color="auto" w:fill="auto"/>
            <w:vAlign w:val="center"/>
          </w:tcPr>
          <w:p w14:paraId="1229434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733" w:type="pct"/>
            <w:shd w:val="clear" w:color="auto" w:fill="auto"/>
            <w:vAlign w:val="center"/>
          </w:tcPr>
          <w:p w14:paraId="4568D711">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91" w:type="pct"/>
            <w:shd w:val="clear" w:color="auto" w:fill="auto"/>
            <w:vAlign w:val="center"/>
          </w:tcPr>
          <w:p w14:paraId="3A7C65C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2</w:t>
            </w:r>
          </w:p>
        </w:tc>
        <w:tc>
          <w:tcPr>
            <w:tcW w:w="1003" w:type="pct"/>
            <w:vAlign w:val="center"/>
          </w:tcPr>
          <w:p w14:paraId="0AF060C7">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2.2</w:t>
            </w:r>
          </w:p>
        </w:tc>
        <w:tc>
          <w:tcPr>
            <w:tcW w:w="597" w:type="pct"/>
            <w:vAlign w:val="center"/>
          </w:tcPr>
          <w:p w14:paraId="64F153BD">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1FB1C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303" w:type="pct"/>
            <w:vAlign w:val="center"/>
          </w:tcPr>
          <w:p w14:paraId="747EBFED">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78B61BE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733" w:type="pct"/>
            <w:vAlign w:val="center"/>
          </w:tcPr>
          <w:p w14:paraId="073F23B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1" w:type="pct"/>
            <w:vAlign w:val="center"/>
          </w:tcPr>
          <w:p w14:paraId="1CDCE2AC">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4</w:t>
            </w:r>
          </w:p>
        </w:tc>
        <w:tc>
          <w:tcPr>
            <w:tcW w:w="1003" w:type="pct"/>
            <w:vAlign w:val="center"/>
          </w:tcPr>
          <w:p w14:paraId="6F6E281C">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c>
          <w:tcPr>
            <w:tcW w:w="597" w:type="pct"/>
            <w:vAlign w:val="center"/>
          </w:tcPr>
          <w:p w14:paraId="4F9B70B9">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84DE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303" w:type="pct"/>
            <w:vAlign w:val="center"/>
          </w:tcPr>
          <w:p w14:paraId="490DEBA2">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6A61D03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733" w:type="pct"/>
            <w:vAlign w:val="center"/>
          </w:tcPr>
          <w:p w14:paraId="2D276F8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1" w:type="pct"/>
            <w:vAlign w:val="center"/>
          </w:tcPr>
          <w:p w14:paraId="10EBC8E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3.5</w:t>
            </w:r>
          </w:p>
        </w:tc>
        <w:tc>
          <w:tcPr>
            <w:tcW w:w="1003" w:type="pct"/>
            <w:vAlign w:val="center"/>
          </w:tcPr>
          <w:p w14:paraId="74A8D642">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c>
          <w:tcPr>
            <w:tcW w:w="597" w:type="pct"/>
            <w:vAlign w:val="center"/>
          </w:tcPr>
          <w:p w14:paraId="54F80930">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7E97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303" w:type="pct"/>
            <w:vAlign w:val="center"/>
          </w:tcPr>
          <w:p w14:paraId="4A8A0CFE">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2AB6CA4C">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733" w:type="pct"/>
            <w:vAlign w:val="center"/>
          </w:tcPr>
          <w:p w14:paraId="06B816A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191" w:type="pct"/>
            <w:vAlign w:val="center"/>
          </w:tcPr>
          <w:p w14:paraId="175F2F5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3</w:t>
            </w:r>
          </w:p>
        </w:tc>
        <w:tc>
          <w:tcPr>
            <w:tcW w:w="1003" w:type="pct"/>
            <w:vAlign w:val="center"/>
          </w:tcPr>
          <w:p w14:paraId="65689B0C">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20.8</w:t>
            </w:r>
          </w:p>
        </w:tc>
        <w:tc>
          <w:tcPr>
            <w:tcW w:w="597" w:type="pct"/>
            <w:vAlign w:val="center"/>
          </w:tcPr>
          <w:p w14:paraId="665637E7">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484D6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303" w:type="pct"/>
            <w:vAlign w:val="center"/>
          </w:tcPr>
          <w:p w14:paraId="619DD42F">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12D15EF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733" w:type="pct"/>
            <w:vAlign w:val="center"/>
          </w:tcPr>
          <w:p w14:paraId="702CD58F">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191" w:type="pct"/>
            <w:vAlign w:val="center"/>
          </w:tcPr>
          <w:p w14:paraId="39BE3DCC">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2</w:t>
            </w:r>
          </w:p>
        </w:tc>
        <w:tc>
          <w:tcPr>
            <w:tcW w:w="1003" w:type="pct"/>
            <w:vAlign w:val="center"/>
          </w:tcPr>
          <w:p w14:paraId="61A5F0A9">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20.8</w:t>
            </w:r>
          </w:p>
        </w:tc>
        <w:tc>
          <w:tcPr>
            <w:tcW w:w="597" w:type="pct"/>
            <w:vAlign w:val="center"/>
          </w:tcPr>
          <w:p w14:paraId="6586A42D">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3085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303" w:type="pct"/>
            <w:vAlign w:val="center"/>
          </w:tcPr>
          <w:p w14:paraId="091A30AD">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235FF03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733" w:type="pct"/>
            <w:vAlign w:val="center"/>
          </w:tcPr>
          <w:p w14:paraId="4AA27AD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91" w:type="pct"/>
            <w:vAlign w:val="center"/>
          </w:tcPr>
          <w:p w14:paraId="6EAFB84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2</w:t>
            </w:r>
          </w:p>
        </w:tc>
        <w:tc>
          <w:tcPr>
            <w:tcW w:w="1003" w:type="pct"/>
            <w:vAlign w:val="center"/>
          </w:tcPr>
          <w:p w14:paraId="5193D13D">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12.3</w:t>
            </w:r>
          </w:p>
        </w:tc>
        <w:tc>
          <w:tcPr>
            <w:tcW w:w="597" w:type="pct"/>
            <w:vAlign w:val="center"/>
          </w:tcPr>
          <w:p w14:paraId="6D05C9BE">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0446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303" w:type="pct"/>
            <w:vAlign w:val="center"/>
          </w:tcPr>
          <w:p w14:paraId="5BF8E542">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0F0E2E0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733" w:type="pct"/>
            <w:vAlign w:val="center"/>
          </w:tcPr>
          <w:p w14:paraId="444946C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91" w:type="pct"/>
            <w:vAlign w:val="center"/>
          </w:tcPr>
          <w:p w14:paraId="73FF2FBF">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2</w:t>
            </w:r>
          </w:p>
        </w:tc>
        <w:tc>
          <w:tcPr>
            <w:tcW w:w="1003" w:type="pct"/>
            <w:vAlign w:val="center"/>
          </w:tcPr>
          <w:p w14:paraId="55A1C76C">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12.3</w:t>
            </w:r>
          </w:p>
        </w:tc>
        <w:tc>
          <w:tcPr>
            <w:tcW w:w="597" w:type="pct"/>
            <w:vAlign w:val="center"/>
          </w:tcPr>
          <w:p w14:paraId="5114D6C9">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04829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303" w:type="pct"/>
            <w:vAlign w:val="center"/>
          </w:tcPr>
          <w:p w14:paraId="6FD1A514">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13861AF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汽油加油机</w:t>
            </w:r>
          </w:p>
        </w:tc>
        <w:tc>
          <w:tcPr>
            <w:tcW w:w="733" w:type="pct"/>
            <w:vAlign w:val="center"/>
          </w:tcPr>
          <w:p w14:paraId="042DEA0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1" w:type="pct"/>
            <w:vAlign w:val="center"/>
          </w:tcPr>
          <w:p w14:paraId="15D545A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5</w:t>
            </w:r>
          </w:p>
        </w:tc>
        <w:tc>
          <w:tcPr>
            <w:tcW w:w="1003" w:type="pct"/>
            <w:vAlign w:val="center"/>
          </w:tcPr>
          <w:p w14:paraId="2B72C7D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c>
          <w:tcPr>
            <w:tcW w:w="597" w:type="pct"/>
            <w:vAlign w:val="center"/>
          </w:tcPr>
          <w:p w14:paraId="2F412D4F">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5AF17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303" w:type="pct"/>
            <w:vAlign w:val="center"/>
          </w:tcPr>
          <w:p w14:paraId="72BAC0E7">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02A4371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柴油加油机</w:t>
            </w:r>
          </w:p>
        </w:tc>
        <w:tc>
          <w:tcPr>
            <w:tcW w:w="733" w:type="pct"/>
            <w:vAlign w:val="center"/>
          </w:tcPr>
          <w:p w14:paraId="0F9A01FC">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1" w:type="pct"/>
            <w:vAlign w:val="center"/>
          </w:tcPr>
          <w:p w14:paraId="37E6A64D">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4</w:t>
            </w:r>
          </w:p>
        </w:tc>
        <w:tc>
          <w:tcPr>
            <w:tcW w:w="1003" w:type="pct"/>
            <w:vAlign w:val="center"/>
          </w:tcPr>
          <w:p w14:paraId="07FB81B5">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c>
          <w:tcPr>
            <w:tcW w:w="597" w:type="pct"/>
            <w:vAlign w:val="center"/>
          </w:tcPr>
          <w:p w14:paraId="6C5B8751">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2BF8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303" w:type="pct"/>
            <w:vAlign w:val="center"/>
          </w:tcPr>
          <w:p w14:paraId="2F0F7986">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489C1D1F">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733" w:type="pct"/>
            <w:vAlign w:val="center"/>
          </w:tcPr>
          <w:p w14:paraId="12FE3D9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1" w:type="pct"/>
            <w:vAlign w:val="center"/>
          </w:tcPr>
          <w:p w14:paraId="4EF34F3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5</w:t>
            </w:r>
          </w:p>
        </w:tc>
        <w:tc>
          <w:tcPr>
            <w:tcW w:w="1003" w:type="pct"/>
            <w:vAlign w:val="center"/>
          </w:tcPr>
          <w:p w14:paraId="27AA9361">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23.1</w:t>
            </w:r>
          </w:p>
        </w:tc>
        <w:tc>
          <w:tcPr>
            <w:tcW w:w="597" w:type="pct"/>
            <w:vAlign w:val="center"/>
          </w:tcPr>
          <w:p w14:paraId="5F3DC2EB">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680E1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303" w:type="pct"/>
            <w:vAlign w:val="center"/>
          </w:tcPr>
          <w:p w14:paraId="04DB7F5D">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30BE67A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汽油埋地卧式油罐</w:t>
            </w:r>
          </w:p>
        </w:tc>
        <w:tc>
          <w:tcPr>
            <w:tcW w:w="733" w:type="pct"/>
            <w:vAlign w:val="center"/>
          </w:tcPr>
          <w:p w14:paraId="0A32637A">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91" w:type="pct"/>
            <w:vAlign w:val="center"/>
          </w:tcPr>
          <w:p w14:paraId="36DC3F7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4.5</w:t>
            </w:r>
          </w:p>
        </w:tc>
        <w:tc>
          <w:tcPr>
            <w:tcW w:w="1003" w:type="pct"/>
            <w:vAlign w:val="center"/>
          </w:tcPr>
          <w:p w14:paraId="0DCE936C">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25.1</w:t>
            </w:r>
          </w:p>
        </w:tc>
        <w:tc>
          <w:tcPr>
            <w:tcW w:w="597" w:type="pct"/>
            <w:vAlign w:val="center"/>
          </w:tcPr>
          <w:p w14:paraId="1C0C6FFD">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029E1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303" w:type="pct"/>
            <w:vAlign w:val="center"/>
          </w:tcPr>
          <w:p w14:paraId="1E9A2732">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42CC66C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733" w:type="pct"/>
            <w:vAlign w:val="center"/>
          </w:tcPr>
          <w:p w14:paraId="7B30A09F">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91" w:type="pct"/>
            <w:vAlign w:val="center"/>
          </w:tcPr>
          <w:p w14:paraId="27C96001">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5（有卸油油气回收）</w:t>
            </w:r>
          </w:p>
        </w:tc>
        <w:tc>
          <w:tcPr>
            <w:tcW w:w="1003" w:type="pct"/>
            <w:vAlign w:val="center"/>
          </w:tcPr>
          <w:p w14:paraId="7B9D4076">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20.5</w:t>
            </w:r>
          </w:p>
        </w:tc>
        <w:tc>
          <w:tcPr>
            <w:tcW w:w="597" w:type="pct"/>
            <w:vAlign w:val="center"/>
          </w:tcPr>
          <w:p w14:paraId="53836696">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A53E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303" w:type="pct"/>
            <w:vAlign w:val="center"/>
          </w:tcPr>
          <w:p w14:paraId="57D9EC43">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35279D6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汽油密闭卸油口</w:t>
            </w:r>
          </w:p>
        </w:tc>
        <w:tc>
          <w:tcPr>
            <w:tcW w:w="733" w:type="pct"/>
            <w:vAlign w:val="center"/>
          </w:tcPr>
          <w:p w14:paraId="0D69EC9A">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91" w:type="pct"/>
            <w:vAlign w:val="center"/>
          </w:tcPr>
          <w:p w14:paraId="137F38A6">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4.5</w:t>
            </w:r>
          </w:p>
        </w:tc>
        <w:tc>
          <w:tcPr>
            <w:tcW w:w="1003" w:type="pct"/>
            <w:vAlign w:val="center"/>
          </w:tcPr>
          <w:p w14:paraId="5B026C3C">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41.2</w:t>
            </w:r>
          </w:p>
        </w:tc>
        <w:tc>
          <w:tcPr>
            <w:tcW w:w="597" w:type="pct"/>
            <w:vAlign w:val="center"/>
          </w:tcPr>
          <w:p w14:paraId="70CD7DD6">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4B6A7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303" w:type="pct"/>
            <w:vAlign w:val="center"/>
          </w:tcPr>
          <w:p w14:paraId="472899B2">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1F5F07E0">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汽油</w:t>
            </w:r>
            <w:r>
              <w:rPr>
                <w:rFonts w:ascii="Times New Roman" w:hAnsi="Times New Roman" w:cs="Times New Roman"/>
                <w:color w:val="auto"/>
                <w:kern w:val="0"/>
              </w:rPr>
              <w:t>加油机</w:t>
            </w:r>
          </w:p>
        </w:tc>
        <w:tc>
          <w:tcPr>
            <w:tcW w:w="733" w:type="pct"/>
            <w:vAlign w:val="center"/>
          </w:tcPr>
          <w:p w14:paraId="3ADD471E">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91" w:type="pct"/>
            <w:vAlign w:val="center"/>
          </w:tcPr>
          <w:p w14:paraId="5BB2074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6</w:t>
            </w:r>
            <w:r>
              <w:rPr>
                <w:rFonts w:hint="eastAsia" w:ascii="Times New Roman" w:hAnsi="Times New Roman" w:cs="Times New Roman"/>
                <w:color w:val="auto"/>
                <w:kern w:val="0"/>
              </w:rPr>
              <w:t>（有卸油油气回收）</w:t>
            </w:r>
          </w:p>
        </w:tc>
        <w:tc>
          <w:tcPr>
            <w:tcW w:w="1003" w:type="pct"/>
            <w:vAlign w:val="center"/>
          </w:tcPr>
          <w:p w14:paraId="480567F3">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14.8</w:t>
            </w:r>
          </w:p>
        </w:tc>
        <w:tc>
          <w:tcPr>
            <w:tcW w:w="597" w:type="pct"/>
            <w:vAlign w:val="center"/>
          </w:tcPr>
          <w:p w14:paraId="17926D7A">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bl>
    <w:p w14:paraId="6D3955D8">
      <w:pPr>
        <w:spacing w:line="600" w:lineRule="exact"/>
        <w:ind w:firstLine="570"/>
        <w:rPr>
          <w:rFonts w:ascii="宋体" w:hAnsi="宋体"/>
          <w:color w:val="auto"/>
          <w:sz w:val="28"/>
          <w:szCs w:val="28"/>
        </w:rPr>
      </w:pPr>
      <w:r>
        <w:rPr>
          <w:rFonts w:ascii="宋体" w:hAnsi="宋体"/>
          <w:color w:val="auto"/>
          <w:sz w:val="28"/>
          <w:szCs w:val="28"/>
        </w:rPr>
        <w:t>评价结论：从上</w:t>
      </w:r>
      <w:r>
        <w:rPr>
          <w:rFonts w:hint="eastAsia" w:ascii="宋体" w:hAnsi="宋体"/>
          <w:color w:val="auto"/>
          <w:sz w:val="28"/>
          <w:szCs w:val="28"/>
        </w:rPr>
        <w:t>述检查</w:t>
      </w:r>
      <w:r>
        <w:rPr>
          <w:rFonts w:ascii="宋体" w:hAnsi="宋体"/>
          <w:color w:val="auto"/>
          <w:sz w:val="28"/>
          <w:szCs w:val="28"/>
        </w:rPr>
        <w:t>表可知</w:t>
      </w:r>
      <w:r>
        <w:rPr>
          <w:rFonts w:hint="eastAsia" w:ascii="宋体" w:hAnsi="宋体"/>
          <w:color w:val="auto"/>
          <w:sz w:val="28"/>
          <w:szCs w:val="28"/>
        </w:rPr>
        <w:t>，该加油站的站内平面布置、汽（柴）油设备与站外建（构）筑物的安全间距以及站内设施之间的防火距离均符合相关要求</w:t>
      </w:r>
      <w:r>
        <w:rPr>
          <w:rFonts w:ascii="宋体" w:hAnsi="宋体"/>
          <w:color w:val="auto"/>
          <w:sz w:val="28"/>
          <w:szCs w:val="28"/>
        </w:rPr>
        <w:t>。</w:t>
      </w:r>
    </w:p>
    <w:p w14:paraId="0BC13880">
      <w:pPr>
        <w:pStyle w:val="3"/>
        <w:jc w:val="center"/>
        <w:rPr>
          <w:rFonts w:ascii="宋体" w:hAnsi="宋体"/>
          <w:color w:val="auto"/>
          <w:sz w:val="30"/>
          <w:szCs w:val="30"/>
        </w:rPr>
      </w:pPr>
      <w:bookmarkStart w:id="169" w:name="_Toc4389"/>
      <w:bookmarkStart w:id="170" w:name="_Toc92712593"/>
      <w:bookmarkStart w:id="171" w:name="_Toc25228"/>
      <w:bookmarkStart w:id="172" w:name="_Toc1359"/>
      <w:r>
        <w:rPr>
          <w:rFonts w:hint="eastAsia" w:ascii="宋体" w:hAnsi="宋体"/>
          <w:color w:val="auto"/>
          <w:sz w:val="30"/>
          <w:szCs w:val="30"/>
        </w:rPr>
        <w:t>5.6 工艺及设施符合性评价</w:t>
      </w:r>
      <w:bookmarkEnd w:id="169"/>
      <w:bookmarkEnd w:id="170"/>
      <w:bookmarkEnd w:id="171"/>
      <w:bookmarkEnd w:id="172"/>
    </w:p>
    <w:p w14:paraId="13D24544">
      <w:pPr>
        <w:spacing w:line="600" w:lineRule="exact"/>
        <w:jc w:val="center"/>
        <w:rPr>
          <w:rFonts w:ascii="宋体" w:hAnsi="宋体"/>
          <w:color w:val="auto"/>
          <w:sz w:val="28"/>
          <w:szCs w:val="28"/>
        </w:rPr>
      </w:pPr>
      <w:r>
        <w:rPr>
          <w:rFonts w:hint="eastAsia" w:ascii="宋体" w:hAnsi="宋体"/>
          <w:color w:val="auto"/>
          <w:sz w:val="28"/>
          <w:szCs w:val="28"/>
        </w:rPr>
        <w:t>表5.6-1  加油站加油工艺及设施符合性评价</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0"/>
        <w:gridCol w:w="6216"/>
        <w:gridCol w:w="1702"/>
        <w:gridCol w:w="680"/>
      </w:tblGrid>
      <w:tr w14:paraId="2164C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0" w:hRule="atLeast"/>
          <w:tblHeader/>
        </w:trPr>
        <w:tc>
          <w:tcPr>
            <w:tcW w:w="372" w:type="pct"/>
            <w:vAlign w:val="center"/>
          </w:tcPr>
          <w:p w14:paraId="7D4E84B0">
            <w:pPr>
              <w:spacing w:line="280" w:lineRule="exact"/>
              <w:jc w:val="center"/>
              <w:rPr>
                <w:rFonts w:ascii="宋体" w:hAnsi="宋体"/>
                <w:b/>
                <w:color w:val="auto"/>
              </w:rPr>
            </w:pPr>
            <w:r>
              <w:rPr>
                <w:rFonts w:hint="eastAsia" w:ascii="宋体" w:hAnsi="宋体"/>
                <w:b/>
                <w:color w:val="auto"/>
              </w:rPr>
              <w:t>序号</w:t>
            </w:r>
          </w:p>
        </w:tc>
        <w:tc>
          <w:tcPr>
            <w:tcW w:w="3346" w:type="pct"/>
            <w:vAlign w:val="center"/>
          </w:tcPr>
          <w:p w14:paraId="3409C52D">
            <w:pPr>
              <w:spacing w:line="280" w:lineRule="exact"/>
              <w:jc w:val="center"/>
              <w:rPr>
                <w:rFonts w:ascii="宋体" w:hAnsi="宋体"/>
                <w:b/>
                <w:color w:val="auto"/>
              </w:rPr>
            </w:pPr>
            <w:r>
              <w:rPr>
                <w:rFonts w:ascii="宋体" w:hAnsi="宋体"/>
                <w:b/>
                <w:color w:val="auto"/>
              </w:rPr>
              <w:t>检查内容</w:t>
            </w:r>
          </w:p>
        </w:tc>
        <w:tc>
          <w:tcPr>
            <w:tcW w:w="916" w:type="pct"/>
            <w:vAlign w:val="center"/>
          </w:tcPr>
          <w:p w14:paraId="26D61986">
            <w:pPr>
              <w:spacing w:line="280" w:lineRule="exact"/>
              <w:jc w:val="center"/>
              <w:rPr>
                <w:rFonts w:ascii="宋体" w:hAnsi="宋体"/>
                <w:b/>
                <w:color w:val="auto"/>
              </w:rPr>
            </w:pPr>
            <w:r>
              <w:rPr>
                <w:rFonts w:ascii="宋体" w:hAnsi="宋体"/>
                <w:b/>
                <w:color w:val="auto"/>
              </w:rPr>
              <w:t>检查记录</w:t>
            </w:r>
          </w:p>
        </w:tc>
        <w:tc>
          <w:tcPr>
            <w:tcW w:w="364" w:type="pct"/>
            <w:vAlign w:val="center"/>
          </w:tcPr>
          <w:p w14:paraId="7E31164B">
            <w:pPr>
              <w:spacing w:line="280" w:lineRule="exact"/>
              <w:jc w:val="center"/>
              <w:rPr>
                <w:rFonts w:ascii="宋体" w:hAnsi="宋体"/>
                <w:b/>
                <w:color w:val="auto"/>
              </w:rPr>
            </w:pPr>
            <w:r>
              <w:rPr>
                <w:rFonts w:ascii="宋体" w:hAnsi="宋体"/>
                <w:b/>
                <w:color w:val="auto"/>
              </w:rPr>
              <w:t>结论</w:t>
            </w:r>
          </w:p>
        </w:tc>
      </w:tr>
      <w:tr w14:paraId="7A891B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5" w:hRule="atLeast"/>
        </w:trPr>
        <w:tc>
          <w:tcPr>
            <w:tcW w:w="5000" w:type="pct"/>
            <w:gridSpan w:val="4"/>
            <w:vAlign w:val="center"/>
          </w:tcPr>
          <w:p w14:paraId="29A9ECA4">
            <w:pPr>
              <w:spacing w:line="280" w:lineRule="exact"/>
              <w:rPr>
                <w:rFonts w:ascii="宋体" w:hAnsi="宋体"/>
                <w:color w:val="auto"/>
              </w:rPr>
            </w:pPr>
            <w:r>
              <w:rPr>
                <w:rFonts w:ascii="宋体" w:hAnsi="宋体"/>
                <w:b/>
                <w:color w:val="auto"/>
              </w:rPr>
              <w:t>油罐</w:t>
            </w:r>
          </w:p>
        </w:tc>
      </w:tr>
      <w:tr w14:paraId="4D19D2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5" w:hRule="atLeast"/>
        </w:trPr>
        <w:tc>
          <w:tcPr>
            <w:tcW w:w="372" w:type="pct"/>
            <w:vAlign w:val="center"/>
          </w:tcPr>
          <w:p w14:paraId="380BE07E">
            <w:pPr>
              <w:numPr>
                <w:ilvl w:val="0"/>
                <w:numId w:val="7"/>
              </w:numPr>
              <w:spacing w:line="280" w:lineRule="exact"/>
              <w:jc w:val="center"/>
              <w:rPr>
                <w:rFonts w:ascii="宋体" w:hAnsi="宋体"/>
                <w:color w:val="auto"/>
              </w:rPr>
            </w:pPr>
          </w:p>
        </w:tc>
        <w:tc>
          <w:tcPr>
            <w:tcW w:w="3346" w:type="pct"/>
            <w:vAlign w:val="center"/>
          </w:tcPr>
          <w:p w14:paraId="3B72547A">
            <w:pPr>
              <w:spacing w:line="280" w:lineRule="exact"/>
              <w:rPr>
                <w:rFonts w:ascii="宋体" w:hAnsi="宋体"/>
                <w:color w:val="auto"/>
              </w:rPr>
            </w:pPr>
            <w:r>
              <w:rPr>
                <w:rFonts w:ascii="宋体" w:hAnsi="宋体"/>
                <w:color w:val="auto"/>
              </w:rPr>
              <w:t>6.1.1除</w:t>
            </w:r>
            <w:r>
              <w:rPr>
                <w:rFonts w:hint="eastAsia" w:ascii="宋体" w:hAnsi="宋体"/>
                <w:color w:val="auto"/>
                <w:lang w:eastAsia="zh-CN"/>
              </w:rPr>
              <w:t>撬装式</w:t>
            </w:r>
            <w:r>
              <w:rPr>
                <w:rFonts w:ascii="宋体" w:hAnsi="宋体"/>
                <w:color w:val="auto"/>
              </w:rPr>
              <w:t>加油装置所配置的防火防爆油罐外，加油站的汽油罐和柴油罐应埋地设置，严禁设在室内或地下室内。</w:t>
            </w:r>
          </w:p>
        </w:tc>
        <w:tc>
          <w:tcPr>
            <w:tcW w:w="916" w:type="pct"/>
            <w:vAlign w:val="center"/>
          </w:tcPr>
          <w:p w14:paraId="6326887F">
            <w:pPr>
              <w:spacing w:line="280" w:lineRule="exact"/>
              <w:rPr>
                <w:rFonts w:ascii="宋体" w:hAnsi="宋体"/>
                <w:color w:val="auto"/>
              </w:rPr>
            </w:pPr>
            <w:r>
              <w:rPr>
                <w:rFonts w:hint="eastAsia" w:ascii="宋体" w:hAnsi="宋体"/>
                <w:color w:val="auto"/>
              </w:rPr>
              <w:t>埋地设置</w:t>
            </w:r>
          </w:p>
        </w:tc>
        <w:tc>
          <w:tcPr>
            <w:tcW w:w="364" w:type="pct"/>
            <w:vAlign w:val="center"/>
          </w:tcPr>
          <w:p w14:paraId="6510565E">
            <w:pPr>
              <w:spacing w:line="280" w:lineRule="exact"/>
              <w:rPr>
                <w:rFonts w:ascii="宋体" w:hAnsi="宋体"/>
                <w:color w:val="auto"/>
              </w:rPr>
            </w:pPr>
            <w:r>
              <w:rPr>
                <w:rFonts w:ascii="宋体" w:hAnsi="宋体"/>
                <w:color w:val="auto"/>
              </w:rPr>
              <w:t>合格</w:t>
            </w:r>
          </w:p>
        </w:tc>
      </w:tr>
      <w:tr w14:paraId="129ADE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0" w:hRule="atLeast"/>
        </w:trPr>
        <w:tc>
          <w:tcPr>
            <w:tcW w:w="372" w:type="pct"/>
            <w:vAlign w:val="center"/>
          </w:tcPr>
          <w:p w14:paraId="1636094F">
            <w:pPr>
              <w:numPr>
                <w:ilvl w:val="0"/>
                <w:numId w:val="7"/>
              </w:numPr>
              <w:spacing w:line="280" w:lineRule="exact"/>
              <w:jc w:val="center"/>
              <w:rPr>
                <w:rFonts w:ascii="宋体" w:hAnsi="宋体"/>
                <w:color w:val="auto"/>
              </w:rPr>
            </w:pPr>
          </w:p>
        </w:tc>
        <w:tc>
          <w:tcPr>
            <w:tcW w:w="3346" w:type="pct"/>
            <w:vAlign w:val="center"/>
          </w:tcPr>
          <w:p w14:paraId="6F3FA8E5">
            <w:pPr>
              <w:spacing w:line="280" w:lineRule="exact"/>
              <w:rPr>
                <w:rFonts w:ascii="宋体" w:hAnsi="宋体"/>
                <w:color w:val="auto"/>
              </w:rPr>
            </w:pPr>
            <w:r>
              <w:rPr>
                <w:rFonts w:hint="eastAsia" w:ascii="宋体" w:hAnsi="宋体"/>
                <w:color w:val="auto"/>
              </w:rPr>
              <w:t>6.1.2</w:t>
            </w:r>
            <w:r>
              <w:rPr>
                <w:rFonts w:ascii="宋体" w:hAnsi="宋体"/>
                <w:color w:val="auto"/>
              </w:rPr>
              <w:t>汽车加油站的储油罐应采用卧式油罐。</w:t>
            </w:r>
          </w:p>
        </w:tc>
        <w:tc>
          <w:tcPr>
            <w:tcW w:w="916" w:type="pct"/>
            <w:vAlign w:val="center"/>
          </w:tcPr>
          <w:p w14:paraId="34005B20">
            <w:pPr>
              <w:spacing w:line="280" w:lineRule="exact"/>
              <w:rPr>
                <w:rFonts w:ascii="宋体" w:hAnsi="宋体"/>
                <w:color w:val="auto"/>
              </w:rPr>
            </w:pPr>
            <w:r>
              <w:rPr>
                <w:rFonts w:ascii="宋体" w:hAnsi="宋体"/>
                <w:color w:val="auto"/>
              </w:rPr>
              <w:t>卧式油罐</w:t>
            </w:r>
          </w:p>
        </w:tc>
        <w:tc>
          <w:tcPr>
            <w:tcW w:w="364" w:type="pct"/>
            <w:vAlign w:val="center"/>
          </w:tcPr>
          <w:p w14:paraId="519F6722">
            <w:pPr>
              <w:spacing w:line="280" w:lineRule="exact"/>
              <w:rPr>
                <w:rFonts w:ascii="宋体" w:hAnsi="宋体"/>
                <w:color w:val="auto"/>
              </w:rPr>
            </w:pPr>
            <w:r>
              <w:rPr>
                <w:rFonts w:ascii="宋体" w:hAnsi="宋体"/>
                <w:color w:val="auto"/>
              </w:rPr>
              <w:t>合格</w:t>
            </w:r>
          </w:p>
        </w:tc>
      </w:tr>
      <w:tr w14:paraId="0B3C5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5" w:hRule="atLeast"/>
        </w:trPr>
        <w:tc>
          <w:tcPr>
            <w:tcW w:w="372" w:type="pct"/>
            <w:vAlign w:val="center"/>
          </w:tcPr>
          <w:p w14:paraId="08930F42">
            <w:pPr>
              <w:numPr>
                <w:ilvl w:val="0"/>
                <w:numId w:val="7"/>
              </w:numPr>
              <w:spacing w:line="280" w:lineRule="exact"/>
              <w:jc w:val="center"/>
              <w:rPr>
                <w:rFonts w:ascii="宋体" w:hAnsi="宋体"/>
                <w:color w:val="auto"/>
              </w:rPr>
            </w:pPr>
          </w:p>
        </w:tc>
        <w:tc>
          <w:tcPr>
            <w:tcW w:w="3346" w:type="pct"/>
            <w:vAlign w:val="center"/>
          </w:tcPr>
          <w:p w14:paraId="153E9EC2">
            <w:pPr>
              <w:spacing w:line="280" w:lineRule="exact"/>
              <w:rPr>
                <w:rFonts w:ascii="宋体" w:hAnsi="宋体"/>
                <w:color w:val="auto"/>
              </w:rPr>
            </w:pPr>
            <w:r>
              <w:rPr>
                <w:rFonts w:hint="eastAsia" w:ascii="宋体" w:hAnsi="宋体"/>
                <w:color w:val="auto"/>
              </w:rPr>
              <w:t>6.1.3埋地油罐需要采用双层油罐时，可采用双层钢制油罐、双层玻璃纤维增强塑料油罐、内钢外玻璃纤维增强塑料双层油罐。既有加油站的埋地单层钢制油罐改造为双层油罐时，可采用玻璃纤维增强塑料等满足强度和防渗要求的材料进行衬里改造。</w:t>
            </w:r>
          </w:p>
        </w:tc>
        <w:tc>
          <w:tcPr>
            <w:tcW w:w="916" w:type="pct"/>
            <w:vAlign w:val="center"/>
          </w:tcPr>
          <w:p w14:paraId="372CC590">
            <w:pPr>
              <w:spacing w:line="280" w:lineRule="exact"/>
              <w:rPr>
                <w:rFonts w:ascii="宋体" w:hAnsi="宋体"/>
                <w:color w:val="auto"/>
              </w:rPr>
            </w:pPr>
            <w:r>
              <w:rPr>
                <w:rFonts w:hint="eastAsia" w:ascii="宋体" w:hAnsi="宋体"/>
                <w:color w:val="auto"/>
              </w:rPr>
              <w:t>SF双层储罐</w:t>
            </w:r>
          </w:p>
        </w:tc>
        <w:tc>
          <w:tcPr>
            <w:tcW w:w="364" w:type="pct"/>
            <w:vAlign w:val="center"/>
          </w:tcPr>
          <w:p w14:paraId="493024AF">
            <w:pPr>
              <w:spacing w:line="280" w:lineRule="exact"/>
              <w:rPr>
                <w:rFonts w:ascii="宋体" w:hAnsi="宋体"/>
                <w:color w:val="auto"/>
              </w:rPr>
            </w:pPr>
            <w:r>
              <w:rPr>
                <w:rFonts w:ascii="宋体" w:hAnsi="宋体"/>
                <w:color w:val="auto"/>
              </w:rPr>
              <w:t>合格</w:t>
            </w:r>
          </w:p>
        </w:tc>
      </w:tr>
      <w:tr w14:paraId="481035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9ECFD12">
            <w:pPr>
              <w:numPr>
                <w:ilvl w:val="0"/>
                <w:numId w:val="7"/>
              </w:numPr>
              <w:spacing w:line="280" w:lineRule="exact"/>
              <w:jc w:val="center"/>
              <w:rPr>
                <w:rFonts w:ascii="宋体" w:hAnsi="宋体"/>
                <w:color w:val="auto"/>
              </w:rPr>
            </w:pPr>
          </w:p>
        </w:tc>
        <w:tc>
          <w:tcPr>
            <w:tcW w:w="3346" w:type="pct"/>
            <w:vAlign w:val="center"/>
          </w:tcPr>
          <w:p w14:paraId="500F496D">
            <w:pPr>
              <w:spacing w:line="280" w:lineRule="exact"/>
              <w:rPr>
                <w:rFonts w:ascii="宋体" w:hAnsi="宋体"/>
                <w:color w:val="auto"/>
              </w:rPr>
            </w:pPr>
            <w:r>
              <w:rPr>
                <w:rFonts w:ascii="宋体" w:hAnsi="宋体"/>
                <w:color w:val="auto"/>
              </w:rPr>
              <w:t>6.1.4</w:t>
            </w:r>
            <w:r>
              <w:rPr>
                <w:rFonts w:hint="eastAsia" w:ascii="宋体" w:hAnsi="宋体"/>
                <w:color w:val="auto"/>
              </w:rPr>
              <w:t>单层钢制油罐、</w:t>
            </w:r>
            <w:r>
              <w:rPr>
                <w:rFonts w:ascii="宋体" w:hAnsi="宋体"/>
                <w:color w:val="auto"/>
              </w:rPr>
              <w:t>双层钢制油罐和内钢外玻璃纤维增强塑料双层油罐的内层罐的罐体结构设计，可按现行行业标准《钢制常压储罐第一部分：储存对水有污染的易燃和不易燃液体的埋地卧式圆筒形单层和双层储罐》AQ3020的有关规定执行，并应符合下列规定</w:t>
            </w:r>
          </w:p>
          <w:p w14:paraId="3871543F">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钢制油罐的罐体和封头所用钢板的公称厚度，不应小于表6.1.4的规定。</w:t>
            </w:r>
          </w:p>
          <w:p w14:paraId="7F7BB851">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钢制油罐的设计内压不应低于0.08MPa。</w:t>
            </w:r>
          </w:p>
        </w:tc>
        <w:tc>
          <w:tcPr>
            <w:tcW w:w="916" w:type="pct"/>
            <w:vAlign w:val="center"/>
          </w:tcPr>
          <w:p w14:paraId="5E194BEA">
            <w:pPr>
              <w:spacing w:line="280" w:lineRule="exact"/>
              <w:rPr>
                <w:rFonts w:ascii="宋体" w:hAnsi="宋体"/>
                <w:color w:val="auto"/>
              </w:rPr>
            </w:pPr>
            <w:r>
              <w:rPr>
                <w:rFonts w:hint="eastAsia" w:ascii="宋体" w:hAnsi="宋体"/>
                <w:color w:val="auto"/>
              </w:rPr>
              <w:t>SF双层储罐</w:t>
            </w:r>
          </w:p>
        </w:tc>
        <w:tc>
          <w:tcPr>
            <w:tcW w:w="364" w:type="pct"/>
            <w:vAlign w:val="center"/>
          </w:tcPr>
          <w:p w14:paraId="724999CE">
            <w:pPr>
              <w:spacing w:line="280" w:lineRule="exact"/>
              <w:rPr>
                <w:rFonts w:ascii="宋体" w:hAnsi="宋体"/>
                <w:color w:val="auto"/>
              </w:rPr>
            </w:pPr>
            <w:r>
              <w:rPr>
                <w:rFonts w:ascii="宋体" w:hAnsi="宋体"/>
                <w:color w:val="auto"/>
              </w:rPr>
              <w:t>合格</w:t>
            </w:r>
          </w:p>
        </w:tc>
      </w:tr>
      <w:tr w14:paraId="57B9FE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65" w:hRule="atLeast"/>
        </w:trPr>
        <w:tc>
          <w:tcPr>
            <w:tcW w:w="372" w:type="pct"/>
            <w:vAlign w:val="center"/>
          </w:tcPr>
          <w:p w14:paraId="4D1B0EA0">
            <w:pPr>
              <w:numPr>
                <w:ilvl w:val="0"/>
                <w:numId w:val="7"/>
              </w:numPr>
              <w:spacing w:line="280" w:lineRule="exact"/>
              <w:jc w:val="center"/>
              <w:rPr>
                <w:rFonts w:ascii="宋体" w:hAnsi="宋体"/>
                <w:color w:val="auto"/>
              </w:rPr>
            </w:pPr>
          </w:p>
        </w:tc>
        <w:tc>
          <w:tcPr>
            <w:tcW w:w="3346" w:type="pct"/>
            <w:vAlign w:val="center"/>
          </w:tcPr>
          <w:p w14:paraId="4E735093">
            <w:pPr>
              <w:spacing w:line="280" w:lineRule="exact"/>
              <w:rPr>
                <w:rFonts w:ascii="宋体" w:hAnsi="宋体"/>
                <w:color w:val="auto"/>
              </w:rPr>
            </w:pPr>
            <w:r>
              <w:rPr>
                <w:rFonts w:hint="eastAsia" w:ascii="宋体" w:hAnsi="宋体"/>
                <w:color w:val="auto"/>
              </w:rPr>
              <w:t>6.1.5选用的双层玻璃纤维增强塑料油罐应符合现行行业标准《加油站用埋地玻璃纤维增强塑料双层油罐工程技术规范》SH/T3177的有关规定；选用的钢</w:t>
            </w:r>
            <w:r>
              <w:rPr>
                <w:rFonts w:hint="eastAsia" w:ascii="宋体" w:hAnsi="宋体"/>
                <w:color w:val="auto"/>
                <w:lang w:eastAsia="zh-CN"/>
              </w:rPr>
              <w:t>－</w:t>
            </w:r>
            <w:r>
              <w:rPr>
                <w:rFonts w:hint="eastAsia" w:ascii="宋体" w:hAnsi="宋体"/>
                <w:color w:val="auto"/>
              </w:rPr>
              <w:t>玻璃纤维增强塑料双层油罐应符合现行行业标准《加油站用埋地钢-玻璃纤维增强塑料双层油罐工程技术规范》SH/T3178的有关规定。</w:t>
            </w:r>
          </w:p>
        </w:tc>
        <w:tc>
          <w:tcPr>
            <w:tcW w:w="916" w:type="pct"/>
            <w:vAlign w:val="center"/>
          </w:tcPr>
          <w:p w14:paraId="37C42ED4">
            <w:pPr>
              <w:spacing w:line="280" w:lineRule="exact"/>
              <w:rPr>
                <w:rFonts w:ascii="宋体" w:hAnsi="宋体"/>
                <w:color w:val="auto"/>
              </w:rPr>
            </w:pPr>
            <w:r>
              <w:rPr>
                <w:rFonts w:hint="eastAsia" w:ascii="宋体" w:hAnsi="宋体"/>
                <w:color w:val="auto"/>
              </w:rPr>
              <w:t>SF双层储罐</w:t>
            </w:r>
          </w:p>
        </w:tc>
        <w:tc>
          <w:tcPr>
            <w:tcW w:w="364" w:type="pct"/>
            <w:vAlign w:val="center"/>
          </w:tcPr>
          <w:p w14:paraId="02AC2C05">
            <w:pPr>
              <w:spacing w:line="280" w:lineRule="exact"/>
              <w:rPr>
                <w:rFonts w:ascii="宋体" w:hAnsi="宋体"/>
                <w:color w:val="auto"/>
              </w:rPr>
            </w:pPr>
            <w:r>
              <w:rPr>
                <w:rFonts w:ascii="宋体" w:hAnsi="宋体"/>
                <w:color w:val="auto"/>
              </w:rPr>
              <w:t>合格</w:t>
            </w:r>
          </w:p>
        </w:tc>
      </w:tr>
      <w:tr w14:paraId="138126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35A854DB">
            <w:pPr>
              <w:numPr>
                <w:ilvl w:val="0"/>
                <w:numId w:val="7"/>
              </w:numPr>
              <w:spacing w:line="280" w:lineRule="exact"/>
              <w:jc w:val="center"/>
              <w:rPr>
                <w:rFonts w:ascii="宋体" w:hAnsi="宋体"/>
                <w:color w:val="auto"/>
              </w:rPr>
            </w:pPr>
          </w:p>
        </w:tc>
        <w:tc>
          <w:tcPr>
            <w:tcW w:w="3346" w:type="pct"/>
            <w:vAlign w:val="center"/>
          </w:tcPr>
          <w:p w14:paraId="59958FD0">
            <w:pPr>
              <w:spacing w:line="280" w:lineRule="exact"/>
              <w:rPr>
                <w:rFonts w:ascii="宋体" w:hAnsi="宋体"/>
                <w:color w:val="auto"/>
              </w:rPr>
            </w:pPr>
            <w:r>
              <w:rPr>
                <w:rFonts w:hint="eastAsia" w:ascii="宋体" w:hAnsi="宋体"/>
                <w:color w:val="auto"/>
              </w:rPr>
              <w:t>6.1.6加油站在役油罐进行加内衬防渗漏改造时，应符合现行国家标准《加油站在役油罐防渗漏改造工程技术标准》GB/T51344的有关规定。</w:t>
            </w:r>
          </w:p>
        </w:tc>
        <w:tc>
          <w:tcPr>
            <w:tcW w:w="916" w:type="pct"/>
            <w:vAlign w:val="center"/>
          </w:tcPr>
          <w:p w14:paraId="10211AD4">
            <w:pPr>
              <w:spacing w:line="280" w:lineRule="exact"/>
              <w:rPr>
                <w:rFonts w:ascii="宋体" w:hAnsi="宋体"/>
                <w:color w:val="auto"/>
              </w:rPr>
            </w:pPr>
            <w:r>
              <w:rPr>
                <w:rFonts w:hint="eastAsia" w:ascii="宋体" w:hAnsi="宋体"/>
                <w:color w:val="auto"/>
              </w:rPr>
              <w:t>不涉及</w:t>
            </w:r>
          </w:p>
        </w:tc>
        <w:tc>
          <w:tcPr>
            <w:tcW w:w="364" w:type="pct"/>
            <w:vAlign w:val="center"/>
          </w:tcPr>
          <w:p w14:paraId="073D20AB">
            <w:pPr>
              <w:spacing w:line="280" w:lineRule="exact"/>
              <w:rPr>
                <w:rFonts w:ascii="宋体" w:hAnsi="宋体"/>
                <w:color w:val="auto"/>
              </w:rPr>
            </w:pPr>
            <w:r>
              <w:rPr>
                <w:rFonts w:hint="eastAsia" w:ascii="宋体" w:hAnsi="宋体"/>
                <w:color w:val="auto"/>
              </w:rPr>
              <w:t>-</w:t>
            </w:r>
          </w:p>
        </w:tc>
      </w:tr>
      <w:tr w14:paraId="40335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75CC3B6">
            <w:pPr>
              <w:numPr>
                <w:ilvl w:val="0"/>
                <w:numId w:val="7"/>
              </w:numPr>
              <w:spacing w:line="280" w:lineRule="exact"/>
              <w:jc w:val="center"/>
              <w:rPr>
                <w:rFonts w:ascii="宋体" w:hAnsi="宋体"/>
                <w:color w:val="auto"/>
              </w:rPr>
            </w:pPr>
          </w:p>
        </w:tc>
        <w:tc>
          <w:tcPr>
            <w:tcW w:w="3346" w:type="pct"/>
            <w:vAlign w:val="center"/>
          </w:tcPr>
          <w:p w14:paraId="59EE71FA">
            <w:pPr>
              <w:spacing w:line="280" w:lineRule="exact"/>
              <w:rPr>
                <w:rFonts w:ascii="宋体" w:hAnsi="宋体"/>
                <w:color w:val="auto"/>
              </w:rPr>
            </w:pPr>
            <w:r>
              <w:rPr>
                <w:rFonts w:hint="eastAsia" w:ascii="宋体" w:hAnsi="宋体"/>
                <w:color w:val="auto"/>
              </w:rPr>
              <w:t>6.1.7与罐内油品直接接触的玻璃纤维增强塑料等非金属层，应满足消除油品静电荷的要求，其表面电阻率应小于109Ω；当表面电阻率无法满足小于109Ω的要求时，应在罐内安装能够消除油品静电电荷的物体。消除油品静电电荷的物体可为浸入油品中的钢板，也可为钢制的进油立管、出油管等金属物，表面积之和不应小于下式的计算值。</w:t>
            </w:r>
          </w:p>
          <w:p w14:paraId="779668CB">
            <w:pPr>
              <w:spacing w:line="280" w:lineRule="exact"/>
              <w:rPr>
                <w:rFonts w:ascii="宋体" w:hAnsi="宋体"/>
                <w:color w:val="auto"/>
              </w:rPr>
            </w:pPr>
            <w:r>
              <w:rPr>
                <w:rFonts w:hint="eastAsia" w:ascii="宋体" w:hAnsi="宋体"/>
                <w:color w:val="auto"/>
              </w:rPr>
              <w:t>A=0.04Vt</w:t>
            </w:r>
            <w:r>
              <w:rPr>
                <w:rFonts w:hint="eastAsia" w:ascii="宋体" w:hAnsi="宋体"/>
                <w:color w:val="auto"/>
                <w:lang w:eastAsia="zh-CN"/>
              </w:rPr>
              <w:t>(</w:t>
            </w:r>
            <w:r>
              <w:rPr>
                <w:rFonts w:hint="eastAsia" w:ascii="宋体" w:hAnsi="宋体"/>
                <w:color w:val="auto"/>
              </w:rPr>
              <w:t>6.1.7</w:t>
            </w:r>
            <w:r>
              <w:rPr>
                <w:rFonts w:hint="eastAsia" w:ascii="宋体" w:hAnsi="宋体"/>
                <w:color w:val="auto"/>
                <w:lang w:eastAsia="zh-CN"/>
              </w:rPr>
              <w:t>)</w:t>
            </w:r>
          </w:p>
          <w:p w14:paraId="0682B703">
            <w:pPr>
              <w:spacing w:line="280" w:lineRule="exact"/>
              <w:rPr>
                <w:rFonts w:ascii="宋体" w:hAnsi="宋体"/>
                <w:color w:val="auto"/>
              </w:rPr>
            </w:pPr>
            <w:r>
              <w:rPr>
                <w:rFonts w:hint="eastAsia" w:ascii="宋体" w:hAnsi="宋体"/>
                <w:color w:val="auto"/>
              </w:rPr>
              <w:t>式中：</w:t>
            </w:r>
          </w:p>
          <w:p w14:paraId="2E56127C">
            <w:pPr>
              <w:spacing w:line="280" w:lineRule="exact"/>
              <w:rPr>
                <w:rFonts w:ascii="宋体" w:hAnsi="宋体"/>
                <w:color w:val="auto"/>
              </w:rPr>
            </w:pPr>
            <w:r>
              <w:rPr>
                <w:rFonts w:hint="eastAsia" w:ascii="宋体" w:hAnsi="宋体"/>
                <w:color w:val="auto"/>
              </w:rPr>
              <w:t>A——浸入油品中的金属物表面积之和（㎡）；</w:t>
            </w:r>
          </w:p>
          <w:p w14:paraId="6BDE9F6C">
            <w:pPr>
              <w:spacing w:line="280" w:lineRule="exact"/>
              <w:rPr>
                <w:rFonts w:ascii="宋体" w:hAnsi="宋体"/>
                <w:color w:val="auto"/>
              </w:rPr>
            </w:pPr>
            <w:r>
              <w:rPr>
                <w:rFonts w:hint="eastAsia" w:ascii="宋体" w:hAnsi="宋体"/>
                <w:color w:val="auto"/>
              </w:rPr>
              <w:t>Vt——储罐容积（㎡）。</w:t>
            </w:r>
          </w:p>
        </w:tc>
        <w:tc>
          <w:tcPr>
            <w:tcW w:w="916" w:type="pct"/>
            <w:vAlign w:val="center"/>
          </w:tcPr>
          <w:p w14:paraId="1AA9AEA7">
            <w:pPr>
              <w:spacing w:line="280" w:lineRule="exact"/>
              <w:rPr>
                <w:rFonts w:ascii="宋体" w:hAnsi="宋体"/>
                <w:color w:val="auto"/>
              </w:rPr>
            </w:pPr>
            <w:r>
              <w:rPr>
                <w:rFonts w:hint="eastAsia" w:ascii="宋体" w:hAnsi="宋体"/>
                <w:color w:val="auto"/>
              </w:rPr>
              <w:t>已验收</w:t>
            </w:r>
          </w:p>
        </w:tc>
        <w:tc>
          <w:tcPr>
            <w:tcW w:w="364" w:type="pct"/>
            <w:vAlign w:val="center"/>
          </w:tcPr>
          <w:p w14:paraId="113B2F88">
            <w:pPr>
              <w:spacing w:line="280" w:lineRule="exact"/>
              <w:rPr>
                <w:rFonts w:ascii="宋体" w:hAnsi="宋体"/>
                <w:color w:val="auto"/>
              </w:rPr>
            </w:pPr>
            <w:r>
              <w:rPr>
                <w:rFonts w:ascii="宋体" w:hAnsi="宋体"/>
                <w:color w:val="auto"/>
              </w:rPr>
              <w:t>合格</w:t>
            </w:r>
          </w:p>
        </w:tc>
      </w:tr>
      <w:tr w14:paraId="7F25D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F873F77">
            <w:pPr>
              <w:numPr>
                <w:ilvl w:val="0"/>
                <w:numId w:val="7"/>
              </w:numPr>
              <w:spacing w:line="280" w:lineRule="exact"/>
              <w:jc w:val="center"/>
              <w:rPr>
                <w:rFonts w:ascii="宋体" w:hAnsi="宋体"/>
                <w:color w:val="auto"/>
              </w:rPr>
            </w:pPr>
          </w:p>
        </w:tc>
        <w:tc>
          <w:tcPr>
            <w:tcW w:w="3346" w:type="pct"/>
            <w:vAlign w:val="center"/>
          </w:tcPr>
          <w:p w14:paraId="20276151">
            <w:pPr>
              <w:spacing w:line="280" w:lineRule="exact"/>
              <w:rPr>
                <w:rFonts w:ascii="宋体" w:hAnsi="宋体"/>
                <w:color w:val="auto"/>
              </w:rPr>
            </w:pPr>
            <w:r>
              <w:rPr>
                <w:rFonts w:hint="eastAsia" w:ascii="宋体" w:hAnsi="宋体"/>
                <w:color w:val="auto"/>
              </w:rPr>
              <w:t>6.1.8</w:t>
            </w:r>
            <w:r>
              <w:rPr>
                <w:rFonts w:ascii="宋体" w:hAnsi="宋体"/>
                <w:color w:val="auto"/>
              </w:rPr>
              <w:t>安装在罐内的静电消除物体应接地，接地电阻应符合本标准第11</w:t>
            </w:r>
            <w:r>
              <w:rPr>
                <w:rFonts w:hint="eastAsia" w:ascii="宋体" w:hAnsi="宋体"/>
                <w:color w:val="auto"/>
              </w:rPr>
              <w:t>.</w:t>
            </w:r>
            <w:r>
              <w:rPr>
                <w:rFonts w:ascii="宋体" w:hAnsi="宋体"/>
                <w:color w:val="auto"/>
              </w:rPr>
              <w:t>2节的有关规定。</w:t>
            </w:r>
          </w:p>
        </w:tc>
        <w:tc>
          <w:tcPr>
            <w:tcW w:w="916" w:type="pct"/>
            <w:vAlign w:val="center"/>
          </w:tcPr>
          <w:p w14:paraId="5909068C">
            <w:pPr>
              <w:spacing w:line="280" w:lineRule="exact"/>
              <w:rPr>
                <w:rFonts w:ascii="宋体" w:hAnsi="宋体"/>
                <w:color w:val="auto"/>
              </w:rPr>
            </w:pPr>
            <w:r>
              <w:rPr>
                <w:rFonts w:hint="eastAsia" w:ascii="宋体" w:hAnsi="宋体"/>
                <w:color w:val="auto"/>
              </w:rPr>
              <w:t>设置</w:t>
            </w:r>
            <w:r>
              <w:rPr>
                <w:rFonts w:ascii="宋体" w:hAnsi="宋体"/>
                <w:color w:val="auto"/>
              </w:rPr>
              <w:t>接地</w:t>
            </w:r>
            <w:r>
              <w:rPr>
                <w:rFonts w:hint="eastAsia" w:ascii="宋体" w:hAnsi="宋体"/>
                <w:color w:val="auto"/>
              </w:rPr>
              <w:t>，有合格的防雷接地检测报告</w:t>
            </w:r>
          </w:p>
        </w:tc>
        <w:tc>
          <w:tcPr>
            <w:tcW w:w="364" w:type="pct"/>
            <w:vAlign w:val="center"/>
          </w:tcPr>
          <w:p w14:paraId="17776A04">
            <w:pPr>
              <w:spacing w:line="280" w:lineRule="exact"/>
              <w:rPr>
                <w:rFonts w:ascii="宋体" w:hAnsi="宋体"/>
                <w:color w:val="auto"/>
              </w:rPr>
            </w:pPr>
            <w:r>
              <w:rPr>
                <w:rFonts w:ascii="宋体" w:hAnsi="宋体"/>
                <w:color w:val="auto"/>
              </w:rPr>
              <w:t>合格</w:t>
            </w:r>
          </w:p>
        </w:tc>
      </w:tr>
      <w:tr w14:paraId="25FD3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2F3ECDA">
            <w:pPr>
              <w:numPr>
                <w:ilvl w:val="0"/>
                <w:numId w:val="7"/>
              </w:numPr>
              <w:spacing w:line="280" w:lineRule="exact"/>
              <w:jc w:val="center"/>
              <w:rPr>
                <w:rFonts w:ascii="宋体" w:hAnsi="宋体"/>
                <w:color w:val="auto"/>
              </w:rPr>
            </w:pPr>
          </w:p>
        </w:tc>
        <w:tc>
          <w:tcPr>
            <w:tcW w:w="3346" w:type="pct"/>
            <w:vAlign w:val="center"/>
          </w:tcPr>
          <w:p w14:paraId="7D0B20DB">
            <w:pPr>
              <w:spacing w:line="280" w:lineRule="exact"/>
              <w:rPr>
                <w:rFonts w:ascii="宋体" w:hAnsi="宋体"/>
                <w:color w:val="auto"/>
              </w:rPr>
            </w:pPr>
            <w:r>
              <w:rPr>
                <w:rFonts w:hint="eastAsia" w:ascii="宋体" w:hAnsi="宋体"/>
                <w:color w:val="auto"/>
              </w:rPr>
              <w:t>6.1.9双层油罐内壁与外壁之间应有满足渗漏检测要求的贯通间隙。</w:t>
            </w:r>
          </w:p>
        </w:tc>
        <w:tc>
          <w:tcPr>
            <w:tcW w:w="916" w:type="pct"/>
            <w:vAlign w:val="center"/>
          </w:tcPr>
          <w:p w14:paraId="29021B2E">
            <w:pPr>
              <w:spacing w:line="280" w:lineRule="exact"/>
              <w:rPr>
                <w:rFonts w:hint="default" w:ascii="宋体" w:hAnsi="宋体" w:eastAsia="宋体"/>
                <w:color w:val="auto"/>
                <w:lang w:val="en-US" w:eastAsia="zh-CN"/>
              </w:rPr>
            </w:pPr>
            <w:r>
              <w:rPr>
                <w:rFonts w:hint="eastAsia" w:ascii="宋体" w:hAnsi="宋体"/>
                <w:color w:val="auto"/>
                <w:lang w:val="en-US" w:eastAsia="zh-CN"/>
              </w:rPr>
              <w:t>有泄露检测装置</w:t>
            </w:r>
          </w:p>
        </w:tc>
        <w:tc>
          <w:tcPr>
            <w:tcW w:w="364" w:type="pct"/>
            <w:vAlign w:val="center"/>
          </w:tcPr>
          <w:p w14:paraId="5C317F96">
            <w:pPr>
              <w:spacing w:line="280" w:lineRule="exact"/>
              <w:rPr>
                <w:rFonts w:ascii="宋体" w:hAnsi="宋体"/>
                <w:color w:val="auto"/>
              </w:rPr>
            </w:pPr>
            <w:r>
              <w:rPr>
                <w:rFonts w:hint="eastAsia" w:ascii="宋体" w:hAnsi="宋体"/>
                <w:color w:val="auto"/>
              </w:rPr>
              <w:t>-</w:t>
            </w:r>
          </w:p>
        </w:tc>
      </w:tr>
      <w:tr w14:paraId="5D974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B0341E6">
            <w:pPr>
              <w:keepNext w:val="0"/>
              <w:keepLines w:val="0"/>
              <w:pageBreakBefore w:val="0"/>
              <w:widowControl w:val="0"/>
              <w:numPr>
                <w:ilvl w:val="0"/>
                <w:numId w:val="7"/>
              </w:numPr>
              <w:kinsoku/>
              <w:wordWrap/>
              <w:overflowPunct/>
              <w:topLinePunct w:val="0"/>
              <w:autoSpaceDE/>
              <w:autoSpaceDN/>
              <w:bidi w:val="0"/>
              <w:adjustRightInd/>
              <w:snapToGrid/>
              <w:spacing w:line="240" w:lineRule="exact"/>
              <w:jc w:val="center"/>
              <w:textAlignment w:val="auto"/>
              <w:rPr>
                <w:rFonts w:ascii="宋体" w:hAnsi="宋体"/>
                <w:color w:val="auto"/>
              </w:rPr>
            </w:pPr>
          </w:p>
        </w:tc>
        <w:tc>
          <w:tcPr>
            <w:tcW w:w="3346" w:type="pct"/>
            <w:vAlign w:val="center"/>
          </w:tcPr>
          <w:p w14:paraId="16ABEBE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6.1.10双层钢制油罐、内钢外玻璃纤维增强塑料双层油罐和玻璃纤维增强塑料等非金属防渗衬里的双层油罐，应设渗漏检测立管，并应符合下列规定：</w:t>
            </w:r>
          </w:p>
          <w:p w14:paraId="1F28D71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1、检测立管应采用钢管，直径宜为80mm，壁厚不宜小于4mm；</w:t>
            </w:r>
          </w:p>
          <w:p w14:paraId="52885D3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2、检测立管应位于油罐顶部的纵向中心线上；</w:t>
            </w:r>
          </w:p>
          <w:p w14:paraId="698624A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3、检测立管的底部管口应与油罐内、外壁间隙相连通，顶部管口应装防尘盖；</w:t>
            </w:r>
          </w:p>
          <w:p w14:paraId="63A543D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4、检测立管应满足人工检测和在线监测的要求，并应保证油罐内、外壁任何部位出现渗漏均能被发现。</w:t>
            </w:r>
          </w:p>
        </w:tc>
        <w:tc>
          <w:tcPr>
            <w:tcW w:w="916" w:type="pct"/>
            <w:vAlign w:val="center"/>
          </w:tcPr>
          <w:p w14:paraId="6159C29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隐蔽工程。已验收</w:t>
            </w:r>
          </w:p>
        </w:tc>
        <w:tc>
          <w:tcPr>
            <w:tcW w:w="364" w:type="pct"/>
            <w:vAlign w:val="center"/>
          </w:tcPr>
          <w:p w14:paraId="2D01407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合格</w:t>
            </w:r>
          </w:p>
        </w:tc>
      </w:tr>
      <w:tr w14:paraId="537F3B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372" w:type="pct"/>
            <w:vAlign w:val="center"/>
          </w:tcPr>
          <w:p w14:paraId="58A995FD">
            <w:pPr>
              <w:numPr>
                <w:ilvl w:val="0"/>
                <w:numId w:val="7"/>
              </w:numPr>
              <w:spacing w:line="280" w:lineRule="exact"/>
              <w:jc w:val="center"/>
              <w:rPr>
                <w:rFonts w:ascii="宋体" w:hAnsi="宋体"/>
                <w:color w:val="auto"/>
              </w:rPr>
            </w:pPr>
          </w:p>
        </w:tc>
        <w:tc>
          <w:tcPr>
            <w:tcW w:w="3346" w:type="pct"/>
            <w:vAlign w:val="center"/>
          </w:tcPr>
          <w:p w14:paraId="76903127">
            <w:pPr>
              <w:spacing w:line="280" w:lineRule="exact"/>
              <w:rPr>
                <w:rFonts w:ascii="宋体" w:hAnsi="宋体"/>
                <w:color w:val="auto"/>
              </w:rPr>
            </w:pPr>
            <w:r>
              <w:rPr>
                <w:rFonts w:ascii="宋体" w:hAnsi="宋体"/>
                <w:color w:val="auto"/>
              </w:rPr>
              <w:t>6.1.11油罐应采用钢制人孔盖。</w:t>
            </w:r>
          </w:p>
        </w:tc>
        <w:tc>
          <w:tcPr>
            <w:tcW w:w="916" w:type="pct"/>
            <w:vAlign w:val="center"/>
          </w:tcPr>
          <w:p w14:paraId="29010EAA">
            <w:pPr>
              <w:spacing w:line="280" w:lineRule="exact"/>
              <w:rPr>
                <w:rFonts w:ascii="宋体" w:hAnsi="宋体"/>
                <w:color w:val="auto"/>
              </w:rPr>
            </w:pPr>
            <w:r>
              <w:rPr>
                <w:rFonts w:ascii="宋体" w:hAnsi="宋体"/>
                <w:color w:val="auto"/>
              </w:rPr>
              <w:t>采用钢制人孔盖</w:t>
            </w:r>
          </w:p>
        </w:tc>
        <w:tc>
          <w:tcPr>
            <w:tcW w:w="364" w:type="pct"/>
            <w:vAlign w:val="center"/>
          </w:tcPr>
          <w:p w14:paraId="48F73E71">
            <w:pPr>
              <w:spacing w:line="280" w:lineRule="exact"/>
              <w:rPr>
                <w:rFonts w:ascii="宋体" w:hAnsi="宋体"/>
                <w:color w:val="auto"/>
              </w:rPr>
            </w:pPr>
            <w:r>
              <w:rPr>
                <w:rFonts w:ascii="宋体" w:hAnsi="宋体"/>
                <w:color w:val="auto"/>
              </w:rPr>
              <w:t>合格</w:t>
            </w:r>
          </w:p>
        </w:tc>
      </w:tr>
      <w:tr w14:paraId="512D4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ECD7C9F">
            <w:pPr>
              <w:numPr>
                <w:ilvl w:val="0"/>
                <w:numId w:val="7"/>
              </w:numPr>
              <w:spacing w:line="280" w:lineRule="exact"/>
              <w:jc w:val="center"/>
              <w:rPr>
                <w:rFonts w:ascii="宋体" w:hAnsi="宋体"/>
                <w:color w:val="auto"/>
              </w:rPr>
            </w:pPr>
          </w:p>
        </w:tc>
        <w:tc>
          <w:tcPr>
            <w:tcW w:w="3346" w:type="pct"/>
            <w:vAlign w:val="center"/>
          </w:tcPr>
          <w:p w14:paraId="6FD8A2A6">
            <w:pPr>
              <w:spacing w:line="280" w:lineRule="exact"/>
              <w:rPr>
                <w:rFonts w:ascii="宋体" w:hAnsi="宋体"/>
                <w:color w:val="auto"/>
              </w:rPr>
            </w:pPr>
            <w:r>
              <w:rPr>
                <w:rFonts w:ascii="宋体" w:hAnsi="宋体"/>
                <w:color w:val="auto"/>
              </w:rPr>
              <w:t>6.1.12油罐设在非车行道下面时，罐顶的覆土厚度不应小于0.5m；设在车行道下面时，罐顶低于混凝土路面不宜小于0.9m钢制油罐的周围应回填中性沙或细土，其厚度不应小于0.3m；外层为玻璃纤维增强塑料材料的油罐，回填料应符合产品说明书的要求。</w:t>
            </w:r>
          </w:p>
        </w:tc>
        <w:tc>
          <w:tcPr>
            <w:tcW w:w="916" w:type="pct"/>
            <w:vAlign w:val="center"/>
          </w:tcPr>
          <w:p w14:paraId="0DFBA993">
            <w:pPr>
              <w:spacing w:line="280" w:lineRule="exact"/>
              <w:rPr>
                <w:rFonts w:ascii="宋体" w:hAnsi="宋体"/>
                <w:color w:val="auto"/>
              </w:rPr>
            </w:pPr>
            <w:r>
              <w:rPr>
                <w:rFonts w:ascii="宋体" w:hAnsi="宋体"/>
                <w:color w:val="auto"/>
              </w:rPr>
              <w:t>设在车行道下</w:t>
            </w:r>
            <w:r>
              <w:rPr>
                <w:rFonts w:hint="eastAsia" w:ascii="宋体" w:hAnsi="宋体"/>
                <w:color w:val="auto"/>
              </w:rPr>
              <w:t>，</w:t>
            </w:r>
            <w:r>
              <w:rPr>
                <w:rFonts w:ascii="宋体" w:hAnsi="宋体"/>
                <w:color w:val="auto"/>
              </w:rPr>
              <w:t>罐顶低于混凝土路面不小于0.</w:t>
            </w:r>
            <w:r>
              <w:rPr>
                <w:rFonts w:hint="eastAsia" w:ascii="宋体" w:hAnsi="宋体"/>
                <w:color w:val="auto"/>
                <w:lang w:val="en-US" w:eastAsia="zh-CN"/>
              </w:rPr>
              <w:t>9</w:t>
            </w:r>
            <w:r>
              <w:rPr>
                <w:rFonts w:ascii="宋体" w:hAnsi="宋体"/>
                <w:color w:val="auto"/>
              </w:rPr>
              <w:t>m</w:t>
            </w:r>
          </w:p>
        </w:tc>
        <w:tc>
          <w:tcPr>
            <w:tcW w:w="364" w:type="pct"/>
            <w:vAlign w:val="center"/>
          </w:tcPr>
          <w:p w14:paraId="02B797BB">
            <w:pPr>
              <w:spacing w:line="280" w:lineRule="exact"/>
              <w:rPr>
                <w:rFonts w:ascii="宋体" w:hAnsi="宋体"/>
                <w:color w:val="auto"/>
              </w:rPr>
            </w:pPr>
            <w:r>
              <w:rPr>
                <w:rFonts w:ascii="宋体" w:hAnsi="宋体"/>
                <w:color w:val="auto"/>
              </w:rPr>
              <w:t>合格</w:t>
            </w:r>
          </w:p>
        </w:tc>
      </w:tr>
      <w:tr w14:paraId="5133EC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34AE2AB">
            <w:pPr>
              <w:numPr>
                <w:ilvl w:val="0"/>
                <w:numId w:val="7"/>
              </w:numPr>
              <w:spacing w:line="280" w:lineRule="exact"/>
              <w:jc w:val="center"/>
              <w:rPr>
                <w:rFonts w:ascii="宋体" w:hAnsi="宋体"/>
                <w:color w:val="auto"/>
              </w:rPr>
            </w:pPr>
          </w:p>
        </w:tc>
        <w:tc>
          <w:tcPr>
            <w:tcW w:w="3346" w:type="pct"/>
            <w:vAlign w:val="center"/>
          </w:tcPr>
          <w:p w14:paraId="5BF6FA88">
            <w:pPr>
              <w:spacing w:line="280" w:lineRule="exact"/>
              <w:rPr>
                <w:rFonts w:ascii="宋体" w:hAnsi="宋体"/>
                <w:color w:val="auto"/>
              </w:rPr>
            </w:pPr>
            <w:r>
              <w:rPr>
                <w:rFonts w:ascii="宋体" w:hAnsi="宋体"/>
                <w:color w:val="auto"/>
              </w:rPr>
              <w:t>6.1.13当埋地油罐受地下水或雨水作用有</w:t>
            </w:r>
            <w:r>
              <w:rPr>
                <w:rFonts w:hint="eastAsia" w:ascii="宋体" w:hAnsi="宋体"/>
                <w:color w:val="auto"/>
              </w:rPr>
              <w:t>上</w:t>
            </w:r>
            <w:r>
              <w:rPr>
                <w:rFonts w:ascii="宋体" w:hAnsi="宋体"/>
                <w:color w:val="auto"/>
              </w:rPr>
              <w:t>浮的可能时，应采取防止油罐上浮的措施。</w:t>
            </w:r>
          </w:p>
        </w:tc>
        <w:tc>
          <w:tcPr>
            <w:tcW w:w="916" w:type="pct"/>
            <w:vAlign w:val="center"/>
          </w:tcPr>
          <w:p w14:paraId="78E5EEAB">
            <w:pPr>
              <w:spacing w:line="280" w:lineRule="exact"/>
              <w:rPr>
                <w:rFonts w:ascii="宋体" w:hAnsi="宋体"/>
                <w:color w:val="auto"/>
              </w:rPr>
            </w:pPr>
            <w:r>
              <w:rPr>
                <w:rFonts w:hint="eastAsia" w:ascii="宋体" w:hAnsi="宋体"/>
                <w:color w:val="auto"/>
              </w:rPr>
              <w:t>已</w:t>
            </w:r>
            <w:r>
              <w:rPr>
                <w:rFonts w:ascii="宋体" w:hAnsi="宋体"/>
                <w:color w:val="auto"/>
              </w:rPr>
              <w:t>采取防止油罐上浮的措施</w:t>
            </w:r>
          </w:p>
        </w:tc>
        <w:tc>
          <w:tcPr>
            <w:tcW w:w="364" w:type="pct"/>
            <w:vAlign w:val="center"/>
          </w:tcPr>
          <w:p w14:paraId="0350A670">
            <w:pPr>
              <w:spacing w:line="280" w:lineRule="exact"/>
              <w:rPr>
                <w:rFonts w:ascii="宋体" w:hAnsi="宋体"/>
                <w:color w:val="auto"/>
              </w:rPr>
            </w:pPr>
            <w:r>
              <w:rPr>
                <w:rFonts w:ascii="宋体" w:hAnsi="宋体"/>
                <w:color w:val="auto"/>
              </w:rPr>
              <w:t>合格</w:t>
            </w:r>
          </w:p>
        </w:tc>
      </w:tr>
      <w:tr w14:paraId="2933C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E51DD9E">
            <w:pPr>
              <w:numPr>
                <w:ilvl w:val="0"/>
                <w:numId w:val="7"/>
              </w:numPr>
              <w:spacing w:line="280" w:lineRule="exact"/>
              <w:jc w:val="center"/>
              <w:rPr>
                <w:rFonts w:ascii="宋体" w:hAnsi="宋体"/>
                <w:color w:val="auto"/>
              </w:rPr>
            </w:pPr>
          </w:p>
        </w:tc>
        <w:tc>
          <w:tcPr>
            <w:tcW w:w="3346" w:type="pct"/>
            <w:vAlign w:val="center"/>
          </w:tcPr>
          <w:p w14:paraId="36EEF75F">
            <w:pPr>
              <w:spacing w:line="280" w:lineRule="exact"/>
              <w:rPr>
                <w:rFonts w:ascii="宋体" w:hAnsi="宋体"/>
                <w:color w:val="auto"/>
              </w:rPr>
            </w:pPr>
            <w:r>
              <w:rPr>
                <w:rFonts w:ascii="宋体" w:hAnsi="宋体"/>
                <w:color w:val="auto"/>
              </w:rPr>
              <w:t>6.1.14埋地油罐的人孔应设操作井。设在行车道下面的人孔井应采用加油站车行道下专用的密闭</w:t>
            </w:r>
            <w:r>
              <w:rPr>
                <w:rFonts w:hint="eastAsia" w:ascii="宋体" w:hAnsi="宋体"/>
                <w:color w:val="auto"/>
              </w:rPr>
              <w:t>井盖</w:t>
            </w:r>
            <w:r>
              <w:rPr>
                <w:rFonts w:ascii="宋体" w:hAnsi="宋体"/>
                <w:color w:val="auto"/>
              </w:rPr>
              <w:t>和井座。</w:t>
            </w:r>
          </w:p>
        </w:tc>
        <w:tc>
          <w:tcPr>
            <w:tcW w:w="916" w:type="pct"/>
            <w:vAlign w:val="center"/>
          </w:tcPr>
          <w:p w14:paraId="578CA72F">
            <w:pPr>
              <w:spacing w:line="280" w:lineRule="exact"/>
              <w:rPr>
                <w:rFonts w:ascii="宋体" w:hAnsi="宋体"/>
                <w:color w:val="auto"/>
              </w:rPr>
            </w:pPr>
            <w:r>
              <w:rPr>
                <w:rFonts w:hint="eastAsia" w:ascii="宋体" w:hAnsi="宋体"/>
                <w:color w:val="auto"/>
              </w:rPr>
              <w:t>设了操作井</w:t>
            </w:r>
          </w:p>
        </w:tc>
        <w:tc>
          <w:tcPr>
            <w:tcW w:w="364" w:type="pct"/>
            <w:vAlign w:val="center"/>
          </w:tcPr>
          <w:p w14:paraId="51D38B83">
            <w:pPr>
              <w:spacing w:line="280" w:lineRule="exact"/>
              <w:rPr>
                <w:rFonts w:ascii="宋体" w:hAnsi="宋体"/>
                <w:color w:val="auto"/>
              </w:rPr>
            </w:pPr>
            <w:r>
              <w:rPr>
                <w:rFonts w:ascii="宋体" w:hAnsi="宋体"/>
                <w:color w:val="auto"/>
              </w:rPr>
              <w:t>合格</w:t>
            </w:r>
          </w:p>
        </w:tc>
      </w:tr>
      <w:tr w14:paraId="02CE0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40A97D2">
            <w:pPr>
              <w:numPr>
                <w:ilvl w:val="0"/>
                <w:numId w:val="7"/>
              </w:numPr>
              <w:spacing w:line="280" w:lineRule="exact"/>
              <w:jc w:val="center"/>
              <w:rPr>
                <w:rFonts w:ascii="宋体" w:hAnsi="宋体"/>
                <w:color w:val="auto"/>
              </w:rPr>
            </w:pPr>
          </w:p>
        </w:tc>
        <w:tc>
          <w:tcPr>
            <w:tcW w:w="3346" w:type="pct"/>
            <w:vAlign w:val="center"/>
          </w:tcPr>
          <w:p w14:paraId="67647A44">
            <w:pPr>
              <w:spacing w:line="280" w:lineRule="exact"/>
              <w:rPr>
                <w:rFonts w:ascii="宋体" w:hAnsi="宋体"/>
                <w:color w:val="auto"/>
              </w:rPr>
            </w:pPr>
            <w:r>
              <w:rPr>
                <w:rFonts w:ascii="宋体" w:hAnsi="宋体"/>
                <w:color w:val="auto"/>
              </w:rPr>
              <w:t>6.1.15油罐卸油应采取防满溢措施。油料达到油罐容量的90%时，应能触动高液位报警装置；油料达到油罐容量的95%时，应能自动停止油料继续进罐。高液位报警装置应位于工作人员便于觉察的地点。</w:t>
            </w:r>
          </w:p>
        </w:tc>
        <w:tc>
          <w:tcPr>
            <w:tcW w:w="916" w:type="pct"/>
            <w:vAlign w:val="center"/>
          </w:tcPr>
          <w:p w14:paraId="1CFE4DE2">
            <w:pPr>
              <w:spacing w:line="280" w:lineRule="exact"/>
              <w:rPr>
                <w:rFonts w:ascii="宋体" w:hAnsi="宋体"/>
                <w:color w:val="auto"/>
              </w:rPr>
            </w:pPr>
            <w:r>
              <w:rPr>
                <w:rFonts w:hint="eastAsia" w:ascii="宋体" w:hAnsi="宋体"/>
                <w:color w:val="auto"/>
              </w:rPr>
              <w:t>设有液位仪，具备报警和自动停止功能</w:t>
            </w:r>
          </w:p>
        </w:tc>
        <w:tc>
          <w:tcPr>
            <w:tcW w:w="364" w:type="pct"/>
            <w:vAlign w:val="center"/>
          </w:tcPr>
          <w:p w14:paraId="54CE98FD">
            <w:pPr>
              <w:spacing w:line="280" w:lineRule="exact"/>
              <w:rPr>
                <w:rFonts w:ascii="宋体" w:hAnsi="宋体"/>
                <w:color w:val="auto"/>
              </w:rPr>
            </w:pPr>
            <w:r>
              <w:rPr>
                <w:rFonts w:ascii="宋体" w:hAnsi="宋体"/>
                <w:color w:val="auto"/>
              </w:rPr>
              <w:t>合格</w:t>
            </w:r>
          </w:p>
        </w:tc>
      </w:tr>
      <w:tr w14:paraId="7D7D02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22D5C63">
            <w:pPr>
              <w:numPr>
                <w:ilvl w:val="0"/>
                <w:numId w:val="7"/>
              </w:numPr>
              <w:spacing w:line="280" w:lineRule="exact"/>
              <w:jc w:val="center"/>
              <w:rPr>
                <w:rFonts w:ascii="宋体" w:hAnsi="宋体"/>
                <w:color w:val="auto"/>
              </w:rPr>
            </w:pPr>
          </w:p>
        </w:tc>
        <w:tc>
          <w:tcPr>
            <w:tcW w:w="3346" w:type="pct"/>
            <w:vAlign w:val="center"/>
          </w:tcPr>
          <w:p w14:paraId="2AAEE4E4">
            <w:pPr>
              <w:spacing w:line="280" w:lineRule="exact"/>
              <w:rPr>
                <w:rFonts w:ascii="宋体" w:hAnsi="宋体"/>
                <w:color w:val="auto"/>
              </w:rPr>
            </w:pPr>
            <w:r>
              <w:rPr>
                <w:rFonts w:ascii="宋体" w:hAnsi="宋体"/>
                <w:color w:val="auto"/>
              </w:rPr>
              <w:t>6.1.16设有油气回收系统的加油站，站内油罐应设带有高液位报警功能的液位监测系统。</w:t>
            </w:r>
            <w:r>
              <w:rPr>
                <w:rFonts w:hint="eastAsia" w:ascii="宋体" w:hAnsi="宋体"/>
                <w:color w:val="auto"/>
              </w:rPr>
              <w:t>SF双层油罐</w:t>
            </w:r>
            <w:r>
              <w:rPr>
                <w:rFonts w:ascii="宋体" w:hAnsi="宋体"/>
                <w:color w:val="auto"/>
              </w:rPr>
              <w:t>的液位监测系统尚应具备渗漏检测功能，渗漏检测分辨率不宜</w:t>
            </w:r>
            <w:r>
              <w:rPr>
                <w:rFonts w:hint="eastAsia" w:ascii="宋体" w:hAnsi="宋体"/>
                <w:color w:val="auto"/>
                <w:lang w:eastAsia="zh-CN"/>
              </w:rPr>
              <w:t>大于</w:t>
            </w:r>
            <w:r>
              <w:rPr>
                <w:rFonts w:ascii="宋体" w:hAnsi="宋体"/>
                <w:color w:val="auto"/>
              </w:rPr>
              <w:t>0.8L/h。</w:t>
            </w:r>
          </w:p>
        </w:tc>
        <w:tc>
          <w:tcPr>
            <w:tcW w:w="916" w:type="pct"/>
            <w:vAlign w:val="center"/>
          </w:tcPr>
          <w:p w14:paraId="441C6FEA">
            <w:pPr>
              <w:spacing w:line="280" w:lineRule="exact"/>
              <w:rPr>
                <w:rFonts w:hint="default" w:ascii="宋体" w:hAnsi="宋体" w:eastAsia="宋体"/>
                <w:color w:val="auto"/>
                <w:lang w:val="en-US" w:eastAsia="zh-CN"/>
              </w:rPr>
            </w:pPr>
            <w:r>
              <w:rPr>
                <w:rFonts w:hint="eastAsia" w:ascii="宋体" w:hAnsi="宋体"/>
                <w:color w:val="auto"/>
              </w:rPr>
              <w:t>SF双层储罐</w:t>
            </w:r>
            <w:r>
              <w:rPr>
                <w:rFonts w:hint="eastAsia" w:ascii="宋体" w:hAnsi="宋体"/>
                <w:color w:val="auto"/>
                <w:lang w:eastAsia="zh-CN"/>
              </w:rPr>
              <w:t>，</w:t>
            </w:r>
            <w:r>
              <w:rPr>
                <w:rFonts w:hint="eastAsia" w:ascii="宋体" w:hAnsi="宋体"/>
                <w:color w:val="auto"/>
                <w:lang w:val="en-US" w:eastAsia="zh-CN"/>
              </w:rPr>
              <w:t>液位仪有高液位报警功能</w:t>
            </w:r>
          </w:p>
        </w:tc>
        <w:tc>
          <w:tcPr>
            <w:tcW w:w="364" w:type="pct"/>
            <w:vAlign w:val="center"/>
          </w:tcPr>
          <w:p w14:paraId="6E5167D8">
            <w:pPr>
              <w:spacing w:line="280" w:lineRule="exact"/>
              <w:rPr>
                <w:rFonts w:ascii="宋体" w:hAnsi="宋体"/>
                <w:color w:val="auto"/>
              </w:rPr>
            </w:pPr>
            <w:r>
              <w:rPr>
                <w:rFonts w:ascii="宋体" w:hAnsi="宋体"/>
                <w:color w:val="auto"/>
              </w:rPr>
              <w:t>合格</w:t>
            </w:r>
          </w:p>
        </w:tc>
      </w:tr>
      <w:tr w14:paraId="70A9F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72" w:type="pct"/>
            <w:vAlign w:val="center"/>
          </w:tcPr>
          <w:p w14:paraId="1FC88EE0">
            <w:pPr>
              <w:numPr>
                <w:ilvl w:val="0"/>
                <w:numId w:val="7"/>
              </w:numPr>
              <w:spacing w:line="280" w:lineRule="exact"/>
              <w:jc w:val="center"/>
              <w:rPr>
                <w:rFonts w:ascii="宋体" w:hAnsi="宋体"/>
                <w:color w:val="auto"/>
              </w:rPr>
            </w:pPr>
          </w:p>
        </w:tc>
        <w:tc>
          <w:tcPr>
            <w:tcW w:w="3346" w:type="pct"/>
            <w:vAlign w:val="center"/>
          </w:tcPr>
          <w:p w14:paraId="32794900">
            <w:pPr>
              <w:spacing w:line="280" w:lineRule="exact"/>
              <w:rPr>
                <w:rFonts w:ascii="宋体" w:hAnsi="宋体"/>
                <w:color w:val="auto"/>
              </w:rPr>
            </w:pPr>
            <w:r>
              <w:rPr>
                <w:rFonts w:ascii="宋体" w:hAnsi="宋体"/>
                <w:color w:val="auto"/>
              </w:rPr>
              <w:t>6.1.17</w:t>
            </w:r>
            <w:r>
              <w:rPr>
                <w:rFonts w:hint="eastAsia" w:ascii="宋体" w:hAnsi="宋体"/>
                <w:color w:val="auto"/>
              </w:rPr>
              <w:t>与</w:t>
            </w:r>
            <w:r>
              <w:rPr>
                <w:rFonts w:ascii="宋体" w:hAnsi="宋体"/>
                <w:color w:val="auto"/>
              </w:rPr>
              <w:t>土壤接触的钢制油罐外表面，防腐设计应符合现行行业标准《石油化工设备和管道涂料防腐蚀设计标准》SH/T3022的有关规定，且防腐等级不应低于加强级。</w:t>
            </w:r>
          </w:p>
        </w:tc>
        <w:tc>
          <w:tcPr>
            <w:tcW w:w="916" w:type="pct"/>
            <w:vAlign w:val="center"/>
          </w:tcPr>
          <w:p w14:paraId="697D84F3">
            <w:pPr>
              <w:spacing w:line="280" w:lineRule="exact"/>
              <w:rPr>
                <w:rFonts w:ascii="宋体" w:hAnsi="宋体"/>
                <w:color w:val="auto"/>
              </w:rPr>
            </w:pPr>
            <w:r>
              <w:rPr>
                <w:rFonts w:hint="eastAsia" w:ascii="宋体" w:hAnsi="宋体"/>
                <w:color w:val="auto"/>
              </w:rPr>
              <w:t>不涉及</w:t>
            </w:r>
          </w:p>
        </w:tc>
        <w:tc>
          <w:tcPr>
            <w:tcW w:w="364" w:type="pct"/>
            <w:vAlign w:val="center"/>
          </w:tcPr>
          <w:p w14:paraId="559B8C4E">
            <w:pPr>
              <w:spacing w:line="280" w:lineRule="exact"/>
              <w:rPr>
                <w:rFonts w:ascii="宋体" w:hAnsi="宋体"/>
                <w:color w:val="auto"/>
              </w:rPr>
            </w:pPr>
            <w:r>
              <w:rPr>
                <w:rFonts w:hint="eastAsia" w:ascii="宋体" w:hAnsi="宋体"/>
                <w:color w:val="auto"/>
              </w:rPr>
              <w:t>-</w:t>
            </w:r>
          </w:p>
        </w:tc>
      </w:tr>
      <w:tr w14:paraId="0609D0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5000" w:type="pct"/>
            <w:gridSpan w:val="4"/>
            <w:vAlign w:val="center"/>
          </w:tcPr>
          <w:p w14:paraId="219758B0">
            <w:pPr>
              <w:spacing w:line="280" w:lineRule="exact"/>
              <w:rPr>
                <w:rFonts w:ascii="宋体" w:hAnsi="宋体"/>
                <w:color w:val="auto"/>
              </w:rPr>
            </w:pPr>
            <w:r>
              <w:rPr>
                <w:rFonts w:ascii="宋体" w:hAnsi="宋体"/>
                <w:b/>
                <w:color w:val="auto"/>
              </w:rPr>
              <w:t>加油机</w:t>
            </w:r>
          </w:p>
        </w:tc>
      </w:tr>
      <w:tr w14:paraId="0A8C24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372" w:type="pct"/>
            <w:vAlign w:val="center"/>
          </w:tcPr>
          <w:p w14:paraId="7D164AE4">
            <w:pPr>
              <w:numPr>
                <w:ilvl w:val="0"/>
                <w:numId w:val="8"/>
              </w:numPr>
              <w:spacing w:line="280" w:lineRule="exact"/>
              <w:jc w:val="center"/>
              <w:rPr>
                <w:rFonts w:ascii="宋体" w:hAnsi="宋体"/>
                <w:color w:val="auto"/>
              </w:rPr>
            </w:pPr>
          </w:p>
        </w:tc>
        <w:tc>
          <w:tcPr>
            <w:tcW w:w="3346" w:type="pct"/>
            <w:vAlign w:val="center"/>
          </w:tcPr>
          <w:p w14:paraId="50F804D9">
            <w:pPr>
              <w:spacing w:line="280" w:lineRule="exact"/>
              <w:rPr>
                <w:rFonts w:ascii="宋体" w:hAnsi="宋体"/>
                <w:color w:val="auto"/>
              </w:rPr>
            </w:pPr>
            <w:r>
              <w:rPr>
                <w:rFonts w:ascii="宋体" w:hAnsi="宋体"/>
                <w:color w:val="auto"/>
              </w:rPr>
              <w:t>6.2.1加油机不得设置在室内。</w:t>
            </w:r>
          </w:p>
        </w:tc>
        <w:tc>
          <w:tcPr>
            <w:tcW w:w="916" w:type="pct"/>
            <w:vAlign w:val="center"/>
          </w:tcPr>
          <w:p w14:paraId="00F746C1">
            <w:pPr>
              <w:spacing w:line="280" w:lineRule="exact"/>
              <w:rPr>
                <w:rFonts w:ascii="宋体" w:hAnsi="宋体"/>
                <w:color w:val="auto"/>
              </w:rPr>
            </w:pPr>
            <w:r>
              <w:rPr>
                <w:rFonts w:ascii="宋体" w:hAnsi="宋体"/>
                <w:color w:val="auto"/>
              </w:rPr>
              <w:t>室外</w:t>
            </w:r>
          </w:p>
        </w:tc>
        <w:tc>
          <w:tcPr>
            <w:tcW w:w="364" w:type="pct"/>
            <w:vAlign w:val="center"/>
          </w:tcPr>
          <w:p w14:paraId="56E0CFB3">
            <w:pPr>
              <w:spacing w:line="280" w:lineRule="exact"/>
              <w:rPr>
                <w:rFonts w:ascii="宋体" w:hAnsi="宋体"/>
                <w:color w:val="auto"/>
              </w:rPr>
            </w:pPr>
            <w:r>
              <w:rPr>
                <w:rFonts w:ascii="宋体" w:hAnsi="宋体"/>
                <w:color w:val="auto"/>
              </w:rPr>
              <w:t>合格</w:t>
            </w:r>
          </w:p>
        </w:tc>
      </w:tr>
      <w:tr w14:paraId="6033D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09C7A35">
            <w:pPr>
              <w:numPr>
                <w:ilvl w:val="0"/>
                <w:numId w:val="8"/>
              </w:numPr>
              <w:spacing w:line="280" w:lineRule="exact"/>
              <w:jc w:val="center"/>
              <w:rPr>
                <w:rFonts w:ascii="宋体" w:hAnsi="宋体"/>
                <w:color w:val="auto"/>
              </w:rPr>
            </w:pPr>
          </w:p>
        </w:tc>
        <w:tc>
          <w:tcPr>
            <w:tcW w:w="3346" w:type="pct"/>
            <w:vAlign w:val="center"/>
          </w:tcPr>
          <w:p w14:paraId="522F9995">
            <w:pPr>
              <w:spacing w:line="280" w:lineRule="exact"/>
              <w:rPr>
                <w:rFonts w:ascii="宋体" w:hAnsi="宋体"/>
                <w:color w:val="auto"/>
              </w:rPr>
            </w:pPr>
            <w:r>
              <w:rPr>
                <w:rFonts w:ascii="宋体" w:hAnsi="宋体"/>
                <w:color w:val="auto"/>
              </w:rPr>
              <w:t>6.2.2加油枪应采用自封式加油枪，汽油加油枪的流量不应大于50L/min</w:t>
            </w:r>
          </w:p>
        </w:tc>
        <w:tc>
          <w:tcPr>
            <w:tcW w:w="916" w:type="pct"/>
            <w:vAlign w:val="center"/>
          </w:tcPr>
          <w:p w14:paraId="57355FA1">
            <w:pPr>
              <w:spacing w:line="280" w:lineRule="exact"/>
              <w:rPr>
                <w:rFonts w:ascii="宋体" w:hAnsi="宋体"/>
                <w:color w:val="auto"/>
              </w:rPr>
            </w:pPr>
            <w:r>
              <w:rPr>
                <w:rFonts w:ascii="宋体" w:hAnsi="宋体"/>
                <w:color w:val="auto"/>
              </w:rPr>
              <w:t>汽油</w:t>
            </w:r>
            <w:r>
              <w:rPr>
                <w:rFonts w:hint="eastAsia" w:ascii="宋体" w:hAnsi="宋体"/>
                <w:color w:val="auto"/>
              </w:rPr>
              <w:t>的</w:t>
            </w:r>
            <w:r>
              <w:rPr>
                <w:rFonts w:ascii="宋体" w:hAnsi="宋体"/>
                <w:color w:val="auto"/>
              </w:rPr>
              <w:t>加油枪</w:t>
            </w:r>
            <w:r>
              <w:rPr>
                <w:rFonts w:hint="eastAsia" w:ascii="宋体" w:hAnsi="宋体"/>
                <w:color w:val="auto"/>
              </w:rPr>
              <w:t>流量为5～</w:t>
            </w:r>
            <w:r>
              <w:rPr>
                <w:rFonts w:ascii="宋体" w:hAnsi="宋体"/>
                <w:color w:val="auto"/>
              </w:rPr>
              <w:t>50L/min</w:t>
            </w:r>
          </w:p>
        </w:tc>
        <w:tc>
          <w:tcPr>
            <w:tcW w:w="364" w:type="pct"/>
            <w:vAlign w:val="center"/>
          </w:tcPr>
          <w:p w14:paraId="73912B8B">
            <w:pPr>
              <w:spacing w:line="280" w:lineRule="exact"/>
              <w:rPr>
                <w:rFonts w:ascii="宋体" w:hAnsi="宋体"/>
                <w:color w:val="auto"/>
              </w:rPr>
            </w:pPr>
            <w:r>
              <w:rPr>
                <w:rFonts w:ascii="宋体" w:hAnsi="宋体"/>
                <w:color w:val="auto"/>
              </w:rPr>
              <w:t>合格</w:t>
            </w:r>
          </w:p>
        </w:tc>
      </w:tr>
      <w:tr w14:paraId="579E3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372" w:type="pct"/>
            <w:vAlign w:val="center"/>
          </w:tcPr>
          <w:p w14:paraId="7B2B9884">
            <w:pPr>
              <w:numPr>
                <w:ilvl w:val="0"/>
                <w:numId w:val="8"/>
              </w:numPr>
              <w:spacing w:line="280" w:lineRule="exact"/>
              <w:jc w:val="center"/>
              <w:rPr>
                <w:rFonts w:ascii="宋体" w:hAnsi="宋体"/>
                <w:color w:val="auto"/>
              </w:rPr>
            </w:pPr>
          </w:p>
        </w:tc>
        <w:tc>
          <w:tcPr>
            <w:tcW w:w="3346" w:type="pct"/>
            <w:vAlign w:val="center"/>
          </w:tcPr>
          <w:p w14:paraId="6ED114BA">
            <w:pPr>
              <w:spacing w:line="280" w:lineRule="exact"/>
              <w:rPr>
                <w:rFonts w:ascii="宋体" w:hAnsi="宋体"/>
                <w:color w:val="auto"/>
              </w:rPr>
            </w:pPr>
            <w:r>
              <w:rPr>
                <w:rFonts w:ascii="宋体" w:hAnsi="宋体"/>
                <w:color w:val="auto"/>
              </w:rPr>
              <w:t>6.2.3加油软管上宜设安全拉断阀。</w:t>
            </w:r>
          </w:p>
        </w:tc>
        <w:tc>
          <w:tcPr>
            <w:tcW w:w="916" w:type="pct"/>
            <w:vAlign w:val="center"/>
          </w:tcPr>
          <w:p w14:paraId="2765C0CC">
            <w:pPr>
              <w:spacing w:line="280" w:lineRule="exact"/>
              <w:rPr>
                <w:rFonts w:ascii="宋体" w:hAnsi="宋体"/>
                <w:color w:val="auto"/>
              </w:rPr>
            </w:pPr>
            <w:r>
              <w:rPr>
                <w:rFonts w:ascii="宋体" w:hAnsi="宋体"/>
                <w:color w:val="auto"/>
              </w:rPr>
              <w:t>设安全拉断阀</w:t>
            </w:r>
          </w:p>
        </w:tc>
        <w:tc>
          <w:tcPr>
            <w:tcW w:w="364" w:type="pct"/>
            <w:vAlign w:val="center"/>
          </w:tcPr>
          <w:p w14:paraId="210890CA">
            <w:pPr>
              <w:spacing w:line="280" w:lineRule="exact"/>
              <w:rPr>
                <w:rFonts w:ascii="宋体" w:hAnsi="宋体"/>
                <w:color w:val="auto"/>
              </w:rPr>
            </w:pPr>
            <w:r>
              <w:rPr>
                <w:rFonts w:ascii="宋体" w:hAnsi="宋体"/>
                <w:color w:val="auto"/>
              </w:rPr>
              <w:t>合格</w:t>
            </w:r>
          </w:p>
        </w:tc>
      </w:tr>
      <w:tr w14:paraId="5FDBA0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A19DBCA">
            <w:pPr>
              <w:numPr>
                <w:ilvl w:val="0"/>
                <w:numId w:val="8"/>
              </w:numPr>
              <w:spacing w:line="280" w:lineRule="exact"/>
              <w:jc w:val="center"/>
              <w:rPr>
                <w:rFonts w:ascii="宋体" w:hAnsi="宋体"/>
                <w:color w:val="auto"/>
              </w:rPr>
            </w:pPr>
          </w:p>
        </w:tc>
        <w:tc>
          <w:tcPr>
            <w:tcW w:w="3346" w:type="pct"/>
            <w:vAlign w:val="center"/>
          </w:tcPr>
          <w:p w14:paraId="13F6935D">
            <w:pPr>
              <w:spacing w:line="280" w:lineRule="exact"/>
              <w:rPr>
                <w:rFonts w:ascii="宋体" w:hAnsi="宋体"/>
                <w:color w:val="auto"/>
              </w:rPr>
            </w:pPr>
            <w:r>
              <w:rPr>
                <w:rFonts w:ascii="宋体" w:hAnsi="宋体"/>
                <w:color w:val="auto"/>
              </w:rPr>
              <w:t>6.2.4以正压</w:t>
            </w:r>
            <w:r>
              <w:rPr>
                <w:rFonts w:hint="eastAsia" w:ascii="宋体" w:hAnsi="宋体"/>
                <w:color w:val="auto"/>
                <w:lang w:eastAsia="zh-CN"/>
              </w:rPr>
              <w:t>（</w:t>
            </w:r>
            <w:r>
              <w:rPr>
                <w:rFonts w:ascii="宋体" w:hAnsi="宋体"/>
                <w:color w:val="auto"/>
              </w:rPr>
              <w:t>潜油泵</w:t>
            </w:r>
            <w:r>
              <w:rPr>
                <w:rFonts w:hint="eastAsia" w:ascii="宋体" w:hAnsi="宋体"/>
                <w:color w:val="auto"/>
                <w:lang w:eastAsia="zh-CN"/>
              </w:rPr>
              <w:t>）</w:t>
            </w:r>
            <w:r>
              <w:rPr>
                <w:rFonts w:ascii="宋体" w:hAnsi="宋体"/>
                <w:color w:val="auto"/>
              </w:rPr>
              <w:t>供油的加油机，其底部的供油管道上应设剪切阀，当加油机被撞或起火时，剪切阀应能自动关闭。</w:t>
            </w:r>
          </w:p>
        </w:tc>
        <w:tc>
          <w:tcPr>
            <w:tcW w:w="916" w:type="pct"/>
            <w:vAlign w:val="center"/>
          </w:tcPr>
          <w:p w14:paraId="7E66A21F">
            <w:pPr>
              <w:spacing w:line="280" w:lineRule="exact"/>
              <w:rPr>
                <w:rFonts w:ascii="宋体" w:hAnsi="宋体"/>
                <w:color w:val="auto"/>
              </w:rPr>
            </w:pPr>
            <w:r>
              <w:rPr>
                <w:rFonts w:ascii="宋体" w:hAnsi="宋体"/>
                <w:color w:val="auto"/>
              </w:rPr>
              <w:t>设有剪切阀</w:t>
            </w:r>
          </w:p>
        </w:tc>
        <w:tc>
          <w:tcPr>
            <w:tcW w:w="364" w:type="pct"/>
            <w:vAlign w:val="center"/>
          </w:tcPr>
          <w:p w14:paraId="2FB07684">
            <w:pPr>
              <w:spacing w:line="280" w:lineRule="exact"/>
              <w:rPr>
                <w:rFonts w:ascii="宋体" w:hAnsi="宋体"/>
                <w:color w:val="auto"/>
              </w:rPr>
            </w:pPr>
            <w:r>
              <w:rPr>
                <w:rFonts w:ascii="宋体" w:hAnsi="宋体"/>
                <w:color w:val="auto"/>
              </w:rPr>
              <w:t>合格</w:t>
            </w:r>
          </w:p>
        </w:tc>
      </w:tr>
      <w:tr w14:paraId="0E468C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7BCA592">
            <w:pPr>
              <w:numPr>
                <w:ilvl w:val="0"/>
                <w:numId w:val="8"/>
              </w:numPr>
              <w:spacing w:line="280" w:lineRule="exact"/>
              <w:jc w:val="center"/>
              <w:rPr>
                <w:rFonts w:ascii="宋体" w:hAnsi="宋体"/>
                <w:color w:val="auto"/>
              </w:rPr>
            </w:pPr>
          </w:p>
        </w:tc>
        <w:tc>
          <w:tcPr>
            <w:tcW w:w="3346" w:type="pct"/>
            <w:vAlign w:val="center"/>
          </w:tcPr>
          <w:p w14:paraId="47B2FE31">
            <w:pPr>
              <w:spacing w:line="280" w:lineRule="exact"/>
              <w:rPr>
                <w:rFonts w:ascii="宋体" w:hAnsi="宋体"/>
                <w:color w:val="auto"/>
              </w:rPr>
            </w:pPr>
            <w:r>
              <w:rPr>
                <w:rFonts w:ascii="宋体" w:hAnsi="宋体"/>
                <w:color w:val="auto"/>
              </w:rPr>
              <w:t>6.2.5采用一机多油品的加油机时，加油机上的放枪位应有各油品的文字标识，加油枪应有颜色标识。</w:t>
            </w:r>
          </w:p>
        </w:tc>
        <w:tc>
          <w:tcPr>
            <w:tcW w:w="916" w:type="pct"/>
            <w:vAlign w:val="center"/>
          </w:tcPr>
          <w:p w14:paraId="1A099999">
            <w:pPr>
              <w:spacing w:line="280" w:lineRule="exact"/>
              <w:rPr>
                <w:rFonts w:ascii="宋体" w:hAnsi="宋体"/>
                <w:color w:val="auto"/>
              </w:rPr>
            </w:pPr>
            <w:r>
              <w:rPr>
                <w:rFonts w:ascii="宋体" w:hAnsi="宋体"/>
                <w:color w:val="auto"/>
              </w:rPr>
              <w:t>有各油品的文字标识，加油枪有颜色标识</w:t>
            </w:r>
          </w:p>
        </w:tc>
        <w:tc>
          <w:tcPr>
            <w:tcW w:w="364" w:type="pct"/>
            <w:vAlign w:val="center"/>
          </w:tcPr>
          <w:p w14:paraId="3FEA2C2D">
            <w:pPr>
              <w:spacing w:line="280" w:lineRule="exact"/>
              <w:rPr>
                <w:rFonts w:ascii="宋体" w:hAnsi="宋体"/>
                <w:color w:val="auto"/>
              </w:rPr>
            </w:pPr>
            <w:r>
              <w:rPr>
                <w:rFonts w:ascii="宋体" w:hAnsi="宋体"/>
                <w:color w:val="auto"/>
              </w:rPr>
              <w:t>合格</w:t>
            </w:r>
          </w:p>
        </w:tc>
      </w:tr>
      <w:tr w14:paraId="3D7B4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5000" w:type="pct"/>
            <w:gridSpan w:val="4"/>
            <w:vAlign w:val="center"/>
          </w:tcPr>
          <w:p w14:paraId="2A739F5E">
            <w:pPr>
              <w:spacing w:line="280" w:lineRule="exact"/>
              <w:rPr>
                <w:rFonts w:ascii="宋体" w:hAnsi="宋体"/>
                <w:b/>
                <w:color w:val="auto"/>
              </w:rPr>
            </w:pPr>
            <w:r>
              <w:rPr>
                <w:rFonts w:ascii="宋体" w:hAnsi="宋体"/>
                <w:b/>
                <w:color w:val="auto"/>
              </w:rPr>
              <w:t>工艺管道系统</w:t>
            </w:r>
          </w:p>
        </w:tc>
      </w:tr>
      <w:tr w14:paraId="079E6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E9CBED6">
            <w:pPr>
              <w:numPr>
                <w:ilvl w:val="0"/>
                <w:numId w:val="9"/>
              </w:numPr>
              <w:spacing w:line="280" w:lineRule="exact"/>
              <w:jc w:val="center"/>
              <w:rPr>
                <w:rFonts w:ascii="宋体" w:hAnsi="宋体"/>
                <w:color w:val="auto"/>
              </w:rPr>
            </w:pPr>
          </w:p>
        </w:tc>
        <w:tc>
          <w:tcPr>
            <w:tcW w:w="3346" w:type="pct"/>
            <w:vAlign w:val="center"/>
          </w:tcPr>
          <w:p w14:paraId="1980B864">
            <w:pPr>
              <w:spacing w:line="280" w:lineRule="exact"/>
              <w:rPr>
                <w:rFonts w:ascii="宋体" w:hAnsi="宋体"/>
                <w:color w:val="auto"/>
              </w:rPr>
            </w:pPr>
            <w:r>
              <w:rPr>
                <w:rFonts w:ascii="宋体" w:hAnsi="宋体"/>
                <w:color w:val="auto"/>
              </w:rPr>
              <w:t>6.3.1汽油和柴油油罐车卸油必须采用密闭卸油方式。汽油油罐车应具有卸油油气回收系统。</w:t>
            </w:r>
          </w:p>
        </w:tc>
        <w:tc>
          <w:tcPr>
            <w:tcW w:w="916" w:type="pct"/>
            <w:vAlign w:val="center"/>
          </w:tcPr>
          <w:p w14:paraId="32E8570A">
            <w:pPr>
              <w:spacing w:line="280" w:lineRule="exact"/>
              <w:rPr>
                <w:rFonts w:ascii="宋体" w:hAnsi="宋体"/>
                <w:color w:val="auto"/>
              </w:rPr>
            </w:pPr>
            <w:r>
              <w:rPr>
                <w:rFonts w:ascii="宋体" w:hAnsi="宋体"/>
                <w:color w:val="auto"/>
              </w:rPr>
              <w:t>密闭卸油</w:t>
            </w:r>
            <w:r>
              <w:rPr>
                <w:rFonts w:hint="eastAsia" w:ascii="宋体" w:hAnsi="宋体"/>
                <w:color w:val="auto"/>
              </w:rPr>
              <w:t>，有卸油油气回收系统</w:t>
            </w:r>
          </w:p>
        </w:tc>
        <w:tc>
          <w:tcPr>
            <w:tcW w:w="364" w:type="pct"/>
            <w:vAlign w:val="center"/>
          </w:tcPr>
          <w:p w14:paraId="2488C93D">
            <w:pPr>
              <w:spacing w:line="280" w:lineRule="exact"/>
              <w:rPr>
                <w:rFonts w:ascii="宋体" w:hAnsi="宋体"/>
                <w:color w:val="auto"/>
              </w:rPr>
            </w:pPr>
            <w:r>
              <w:rPr>
                <w:rFonts w:ascii="宋体" w:hAnsi="宋体"/>
                <w:color w:val="auto"/>
              </w:rPr>
              <w:t>合格</w:t>
            </w:r>
          </w:p>
        </w:tc>
      </w:tr>
      <w:tr w14:paraId="6A6E1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98ED405">
            <w:pPr>
              <w:numPr>
                <w:ilvl w:val="0"/>
                <w:numId w:val="9"/>
              </w:numPr>
              <w:spacing w:line="280" w:lineRule="exact"/>
              <w:jc w:val="center"/>
              <w:rPr>
                <w:rFonts w:ascii="宋体" w:hAnsi="宋体"/>
                <w:color w:val="auto"/>
              </w:rPr>
            </w:pPr>
          </w:p>
        </w:tc>
        <w:tc>
          <w:tcPr>
            <w:tcW w:w="3346" w:type="pct"/>
            <w:vAlign w:val="center"/>
          </w:tcPr>
          <w:p w14:paraId="4EE62E2D">
            <w:pPr>
              <w:spacing w:line="280" w:lineRule="exact"/>
              <w:rPr>
                <w:rFonts w:ascii="宋体" w:hAnsi="宋体"/>
                <w:color w:val="auto"/>
              </w:rPr>
            </w:pPr>
            <w:r>
              <w:rPr>
                <w:rFonts w:ascii="宋体" w:hAnsi="宋体"/>
                <w:color w:val="auto"/>
              </w:rPr>
              <w:t>6.3.2每个油罐应各自设置卸油管道和卸油</w:t>
            </w:r>
            <w:r>
              <w:rPr>
                <w:rFonts w:hint="eastAsia" w:ascii="宋体" w:hAnsi="宋体"/>
                <w:color w:val="auto"/>
                <w:lang w:eastAsia="zh-CN"/>
              </w:rPr>
              <w:t>接口</w:t>
            </w:r>
            <w:r>
              <w:rPr>
                <w:rFonts w:ascii="宋体" w:hAnsi="宋体"/>
                <w:color w:val="auto"/>
              </w:rPr>
              <w:t>卸油接口及油气回收接口应有明显的标识。</w:t>
            </w:r>
          </w:p>
        </w:tc>
        <w:tc>
          <w:tcPr>
            <w:tcW w:w="916" w:type="pct"/>
            <w:vAlign w:val="center"/>
          </w:tcPr>
          <w:p w14:paraId="72F26E51">
            <w:pPr>
              <w:spacing w:line="280" w:lineRule="exact"/>
              <w:rPr>
                <w:rFonts w:ascii="宋体" w:hAnsi="宋体"/>
                <w:color w:val="auto"/>
              </w:rPr>
            </w:pPr>
            <w:r>
              <w:rPr>
                <w:rFonts w:ascii="宋体" w:hAnsi="宋体"/>
                <w:color w:val="auto"/>
              </w:rPr>
              <w:t>有</w:t>
            </w:r>
            <w:r>
              <w:rPr>
                <w:rFonts w:hint="eastAsia" w:ascii="宋体" w:hAnsi="宋体"/>
                <w:color w:val="auto"/>
              </w:rPr>
              <w:t>明显</w:t>
            </w:r>
            <w:r>
              <w:rPr>
                <w:rFonts w:ascii="宋体" w:hAnsi="宋体"/>
                <w:color w:val="auto"/>
              </w:rPr>
              <w:t>标识</w:t>
            </w:r>
          </w:p>
        </w:tc>
        <w:tc>
          <w:tcPr>
            <w:tcW w:w="364" w:type="pct"/>
            <w:vAlign w:val="center"/>
          </w:tcPr>
          <w:p w14:paraId="498E5F30">
            <w:pPr>
              <w:spacing w:line="280" w:lineRule="exact"/>
              <w:rPr>
                <w:rFonts w:ascii="宋体" w:hAnsi="宋体"/>
                <w:color w:val="auto"/>
              </w:rPr>
            </w:pPr>
            <w:r>
              <w:rPr>
                <w:rFonts w:ascii="宋体" w:hAnsi="宋体"/>
                <w:color w:val="auto"/>
              </w:rPr>
              <w:t>合格</w:t>
            </w:r>
          </w:p>
        </w:tc>
      </w:tr>
      <w:tr w14:paraId="28D4B3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536013D">
            <w:pPr>
              <w:numPr>
                <w:ilvl w:val="0"/>
                <w:numId w:val="9"/>
              </w:numPr>
              <w:spacing w:line="280" w:lineRule="exact"/>
              <w:jc w:val="center"/>
              <w:rPr>
                <w:rFonts w:ascii="宋体" w:hAnsi="宋体"/>
                <w:color w:val="auto"/>
              </w:rPr>
            </w:pPr>
          </w:p>
        </w:tc>
        <w:tc>
          <w:tcPr>
            <w:tcW w:w="3346" w:type="pct"/>
            <w:vAlign w:val="center"/>
          </w:tcPr>
          <w:p w14:paraId="476F9028">
            <w:pPr>
              <w:spacing w:line="280" w:lineRule="exact"/>
              <w:rPr>
                <w:rFonts w:ascii="宋体" w:hAnsi="宋体"/>
                <w:color w:val="auto"/>
              </w:rPr>
            </w:pPr>
            <w:r>
              <w:rPr>
                <w:rFonts w:ascii="宋体" w:hAnsi="宋体"/>
                <w:color w:val="auto"/>
              </w:rPr>
              <w:t>6.3.3卸油接口应设置快速接头及密封盖。</w:t>
            </w:r>
          </w:p>
        </w:tc>
        <w:tc>
          <w:tcPr>
            <w:tcW w:w="916" w:type="pct"/>
            <w:vAlign w:val="center"/>
          </w:tcPr>
          <w:p w14:paraId="3DB73330">
            <w:pPr>
              <w:spacing w:line="280" w:lineRule="exact"/>
              <w:rPr>
                <w:rFonts w:ascii="宋体" w:hAnsi="宋体"/>
                <w:color w:val="auto"/>
              </w:rPr>
            </w:pPr>
            <w:r>
              <w:rPr>
                <w:rFonts w:ascii="宋体" w:hAnsi="宋体"/>
                <w:color w:val="auto"/>
              </w:rPr>
              <w:t>设置快速接头及密封盖</w:t>
            </w:r>
          </w:p>
        </w:tc>
        <w:tc>
          <w:tcPr>
            <w:tcW w:w="364" w:type="pct"/>
            <w:vAlign w:val="center"/>
          </w:tcPr>
          <w:p w14:paraId="336060C4">
            <w:pPr>
              <w:spacing w:line="280" w:lineRule="exact"/>
              <w:rPr>
                <w:rFonts w:ascii="宋体" w:hAnsi="宋体"/>
                <w:color w:val="auto"/>
              </w:rPr>
            </w:pPr>
            <w:r>
              <w:rPr>
                <w:rFonts w:ascii="宋体" w:hAnsi="宋体"/>
                <w:color w:val="auto"/>
              </w:rPr>
              <w:t>合格</w:t>
            </w:r>
          </w:p>
        </w:tc>
      </w:tr>
      <w:tr w14:paraId="16FA0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543C2F0">
            <w:pPr>
              <w:numPr>
                <w:ilvl w:val="0"/>
                <w:numId w:val="9"/>
              </w:numPr>
              <w:spacing w:line="280" w:lineRule="exact"/>
              <w:jc w:val="center"/>
              <w:rPr>
                <w:rFonts w:ascii="宋体" w:hAnsi="宋体"/>
                <w:color w:val="auto"/>
              </w:rPr>
            </w:pPr>
          </w:p>
        </w:tc>
        <w:tc>
          <w:tcPr>
            <w:tcW w:w="3346" w:type="pct"/>
            <w:vAlign w:val="center"/>
          </w:tcPr>
          <w:p w14:paraId="4E6640B4">
            <w:pPr>
              <w:spacing w:line="280" w:lineRule="exact"/>
              <w:rPr>
                <w:rFonts w:ascii="宋体" w:hAnsi="宋体"/>
                <w:color w:val="auto"/>
              </w:rPr>
            </w:pPr>
            <w:r>
              <w:rPr>
                <w:rFonts w:ascii="宋体" w:hAnsi="宋体"/>
                <w:color w:val="auto"/>
              </w:rPr>
              <w:t>6.3.4加油站卸油油气回收系统的设计应符合下列规定：</w:t>
            </w:r>
          </w:p>
          <w:p w14:paraId="2DBD403F">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汽油罐车向站内油罐卸油应采用平衡式密闭油气回收系统；</w:t>
            </w:r>
          </w:p>
          <w:p w14:paraId="6E89C735">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各汽油罐可共用一根卸油油气回收主管，</w:t>
            </w:r>
            <w:r>
              <w:rPr>
                <w:rFonts w:hint="eastAsia" w:ascii="宋体" w:hAnsi="宋体"/>
                <w:color w:val="auto"/>
              </w:rPr>
              <w:t>回收</w:t>
            </w:r>
            <w:r>
              <w:rPr>
                <w:rFonts w:ascii="宋体" w:hAnsi="宋体"/>
                <w:color w:val="auto"/>
              </w:rPr>
              <w:t>主管的公称直径不宜小于100mm</w:t>
            </w:r>
          </w:p>
          <w:p w14:paraId="14BE1379">
            <w:pPr>
              <w:spacing w:line="28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卸油油气回收管道的接口宜采用自闭式快速接头和盖帽，采用非自闭式快速接头时，应在靠近快速接头的连接管道上装设阀门和盖帽</w:t>
            </w:r>
          </w:p>
        </w:tc>
        <w:tc>
          <w:tcPr>
            <w:tcW w:w="916" w:type="pct"/>
            <w:vAlign w:val="center"/>
          </w:tcPr>
          <w:p w14:paraId="6BB1A1A6">
            <w:pPr>
              <w:spacing w:line="280" w:lineRule="exact"/>
              <w:rPr>
                <w:rFonts w:ascii="宋体" w:hAnsi="宋体"/>
                <w:color w:val="auto"/>
              </w:rPr>
            </w:pPr>
            <w:r>
              <w:rPr>
                <w:rFonts w:ascii="宋体" w:hAnsi="宋体"/>
                <w:color w:val="auto"/>
              </w:rPr>
              <w:t>采用密闭式油气回收；卸油油气回收管道采用快速接头</w:t>
            </w:r>
            <w:r>
              <w:rPr>
                <w:rFonts w:hint="eastAsia" w:ascii="宋体" w:hAnsi="宋体"/>
                <w:color w:val="auto"/>
              </w:rPr>
              <w:t>和盖帽</w:t>
            </w:r>
          </w:p>
        </w:tc>
        <w:tc>
          <w:tcPr>
            <w:tcW w:w="364" w:type="pct"/>
            <w:vAlign w:val="center"/>
          </w:tcPr>
          <w:p w14:paraId="05ED56F1">
            <w:pPr>
              <w:spacing w:line="280" w:lineRule="exact"/>
              <w:rPr>
                <w:rFonts w:ascii="宋体" w:hAnsi="宋体"/>
                <w:color w:val="auto"/>
              </w:rPr>
            </w:pPr>
            <w:r>
              <w:rPr>
                <w:rFonts w:ascii="宋体" w:hAnsi="宋体"/>
                <w:color w:val="auto"/>
              </w:rPr>
              <w:t>合格</w:t>
            </w:r>
          </w:p>
        </w:tc>
      </w:tr>
      <w:tr w14:paraId="3FAB2F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E06A768">
            <w:pPr>
              <w:numPr>
                <w:ilvl w:val="0"/>
                <w:numId w:val="9"/>
              </w:numPr>
              <w:spacing w:line="280" w:lineRule="exact"/>
              <w:jc w:val="center"/>
              <w:rPr>
                <w:rFonts w:ascii="宋体" w:hAnsi="宋体"/>
                <w:color w:val="auto"/>
              </w:rPr>
            </w:pPr>
          </w:p>
        </w:tc>
        <w:tc>
          <w:tcPr>
            <w:tcW w:w="3346" w:type="pct"/>
            <w:vAlign w:val="center"/>
          </w:tcPr>
          <w:p w14:paraId="6ADF7409">
            <w:pPr>
              <w:spacing w:line="280" w:lineRule="exact"/>
              <w:rPr>
                <w:rFonts w:ascii="宋体" w:hAnsi="宋体"/>
                <w:color w:val="auto"/>
              </w:rPr>
            </w:pPr>
            <w:r>
              <w:rPr>
                <w:rFonts w:ascii="宋体" w:hAnsi="宋体"/>
                <w:color w:val="auto"/>
              </w:rPr>
              <w:t>6.3.5加油站宜采用油罐装设潜油泵的一泵供多机（枪）的加油工艺。采用自吸式加油机时，每台加油机应按加油品种单独设置进油管和罐内底阀。</w:t>
            </w:r>
          </w:p>
        </w:tc>
        <w:tc>
          <w:tcPr>
            <w:tcW w:w="916" w:type="pct"/>
            <w:vAlign w:val="center"/>
          </w:tcPr>
          <w:p w14:paraId="1B790E86">
            <w:pPr>
              <w:spacing w:line="280" w:lineRule="exact"/>
              <w:rPr>
                <w:rFonts w:ascii="宋体" w:hAnsi="宋体"/>
                <w:color w:val="auto"/>
              </w:rPr>
            </w:pPr>
            <w:r>
              <w:rPr>
                <w:rFonts w:hint="eastAsia" w:ascii="宋体" w:hAnsi="宋体"/>
                <w:color w:val="auto"/>
              </w:rPr>
              <w:t>装设有潜油泵</w:t>
            </w:r>
          </w:p>
        </w:tc>
        <w:tc>
          <w:tcPr>
            <w:tcW w:w="364" w:type="pct"/>
            <w:vAlign w:val="center"/>
          </w:tcPr>
          <w:p w14:paraId="21E01BA5">
            <w:pPr>
              <w:spacing w:line="280" w:lineRule="exact"/>
              <w:rPr>
                <w:rFonts w:ascii="宋体" w:hAnsi="宋体"/>
                <w:color w:val="auto"/>
              </w:rPr>
            </w:pPr>
            <w:r>
              <w:rPr>
                <w:rFonts w:ascii="宋体" w:hAnsi="宋体"/>
                <w:color w:val="auto"/>
              </w:rPr>
              <w:t>合格</w:t>
            </w:r>
          </w:p>
        </w:tc>
      </w:tr>
      <w:tr w14:paraId="2043AA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21C24F0">
            <w:pPr>
              <w:numPr>
                <w:ilvl w:val="0"/>
                <w:numId w:val="9"/>
              </w:numPr>
              <w:spacing w:line="280" w:lineRule="exact"/>
              <w:jc w:val="center"/>
              <w:rPr>
                <w:rFonts w:ascii="宋体" w:hAnsi="宋体"/>
                <w:color w:val="auto"/>
              </w:rPr>
            </w:pPr>
          </w:p>
        </w:tc>
        <w:tc>
          <w:tcPr>
            <w:tcW w:w="3346" w:type="pct"/>
            <w:vAlign w:val="center"/>
          </w:tcPr>
          <w:p w14:paraId="4DA82B21">
            <w:pPr>
              <w:spacing w:line="280" w:lineRule="exact"/>
              <w:rPr>
                <w:rFonts w:ascii="宋体" w:hAnsi="宋体"/>
                <w:color w:val="auto"/>
              </w:rPr>
            </w:pPr>
            <w:r>
              <w:rPr>
                <w:rFonts w:ascii="宋体" w:hAnsi="宋体"/>
                <w:color w:val="auto"/>
              </w:rPr>
              <w:t>6.3.6加油站应采用加油油气回收系统。</w:t>
            </w:r>
          </w:p>
        </w:tc>
        <w:tc>
          <w:tcPr>
            <w:tcW w:w="916" w:type="pct"/>
            <w:vAlign w:val="center"/>
          </w:tcPr>
          <w:p w14:paraId="10EF67C5">
            <w:pPr>
              <w:spacing w:line="280" w:lineRule="exact"/>
              <w:rPr>
                <w:rFonts w:ascii="宋体" w:hAnsi="宋体"/>
                <w:color w:val="auto"/>
              </w:rPr>
            </w:pPr>
            <w:r>
              <w:rPr>
                <w:rFonts w:ascii="宋体" w:hAnsi="宋体"/>
                <w:color w:val="auto"/>
              </w:rPr>
              <w:t>采用加油油气回收系统</w:t>
            </w:r>
          </w:p>
        </w:tc>
        <w:tc>
          <w:tcPr>
            <w:tcW w:w="364" w:type="pct"/>
            <w:vAlign w:val="center"/>
          </w:tcPr>
          <w:p w14:paraId="34EF9857">
            <w:pPr>
              <w:spacing w:line="280" w:lineRule="exact"/>
              <w:rPr>
                <w:rFonts w:ascii="宋体" w:hAnsi="宋体"/>
                <w:color w:val="auto"/>
              </w:rPr>
            </w:pPr>
            <w:r>
              <w:rPr>
                <w:rFonts w:ascii="宋体" w:hAnsi="宋体"/>
                <w:color w:val="auto"/>
              </w:rPr>
              <w:t>合格</w:t>
            </w:r>
          </w:p>
        </w:tc>
      </w:tr>
      <w:tr w14:paraId="44999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A92663A">
            <w:pPr>
              <w:keepNext w:val="0"/>
              <w:keepLines w:val="0"/>
              <w:pageBreakBefore w:val="0"/>
              <w:widowControl w:val="0"/>
              <w:numPr>
                <w:ilvl w:val="0"/>
                <w:numId w:val="9"/>
              </w:numPr>
              <w:kinsoku/>
              <w:wordWrap/>
              <w:overflowPunct/>
              <w:topLinePunct w:val="0"/>
              <w:autoSpaceDE/>
              <w:autoSpaceDN/>
              <w:bidi w:val="0"/>
              <w:adjustRightInd/>
              <w:snapToGrid/>
              <w:spacing w:line="240" w:lineRule="exact"/>
              <w:jc w:val="center"/>
              <w:textAlignment w:val="auto"/>
              <w:rPr>
                <w:rFonts w:ascii="宋体" w:hAnsi="宋体"/>
                <w:color w:val="auto"/>
              </w:rPr>
            </w:pPr>
          </w:p>
        </w:tc>
        <w:tc>
          <w:tcPr>
            <w:tcW w:w="3346" w:type="pct"/>
            <w:vAlign w:val="center"/>
          </w:tcPr>
          <w:p w14:paraId="05B0014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6.3.7加油油气回收系统的设计应符合下列规定：</w:t>
            </w:r>
          </w:p>
          <w:p w14:paraId="0BFB180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应采用真空辅助式油气回收系统；</w:t>
            </w:r>
          </w:p>
          <w:p w14:paraId="438E446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汽油加油机与油罐之间应设油气回收管道，多台汽油加油机可共用一根油气回收主管，油气回收主管的公称直径不应小于50mm；</w:t>
            </w:r>
          </w:p>
          <w:p w14:paraId="3F79200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加油油气回收系统应采取防止油气反向流至加油枪的措施；</w:t>
            </w:r>
          </w:p>
          <w:p w14:paraId="7241304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加油机应具备回收油气功能，其气液比宜设定为1.0~1.2；</w:t>
            </w:r>
          </w:p>
          <w:p w14:paraId="770B0CE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在加油机底部与油气回收立管的连接处，应安装一个用于检测液阻和系统密闭性的丝接三通，其旁通短管上应设公称直径为25mm的球阀及丝堵。</w:t>
            </w:r>
          </w:p>
        </w:tc>
        <w:tc>
          <w:tcPr>
            <w:tcW w:w="916" w:type="pct"/>
            <w:vAlign w:val="center"/>
          </w:tcPr>
          <w:p w14:paraId="73886CB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真空辅助式油气回收系统</w:t>
            </w:r>
            <w:r>
              <w:rPr>
                <w:rFonts w:hint="eastAsia" w:ascii="宋体" w:hAnsi="宋体"/>
                <w:color w:val="auto"/>
              </w:rPr>
              <w:t>，</w:t>
            </w:r>
            <w:r>
              <w:rPr>
                <w:rFonts w:ascii="宋体" w:hAnsi="宋体"/>
                <w:color w:val="auto"/>
              </w:rPr>
              <w:t>油气回收主管的公称直径50mm</w:t>
            </w:r>
            <w:r>
              <w:rPr>
                <w:rFonts w:hint="eastAsia" w:ascii="宋体" w:hAnsi="宋体"/>
                <w:color w:val="auto"/>
              </w:rPr>
              <w:t>，有</w:t>
            </w:r>
            <w:r>
              <w:rPr>
                <w:rFonts w:ascii="宋体" w:hAnsi="宋体"/>
                <w:color w:val="auto"/>
              </w:rPr>
              <w:t>丝接三通</w:t>
            </w:r>
          </w:p>
        </w:tc>
        <w:tc>
          <w:tcPr>
            <w:tcW w:w="364" w:type="pct"/>
            <w:vAlign w:val="center"/>
          </w:tcPr>
          <w:p w14:paraId="142E03D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合格</w:t>
            </w:r>
          </w:p>
        </w:tc>
      </w:tr>
      <w:tr w14:paraId="03DB3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36B5DB8">
            <w:pPr>
              <w:keepNext w:val="0"/>
              <w:keepLines w:val="0"/>
              <w:pageBreakBefore w:val="0"/>
              <w:widowControl w:val="0"/>
              <w:numPr>
                <w:ilvl w:val="0"/>
                <w:numId w:val="9"/>
              </w:numPr>
              <w:kinsoku/>
              <w:wordWrap/>
              <w:overflowPunct/>
              <w:topLinePunct w:val="0"/>
              <w:autoSpaceDE/>
              <w:autoSpaceDN/>
              <w:bidi w:val="0"/>
              <w:adjustRightInd/>
              <w:snapToGrid/>
              <w:spacing w:line="240" w:lineRule="exact"/>
              <w:jc w:val="center"/>
              <w:textAlignment w:val="auto"/>
              <w:rPr>
                <w:rFonts w:ascii="宋体" w:hAnsi="宋体"/>
                <w:color w:val="auto"/>
              </w:rPr>
            </w:pPr>
          </w:p>
        </w:tc>
        <w:tc>
          <w:tcPr>
            <w:tcW w:w="3346" w:type="pct"/>
            <w:vAlign w:val="center"/>
          </w:tcPr>
          <w:p w14:paraId="6C64818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6.3.8油罐的接合管设置应符合下列规定：</w:t>
            </w:r>
          </w:p>
          <w:p w14:paraId="1A2223D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接合管应为金属材质；</w:t>
            </w:r>
          </w:p>
          <w:p w14:paraId="2F84139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接合管应设在油罐的顶部，其中进油接合管、出</w:t>
            </w:r>
            <w:r>
              <w:rPr>
                <w:rFonts w:hint="eastAsia" w:ascii="宋体" w:hAnsi="宋体"/>
                <w:color w:val="auto"/>
              </w:rPr>
              <w:t>油</w:t>
            </w:r>
            <w:r>
              <w:rPr>
                <w:rFonts w:ascii="宋体" w:hAnsi="宋体"/>
                <w:color w:val="auto"/>
              </w:rPr>
              <w:t>接合管或潜油泵安装口应设在人孔盖上；</w:t>
            </w:r>
          </w:p>
          <w:p w14:paraId="7EE794D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进油管应伸至罐内距罐底50mm</w:t>
            </w:r>
            <w:r>
              <w:rPr>
                <w:rFonts w:hint="eastAsia" w:ascii="宋体" w:hAnsi="宋体"/>
                <w:color w:val="auto"/>
                <w:lang w:eastAsia="zh-CN"/>
              </w:rPr>
              <w:t>～</w:t>
            </w:r>
            <w:r>
              <w:rPr>
                <w:rFonts w:ascii="宋体" w:hAnsi="宋体"/>
                <w:color w:val="auto"/>
              </w:rPr>
              <w:t>100mm处，进油立管的底端应为45°斜管口或T形管口，进油管管壁上不得有与油罐气相空间相通的开口；</w:t>
            </w:r>
          </w:p>
          <w:p w14:paraId="3635E5F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罐内潜油泵的入油口或通往自吸式加油机管道的罐内底阀，应高于罐底150mm</w:t>
            </w:r>
            <w:r>
              <w:rPr>
                <w:rFonts w:hint="eastAsia" w:ascii="宋体" w:hAnsi="宋体"/>
                <w:color w:val="auto"/>
                <w:lang w:eastAsia="zh-CN"/>
              </w:rPr>
              <w:t>～</w:t>
            </w:r>
            <w:r>
              <w:rPr>
                <w:rFonts w:ascii="宋体" w:hAnsi="宋体"/>
                <w:color w:val="auto"/>
              </w:rPr>
              <w:t>200mm；</w:t>
            </w:r>
          </w:p>
          <w:p w14:paraId="62E33D3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油罐的量油孔应设带锁的量油帽，量油孔</w:t>
            </w:r>
            <w:r>
              <w:rPr>
                <w:rFonts w:hint="eastAsia" w:ascii="宋体" w:hAnsi="宋体"/>
                <w:color w:val="auto"/>
              </w:rPr>
              <w:t>下</w:t>
            </w:r>
            <w:r>
              <w:rPr>
                <w:rFonts w:ascii="宋体" w:hAnsi="宋体"/>
                <w:color w:val="auto"/>
              </w:rPr>
              <w:t>部的接合管宜向下伸至罐内距罐底200mm处，并应有检尺时使接合管内液位与罐内液位相一致的技术措施；</w:t>
            </w:r>
          </w:p>
          <w:p w14:paraId="2C25010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w:t>
            </w:r>
            <w:r>
              <w:rPr>
                <w:rFonts w:hint="eastAsia" w:ascii="宋体" w:hAnsi="宋体"/>
                <w:color w:val="auto"/>
              </w:rPr>
              <w:t>、</w:t>
            </w:r>
            <w:r>
              <w:rPr>
                <w:rFonts w:ascii="宋体" w:hAnsi="宋体"/>
                <w:color w:val="auto"/>
              </w:rPr>
              <w:t>油罐人孔并构的管道及设备应保证油罐人孔盖的可拆装性；</w:t>
            </w:r>
          </w:p>
          <w:p w14:paraId="4450EE7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7</w:t>
            </w:r>
            <w:r>
              <w:rPr>
                <w:rFonts w:hint="eastAsia" w:ascii="宋体" w:hAnsi="宋体"/>
                <w:color w:val="auto"/>
                <w:lang w:eastAsia="zh-CN"/>
              </w:rPr>
              <w:t>、</w:t>
            </w:r>
            <w:r>
              <w:rPr>
                <w:rFonts w:ascii="宋体" w:hAnsi="宋体"/>
                <w:color w:val="auto"/>
              </w:rPr>
              <w:t>孔盖上的接合管与引出井外管道的连接，宜采用金属软管过渡连接。</w:t>
            </w:r>
          </w:p>
        </w:tc>
        <w:tc>
          <w:tcPr>
            <w:tcW w:w="916" w:type="pct"/>
            <w:vAlign w:val="center"/>
          </w:tcPr>
          <w:p w14:paraId="058BE4D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隐蔽工程。已验收</w:t>
            </w:r>
          </w:p>
          <w:p w14:paraId="3502FC8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量油孔设</w:t>
            </w:r>
            <w:r>
              <w:rPr>
                <w:rFonts w:hint="eastAsia" w:ascii="宋体" w:hAnsi="宋体"/>
                <w:color w:val="auto"/>
              </w:rPr>
              <w:t>有</w:t>
            </w:r>
            <w:r>
              <w:rPr>
                <w:rFonts w:ascii="宋体" w:hAnsi="宋体"/>
                <w:color w:val="auto"/>
              </w:rPr>
              <w:t>带锁的量油帽</w:t>
            </w:r>
          </w:p>
          <w:p w14:paraId="6F7D2D4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油罐人孔盖可拆装</w:t>
            </w:r>
          </w:p>
          <w:p w14:paraId="4544790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人</w:t>
            </w:r>
            <w:r>
              <w:rPr>
                <w:rFonts w:ascii="宋体" w:hAnsi="宋体"/>
                <w:color w:val="auto"/>
              </w:rPr>
              <w:t>孔盖上的接合管与引出井外管道的连接，采用金属软管过渡连接</w:t>
            </w:r>
          </w:p>
        </w:tc>
        <w:tc>
          <w:tcPr>
            <w:tcW w:w="364" w:type="pct"/>
            <w:vAlign w:val="center"/>
          </w:tcPr>
          <w:p w14:paraId="29D5B6B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合格</w:t>
            </w:r>
          </w:p>
        </w:tc>
      </w:tr>
      <w:tr w14:paraId="3FD7E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B0E0A4B">
            <w:pPr>
              <w:numPr>
                <w:ilvl w:val="0"/>
                <w:numId w:val="9"/>
              </w:numPr>
              <w:spacing w:line="280" w:lineRule="exact"/>
              <w:jc w:val="center"/>
              <w:rPr>
                <w:rFonts w:ascii="宋体" w:hAnsi="宋体"/>
                <w:color w:val="auto"/>
              </w:rPr>
            </w:pPr>
          </w:p>
        </w:tc>
        <w:tc>
          <w:tcPr>
            <w:tcW w:w="3346" w:type="pct"/>
            <w:vAlign w:val="center"/>
          </w:tcPr>
          <w:p w14:paraId="548BE804">
            <w:pPr>
              <w:spacing w:line="280" w:lineRule="exact"/>
              <w:rPr>
                <w:rFonts w:ascii="宋体" w:hAnsi="宋体"/>
                <w:color w:val="auto"/>
              </w:rPr>
            </w:pPr>
            <w:r>
              <w:rPr>
                <w:rFonts w:ascii="宋体" w:hAnsi="宋体"/>
                <w:color w:val="auto"/>
              </w:rPr>
              <w:t>6.3.9汽油罐与柴油罐的通气管应分开设置。通气管管口高出地面的高度不应小于4m。沿建（构）筑物的墙（柱）向上敷设的通气管，管口应高出建筑物的顶面2m及以上。通气管管口应设置阻火器。</w:t>
            </w:r>
          </w:p>
        </w:tc>
        <w:tc>
          <w:tcPr>
            <w:tcW w:w="916" w:type="pct"/>
            <w:vAlign w:val="center"/>
          </w:tcPr>
          <w:p w14:paraId="756B0728">
            <w:pPr>
              <w:spacing w:line="280" w:lineRule="exact"/>
              <w:rPr>
                <w:rFonts w:ascii="宋体" w:hAnsi="宋体"/>
                <w:color w:val="auto"/>
              </w:rPr>
            </w:pPr>
            <w:r>
              <w:rPr>
                <w:rFonts w:hint="eastAsia" w:ascii="宋体" w:hAnsi="宋体"/>
                <w:color w:val="auto"/>
              </w:rPr>
              <w:t>分散</w:t>
            </w:r>
            <w:r>
              <w:rPr>
                <w:rFonts w:ascii="宋体" w:hAnsi="宋体"/>
                <w:color w:val="auto"/>
              </w:rPr>
              <w:t>设置</w:t>
            </w:r>
            <w:r>
              <w:rPr>
                <w:rFonts w:hint="eastAsia" w:ascii="宋体" w:hAnsi="宋体"/>
                <w:color w:val="auto"/>
              </w:rPr>
              <w:t>，高</w:t>
            </w:r>
            <w:r>
              <w:rPr>
                <w:rFonts w:hint="eastAsia" w:ascii="宋体" w:hAnsi="宋体"/>
                <w:color w:val="auto"/>
                <w:lang w:val="en-US" w:eastAsia="zh-CN"/>
              </w:rPr>
              <w:t>出罩棚2</w:t>
            </w:r>
            <w:r>
              <w:rPr>
                <w:rFonts w:hint="eastAsia" w:ascii="宋体" w:hAnsi="宋体"/>
                <w:color w:val="auto"/>
              </w:rPr>
              <w:t>m，</w:t>
            </w:r>
            <w:r>
              <w:rPr>
                <w:rFonts w:ascii="宋体" w:hAnsi="宋体"/>
                <w:color w:val="auto"/>
              </w:rPr>
              <w:t>设</w:t>
            </w:r>
            <w:r>
              <w:rPr>
                <w:rFonts w:hint="eastAsia" w:ascii="宋体" w:hAnsi="宋体"/>
                <w:color w:val="auto"/>
              </w:rPr>
              <w:t>有</w:t>
            </w:r>
            <w:r>
              <w:rPr>
                <w:rFonts w:ascii="宋体" w:hAnsi="宋体"/>
                <w:color w:val="auto"/>
              </w:rPr>
              <w:t>阻火器</w:t>
            </w:r>
          </w:p>
        </w:tc>
        <w:tc>
          <w:tcPr>
            <w:tcW w:w="364" w:type="pct"/>
            <w:vAlign w:val="center"/>
          </w:tcPr>
          <w:p w14:paraId="047EAA8E">
            <w:pPr>
              <w:spacing w:line="280" w:lineRule="exact"/>
              <w:rPr>
                <w:rFonts w:ascii="宋体" w:hAnsi="宋体"/>
                <w:color w:val="auto"/>
              </w:rPr>
            </w:pPr>
            <w:r>
              <w:rPr>
                <w:rFonts w:ascii="宋体" w:hAnsi="宋体"/>
                <w:color w:val="auto"/>
              </w:rPr>
              <w:t>合格</w:t>
            </w:r>
          </w:p>
        </w:tc>
      </w:tr>
      <w:tr w14:paraId="3BDAF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8A6F153">
            <w:pPr>
              <w:numPr>
                <w:ilvl w:val="0"/>
                <w:numId w:val="9"/>
              </w:numPr>
              <w:spacing w:line="280" w:lineRule="exact"/>
              <w:jc w:val="center"/>
              <w:rPr>
                <w:rFonts w:ascii="宋体" w:hAnsi="宋体"/>
                <w:color w:val="auto"/>
              </w:rPr>
            </w:pPr>
          </w:p>
        </w:tc>
        <w:tc>
          <w:tcPr>
            <w:tcW w:w="3346" w:type="pct"/>
            <w:vAlign w:val="center"/>
          </w:tcPr>
          <w:p w14:paraId="6A23F71D">
            <w:pPr>
              <w:spacing w:line="280" w:lineRule="exact"/>
              <w:rPr>
                <w:rFonts w:ascii="宋体" w:hAnsi="宋体"/>
                <w:color w:val="auto"/>
              </w:rPr>
            </w:pPr>
            <w:r>
              <w:rPr>
                <w:rFonts w:ascii="宋体" w:hAnsi="宋体"/>
                <w:color w:val="auto"/>
              </w:rPr>
              <w:t>6.3.10通气管的公称直径不应小于50mm。</w:t>
            </w:r>
          </w:p>
        </w:tc>
        <w:tc>
          <w:tcPr>
            <w:tcW w:w="916" w:type="pct"/>
            <w:vAlign w:val="center"/>
          </w:tcPr>
          <w:p w14:paraId="3B3ECC74">
            <w:pPr>
              <w:spacing w:line="280" w:lineRule="exact"/>
              <w:rPr>
                <w:rFonts w:ascii="宋体" w:hAnsi="宋体"/>
                <w:color w:val="auto"/>
              </w:rPr>
            </w:pPr>
            <w:r>
              <w:rPr>
                <w:rFonts w:ascii="宋体" w:hAnsi="宋体"/>
                <w:color w:val="auto"/>
              </w:rPr>
              <w:t>50mm</w:t>
            </w:r>
          </w:p>
        </w:tc>
        <w:tc>
          <w:tcPr>
            <w:tcW w:w="364" w:type="pct"/>
            <w:vAlign w:val="center"/>
          </w:tcPr>
          <w:p w14:paraId="77AD6C27">
            <w:pPr>
              <w:spacing w:line="280" w:lineRule="exact"/>
              <w:rPr>
                <w:rFonts w:ascii="宋体" w:hAnsi="宋体"/>
                <w:color w:val="auto"/>
              </w:rPr>
            </w:pPr>
            <w:r>
              <w:rPr>
                <w:rFonts w:ascii="宋体" w:hAnsi="宋体"/>
                <w:color w:val="auto"/>
              </w:rPr>
              <w:t>合格</w:t>
            </w:r>
          </w:p>
        </w:tc>
      </w:tr>
      <w:tr w14:paraId="443CD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BBFD69F">
            <w:pPr>
              <w:numPr>
                <w:ilvl w:val="0"/>
                <w:numId w:val="9"/>
              </w:numPr>
              <w:spacing w:line="280" w:lineRule="exact"/>
              <w:jc w:val="center"/>
              <w:rPr>
                <w:rFonts w:ascii="宋体" w:hAnsi="宋体"/>
                <w:color w:val="auto"/>
              </w:rPr>
            </w:pPr>
          </w:p>
        </w:tc>
        <w:tc>
          <w:tcPr>
            <w:tcW w:w="3346" w:type="pct"/>
            <w:vAlign w:val="center"/>
          </w:tcPr>
          <w:p w14:paraId="185A576C">
            <w:pPr>
              <w:spacing w:line="280" w:lineRule="exact"/>
              <w:rPr>
                <w:rFonts w:ascii="宋体" w:hAnsi="宋体"/>
                <w:color w:val="auto"/>
              </w:rPr>
            </w:pPr>
            <w:r>
              <w:rPr>
                <w:rFonts w:ascii="宋体" w:hAnsi="宋体"/>
                <w:color w:val="auto"/>
              </w:rPr>
              <w:t>6.3.11当加油站采用油气回收系统时，汽油罐的通气管管口除应装设阻火器外，尚应装设呼吸阀。呼吸阀的工作正压宜为2kPa～3kPa，工作负压宜为1.5kPa~2kPa。</w:t>
            </w:r>
          </w:p>
        </w:tc>
        <w:tc>
          <w:tcPr>
            <w:tcW w:w="916" w:type="pct"/>
            <w:vAlign w:val="center"/>
          </w:tcPr>
          <w:p w14:paraId="3B8D35E0">
            <w:pPr>
              <w:spacing w:line="280" w:lineRule="exact"/>
              <w:rPr>
                <w:rFonts w:ascii="宋体" w:hAnsi="宋体"/>
                <w:color w:val="auto"/>
              </w:rPr>
            </w:pPr>
            <w:r>
              <w:rPr>
                <w:rFonts w:ascii="宋体" w:hAnsi="宋体"/>
                <w:color w:val="auto"/>
              </w:rPr>
              <w:t>装设</w:t>
            </w:r>
            <w:r>
              <w:rPr>
                <w:rFonts w:hint="eastAsia" w:ascii="宋体" w:hAnsi="宋体"/>
                <w:color w:val="auto"/>
              </w:rPr>
              <w:t>有</w:t>
            </w:r>
            <w:r>
              <w:rPr>
                <w:rFonts w:ascii="宋体" w:hAnsi="宋体"/>
                <w:color w:val="auto"/>
              </w:rPr>
              <w:t>阻火器</w:t>
            </w:r>
            <w:r>
              <w:rPr>
                <w:rFonts w:hint="eastAsia" w:ascii="宋体" w:hAnsi="宋体"/>
                <w:color w:val="auto"/>
              </w:rPr>
              <w:t>和</w:t>
            </w:r>
            <w:r>
              <w:rPr>
                <w:rFonts w:ascii="宋体" w:hAnsi="宋体"/>
                <w:color w:val="auto"/>
              </w:rPr>
              <w:t>呼吸阀</w:t>
            </w:r>
          </w:p>
        </w:tc>
        <w:tc>
          <w:tcPr>
            <w:tcW w:w="364" w:type="pct"/>
            <w:vAlign w:val="center"/>
          </w:tcPr>
          <w:p w14:paraId="344B18F0">
            <w:pPr>
              <w:spacing w:line="280" w:lineRule="exact"/>
              <w:rPr>
                <w:rFonts w:ascii="宋体" w:hAnsi="宋体"/>
                <w:color w:val="auto"/>
              </w:rPr>
            </w:pPr>
            <w:r>
              <w:rPr>
                <w:rFonts w:ascii="宋体" w:hAnsi="宋体"/>
                <w:color w:val="auto"/>
              </w:rPr>
              <w:t>合格</w:t>
            </w:r>
          </w:p>
        </w:tc>
      </w:tr>
      <w:tr w14:paraId="21856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6B405EB">
            <w:pPr>
              <w:numPr>
                <w:ilvl w:val="0"/>
                <w:numId w:val="9"/>
              </w:numPr>
              <w:spacing w:line="280" w:lineRule="exact"/>
              <w:jc w:val="center"/>
              <w:rPr>
                <w:rFonts w:ascii="宋体" w:hAnsi="宋体"/>
                <w:color w:val="auto"/>
              </w:rPr>
            </w:pPr>
          </w:p>
        </w:tc>
        <w:tc>
          <w:tcPr>
            <w:tcW w:w="3346" w:type="pct"/>
            <w:vAlign w:val="center"/>
          </w:tcPr>
          <w:p w14:paraId="1EE362D5">
            <w:pPr>
              <w:spacing w:line="280" w:lineRule="exact"/>
              <w:rPr>
                <w:rFonts w:ascii="宋体" w:hAnsi="宋体"/>
                <w:color w:val="auto"/>
              </w:rPr>
            </w:pPr>
            <w:r>
              <w:rPr>
                <w:rFonts w:ascii="宋体" w:hAnsi="宋体"/>
                <w:color w:val="auto"/>
              </w:rPr>
              <w:t>6.3.13油罐车卸油时用的卸油</w:t>
            </w:r>
            <w:r>
              <w:rPr>
                <w:rFonts w:hint="eastAsia" w:ascii="宋体" w:hAnsi="宋体"/>
                <w:color w:val="auto"/>
                <w:lang w:eastAsia="zh-CN"/>
              </w:rPr>
              <w:t>连通管</w:t>
            </w:r>
            <w:r>
              <w:rPr>
                <w:rFonts w:ascii="宋体" w:hAnsi="宋体"/>
                <w:color w:val="auto"/>
              </w:rPr>
              <w:t>、油气回收连通软管，应采用导静电耐油软管，其体电阻率应小于10</w:t>
            </w:r>
            <w:r>
              <w:rPr>
                <w:rFonts w:hint="eastAsia" w:ascii="宋体" w:hAnsi="宋体"/>
                <w:color w:val="auto"/>
              </w:rPr>
              <w:t>8</w:t>
            </w:r>
            <w:r>
              <w:rPr>
                <w:rFonts w:ascii="宋体" w:hAnsi="宋体"/>
                <w:color w:val="auto"/>
              </w:rPr>
              <w:t>Ω·m，表面电阻率应小于10</w:t>
            </w:r>
            <w:r>
              <w:rPr>
                <w:rFonts w:hint="eastAsia" w:ascii="宋体" w:hAnsi="宋体"/>
                <w:color w:val="auto"/>
              </w:rPr>
              <w:t>10</w:t>
            </w:r>
            <w:r>
              <w:rPr>
                <w:rFonts w:ascii="宋体" w:hAnsi="宋体"/>
                <w:color w:val="auto"/>
              </w:rPr>
              <w:t>Ω，或采用内附金属丝（网</w:t>
            </w:r>
            <w:r>
              <w:rPr>
                <w:rFonts w:hint="eastAsia" w:ascii="宋体" w:hAnsi="宋体"/>
                <w:color w:val="auto"/>
                <w:lang w:eastAsia="zh-CN"/>
              </w:rPr>
              <w:t>）</w:t>
            </w:r>
            <w:r>
              <w:rPr>
                <w:rFonts w:ascii="宋体" w:hAnsi="宋体"/>
                <w:color w:val="auto"/>
              </w:rPr>
              <w:t>的橡胶软管。</w:t>
            </w:r>
          </w:p>
        </w:tc>
        <w:tc>
          <w:tcPr>
            <w:tcW w:w="916" w:type="pct"/>
            <w:vAlign w:val="center"/>
          </w:tcPr>
          <w:p w14:paraId="7D57696E">
            <w:pPr>
              <w:spacing w:line="280" w:lineRule="exact"/>
              <w:rPr>
                <w:rFonts w:ascii="宋体" w:hAnsi="宋体"/>
                <w:color w:val="auto"/>
              </w:rPr>
            </w:pPr>
            <w:r>
              <w:rPr>
                <w:rFonts w:ascii="宋体" w:hAnsi="宋体"/>
                <w:color w:val="auto"/>
              </w:rPr>
              <w:t>采用导静电耐油软管</w:t>
            </w:r>
            <w:r>
              <w:rPr>
                <w:rFonts w:hint="eastAsia" w:ascii="宋体" w:hAnsi="宋体"/>
                <w:color w:val="auto"/>
              </w:rPr>
              <w:t>，设有静电导除仪</w:t>
            </w:r>
          </w:p>
        </w:tc>
        <w:tc>
          <w:tcPr>
            <w:tcW w:w="364" w:type="pct"/>
            <w:vAlign w:val="center"/>
          </w:tcPr>
          <w:p w14:paraId="02DEE9EE">
            <w:pPr>
              <w:spacing w:line="280" w:lineRule="exact"/>
              <w:rPr>
                <w:rFonts w:ascii="宋体" w:hAnsi="宋体"/>
                <w:color w:val="auto"/>
              </w:rPr>
            </w:pPr>
            <w:r>
              <w:rPr>
                <w:rFonts w:ascii="宋体" w:hAnsi="宋体"/>
                <w:color w:val="auto"/>
              </w:rPr>
              <w:t>合格</w:t>
            </w:r>
          </w:p>
        </w:tc>
      </w:tr>
      <w:tr w14:paraId="12B6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7907655">
            <w:pPr>
              <w:numPr>
                <w:ilvl w:val="0"/>
                <w:numId w:val="9"/>
              </w:numPr>
              <w:spacing w:line="280" w:lineRule="exact"/>
              <w:jc w:val="center"/>
              <w:rPr>
                <w:rFonts w:ascii="宋体" w:hAnsi="宋体"/>
                <w:color w:val="auto"/>
              </w:rPr>
            </w:pPr>
          </w:p>
        </w:tc>
        <w:tc>
          <w:tcPr>
            <w:tcW w:w="3346" w:type="pct"/>
            <w:vAlign w:val="center"/>
          </w:tcPr>
          <w:p w14:paraId="4BD6625B">
            <w:pPr>
              <w:spacing w:line="280" w:lineRule="exact"/>
              <w:rPr>
                <w:rFonts w:ascii="宋体" w:hAnsi="宋体"/>
                <w:color w:val="auto"/>
              </w:rPr>
            </w:pPr>
            <w:r>
              <w:rPr>
                <w:rFonts w:ascii="宋体" w:hAnsi="宋体"/>
                <w:color w:val="auto"/>
              </w:rPr>
              <w:t>6.3.14加油站内的工艺管道除必须露出地面的以外，均应埋地敷设。当采用管沟敷设时，管沟必须用中性沙子或细土填满、填实。</w:t>
            </w:r>
          </w:p>
        </w:tc>
        <w:tc>
          <w:tcPr>
            <w:tcW w:w="916" w:type="pct"/>
            <w:vAlign w:val="center"/>
          </w:tcPr>
          <w:p w14:paraId="069A6CAC">
            <w:pPr>
              <w:spacing w:line="280" w:lineRule="exact"/>
              <w:rPr>
                <w:rFonts w:ascii="宋体" w:hAnsi="宋体"/>
                <w:color w:val="auto"/>
              </w:rPr>
            </w:pPr>
            <w:r>
              <w:rPr>
                <w:rFonts w:ascii="宋体" w:hAnsi="宋体"/>
                <w:color w:val="auto"/>
              </w:rPr>
              <w:t>埋地敷设</w:t>
            </w:r>
          </w:p>
        </w:tc>
        <w:tc>
          <w:tcPr>
            <w:tcW w:w="364" w:type="pct"/>
            <w:vAlign w:val="center"/>
          </w:tcPr>
          <w:p w14:paraId="1F611350">
            <w:pPr>
              <w:spacing w:line="280" w:lineRule="exact"/>
              <w:rPr>
                <w:rFonts w:ascii="宋体" w:hAnsi="宋体"/>
                <w:color w:val="auto"/>
              </w:rPr>
            </w:pPr>
            <w:r>
              <w:rPr>
                <w:rFonts w:ascii="宋体" w:hAnsi="宋体"/>
                <w:color w:val="auto"/>
              </w:rPr>
              <w:t>合格</w:t>
            </w:r>
          </w:p>
        </w:tc>
      </w:tr>
      <w:tr w14:paraId="0451F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2A38D1E">
            <w:pPr>
              <w:numPr>
                <w:ilvl w:val="0"/>
                <w:numId w:val="9"/>
              </w:numPr>
              <w:spacing w:line="280" w:lineRule="exact"/>
              <w:jc w:val="center"/>
              <w:rPr>
                <w:rFonts w:ascii="宋体" w:hAnsi="宋体"/>
                <w:color w:val="auto"/>
              </w:rPr>
            </w:pPr>
          </w:p>
        </w:tc>
        <w:tc>
          <w:tcPr>
            <w:tcW w:w="3346" w:type="pct"/>
            <w:vAlign w:val="center"/>
          </w:tcPr>
          <w:p w14:paraId="43070355">
            <w:pPr>
              <w:spacing w:line="280" w:lineRule="exact"/>
              <w:rPr>
                <w:rFonts w:ascii="宋体" w:hAnsi="宋体"/>
                <w:color w:val="auto"/>
              </w:rPr>
            </w:pPr>
            <w:r>
              <w:rPr>
                <w:rFonts w:ascii="宋体" w:hAnsi="宋体"/>
                <w:color w:val="auto"/>
              </w:rPr>
              <w:t>6.3.15卸油管道、卸油油气回收管道、加油油气回收管道和油罐通气管横管，应坡向埋地油罐。卸油管道的坡度不应小于2%，卸油油气回收管道、加油油气回收管道和油罐通气管横管的坡度，不应小于1%。</w:t>
            </w:r>
          </w:p>
        </w:tc>
        <w:tc>
          <w:tcPr>
            <w:tcW w:w="916" w:type="pct"/>
            <w:vAlign w:val="center"/>
          </w:tcPr>
          <w:p w14:paraId="669F6A72">
            <w:pPr>
              <w:spacing w:line="280" w:lineRule="exact"/>
              <w:rPr>
                <w:rFonts w:ascii="宋体" w:hAnsi="宋体"/>
                <w:color w:val="auto"/>
              </w:rPr>
            </w:pPr>
            <w:r>
              <w:rPr>
                <w:rFonts w:hint="eastAsia" w:ascii="宋体" w:hAnsi="宋体"/>
                <w:color w:val="auto"/>
              </w:rPr>
              <w:t>隐蔽工程。已验收</w:t>
            </w:r>
          </w:p>
        </w:tc>
        <w:tc>
          <w:tcPr>
            <w:tcW w:w="364" w:type="pct"/>
            <w:vAlign w:val="center"/>
          </w:tcPr>
          <w:p w14:paraId="4F14756B">
            <w:pPr>
              <w:spacing w:line="280" w:lineRule="exact"/>
              <w:rPr>
                <w:rFonts w:ascii="宋体" w:hAnsi="宋体"/>
                <w:color w:val="auto"/>
              </w:rPr>
            </w:pPr>
            <w:r>
              <w:rPr>
                <w:rFonts w:ascii="宋体" w:hAnsi="宋体"/>
                <w:color w:val="auto"/>
              </w:rPr>
              <w:t>合格</w:t>
            </w:r>
          </w:p>
        </w:tc>
      </w:tr>
      <w:tr w14:paraId="796DF0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3A299AEF">
            <w:pPr>
              <w:numPr>
                <w:ilvl w:val="0"/>
                <w:numId w:val="9"/>
              </w:numPr>
              <w:spacing w:line="280" w:lineRule="exact"/>
              <w:jc w:val="center"/>
              <w:rPr>
                <w:rFonts w:ascii="宋体" w:hAnsi="宋体"/>
                <w:color w:val="auto"/>
              </w:rPr>
            </w:pPr>
          </w:p>
        </w:tc>
        <w:tc>
          <w:tcPr>
            <w:tcW w:w="3346" w:type="pct"/>
            <w:vAlign w:val="center"/>
          </w:tcPr>
          <w:p w14:paraId="7873E47D">
            <w:pPr>
              <w:spacing w:line="280" w:lineRule="exact"/>
              <w:rPr>
                <w:rFonts w:ascii="宋体" w:hAnsi="宋体"/>
                <w:color w:val="auto"/>
              </w:rPr>
            </w:pPr>
            <w:r>
              <w:rPr>
                <w:rFonts w:ascii="宋体" w:hAnsi="宋体"/>
                <w:color w:val="auto"/>
              </w:rPr>
              <w:t>6.3.16受地形限制，加油油气回收管道坡向油罐的坡度无法满足本标准第6.3.14条的要求时，可在管道靠近油罐的位置设置集液器，且管道坡向集液器的坡度不应小于1%。</w:t>
            </w:r>
          </w:p>
        </w:tc>
        <w:tc>
          <w:tcPr>
            <w:tcW w:w="916" w:type="pct"/>
            <w:vAlign w:val="center"/>
          </w:tcPr>
          <w:p w14:paraId="5803036E">
            <w:pPr>
              <w:spacing w:line="280" w:lineRule="exact"/>
              <w:rPr>
                <w:rFonts w:ascii="宋体" w:hAnsi="宋体"/>
                <w:color w:val="auto"/>
              </w:rPr>
            </w:pPr>
            <w:r>
              <w:rPr>
                <w:rFonts w:hint="eastAsia" w:ascii="宋体" w:hAnsi="宋体"/>
                <w:color w:val="auto"/>
              </w:rPr>
              <w:t>不涉及</w:t>
            </w:r>
          </w:p>
        </w:tc>
        <w:tc>
          <w:tcPr>
            <w:tcW w:w="364" w:type="pct"/>
            <w:vAlign w:val="center"/>
          </w:tcPr>
          <w:p w14:paraId="3A96E850">
            <w:pPr>
              <w:spacing w:line="280" w:lineRule="exact"/>
              <w:rPr>
                <w:rFonts w:ascii="宋体" w:hAnsi="宋体"/>
                <w:color w:val="auto"/>
              </w:rPr>
            </w:pPr>
            <w:r>
              <w:rPr>
                <w:rFonts w:hint="eastAsia" w:ascii="宋体" w:hAnsi="宋体"/>
                <w:color w:val="auto"/>
              </w:rPr>
              <w:t>-</w:t>
            </w:r>
          </w:p>
        </w:tc>
      </w:tr>
      <w:tr w14:paraId="79FD09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C2876A3">
            <w:pPr>
              <w:numPr>
                <w:ilvl w:val="0"/>
                <w:numId w:val="9"/>
              </w:numPr>
              <w:spacing w:line="280" w:lineRule="exact"/>
              <w:jc w:val="center"/>
              <w:rPr>
                <w:rFonts w:ascii="宋体" w:hAnsi="宋体"/>
                <w:color w:val="auto"/>
              </w:rPr>
            </w:pPr>
          </w:p>
        </w:tc>
        <w:tc>
          <w:tcPr>
            <w:tcW w:w="3346" w:type="pct"/>
            <w:vAlign w:val="center"/>
          </w:tcPr>
          <w:p w14:paraId="170025B8">
            <w:pPr>
              <w:spacing w:line="280" w:lineRule="exact"/>
              <w:rPr>
                <w:rFonts w:ascii="宋体" w:hAnsi="宋体"/>
                <w:color w:val="auto"/>
              </w:rPr>
            </w:pPr>
            <w:r>
              <w:rPr>
                <w:rFonts w:ascii="宋体" w:hAnsi="宋体"/>
                <w:color w:val="auto"/>
              </w:rPr>
              <w:t>6.3.17埋地工艺管道的埋设深度不得小于0.4m。敷设在混凝土场地或道路下面的管道，管顶低于混凝土层下表面不得小于0.2m。管道周围应回填不小于100mm厚的中性沙子或细土。</w:t>
            </w:r>
          </w:p>
        </w:tc>
        <w:tc>
          <w:tcPr>
            <w:tcW w:w="916" w:type="pct"/>
            <w:vAlign w:val="center"/>
          </w:tcPr>
          <w:p w14:paraId="607BE01F">
            <w:pPr>
              <w:spacing w:line="280" w:lineRule="exact"/>
              <w:rPr>
                <w:rFonts w:ascii="宋体" w:hAnsi="宋体"/>
                <w:color w:val="auto"/>
              </w:rPr>
            </w:pPr>
            <w:r>
              <w:rPr>
                <w:rFonts w:ascii="宋体" w:hAnsi="宋体"/>
                <w:color w:val="auto"/>
              </w:rPr>
              <w:t>不小于0.4m</w:t>
            </w:r>
          </w:p>
        </w:tc>
        <w:tc>
          <w:tcPr>
            <w:tcW w:w="364" w:type="pct"/>
            <w:vAlign w:val="center"/>
          </w:tcPr>
          <w:p w14:paraId="1418E95D">
            <w:pPr>
              <w:spacing w:line="280" w:lineRule="exact"/>
              <w:rPr>
                <w:rFonts w:ascii="宋体" w:hAnsi="宋体"/>
                <w:color w:val="auto"/>
              </w:rPr>
            </w:pPr>
            <w:r>
              <w:rPr>
                <w:rFonts w:ascii="宋体" w:hAnsi="宋体"/>
                <w:color w:val="auto"/>
              </w:rPr>
              <w:t>合格</w:t>
            </w:r>
          </w:p>
        </w:tc>
      </w:tr>
      <w:tr w14:paraId="028CB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2AC8F58">
            <w:pPr>
              <w:numPr>
                <w:ilvl w:val="0"/>
                <w:numId w:val="9"/>
              </w:numPr>
              <w:spacing w:line="280" w:lineRule="exact"/>
              <w:jc w:val="center"/>
              <w:rPr>
                <w:rFonts w:ascii="宋体" w:hAnsi="宋体"/>
                <w:color w:val="auto"/>
              </w:rPr>
            </w:pPr>
          </w:p>
        </w:tc>
        <w:tc>
          <w:tcPr>
            <w:tcW w:w="3346" w:type="pct"/>
            <w:vAlign w:val="center"/>
          </w:tcPr>
          <w:p w14:paraId="739ED182">
            <w:pPr>
              <w:spacing w:line="280" w:lineRule="exact"/>
              <w:rPr>
                <w:rFonts w:ascii="宋体" w:hAnsi="宋体"/>
                <w:color w:val="auto"/>
              </w:rPr>
            </w:pPr>
            <w:r>
              <w:rPr>
                <w:rFonts w:ascii="宋体" w:hAnsi="宋体"/>
                <w:color w:val="auto"/>
              </w:rPr>
              <w:t>6.3.18工艺管道不应穿过或跨越站房等与其无直接关系的建（构）筑物；与管沟、电缆沟和排水沟相交叉时，应采取相应的防护措施。</w:t>
            </w:r>
          </w:p>
        </w:tc>
        <w:tc>
          <w:tcPr>
            <w:tcW w:w="916" w:type="pct"/>
            <w:vAlign w:val="center"/>
          </w:tcPr>
          <w:p w14:paraId="1F825E0A">
            <w:pPr>
              <w:spacing w:line="280" w:lineRule="exact"/>
              <w:rPr>
                <w:rFonts w:ascii="宋体" w:hAnsi="宋体"/>
                <w:color w:val="auto"/>
              </w:rPr>
            </w:pPr>
            <w:r>
              <w:rPr>
                <w:rFonts w:ascii="宋体" w:hAnsi="宋体"/>
                <w:color w:val="auto"/>
              </w:rPr>
              <w:t>不穿过或跨越站房等与其无直接关系的建（构）筑物</w:t>
            </w:r>
            <w:r>
              <w:rPr>
                <w:rFonts w:hint="eastAsia" w:ascii="宋体" w:hAnsi="宋体"/>
                <w:color w:val="auto"/>
              </w:rPr>
              <w:t>；</w:t>
            </w:r>
            <w:r>
              <w:rPr>
                <w:rFonts w:ascii="宋体" w:hAnsi="宋体"/>
                <w:color w:val="auto"/>
              </w:rPr>
              <w:t>采取相应的防护措施</w:t>
            </w:r>
          </w:p>
        </w:tc>
        <w:tc>
          <w:tcPr>
            <w:tcW w:w="364" w:type="pct"/>
            <w:vAlign w:val="center"/>
          </w:tcPr>
          <w:p w14:paraId="3FF1011D">
            <w:pPr>
              <w:spacing w:line="280" w:lineRule="exact"/>
              <w:rPr>
                <w:rFonts w:ascii="宋体" w:hAnsi="宋体"/>
                <w:color w:val="auto"/>
              </w:rPr>
            </w:pPr>
            <w:r>
              <w:rPr>
                <w:rFonts w:ascii="宋体" w:hAnsi="宋体"/>
                <w:color w:val="auto"/>
              </w:rPr>
              <w:t>合格</w:t>
            </w:r>
          </w:p>
        </w:tc>
      </w:tr>
      <w:tr w14:paraId="1849B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760A282">
            <w:pPr>
              <w:numPr>
                <w:ilvl w:val="0"/>
                <w:numId w:val="9"/>
              </w:numPr>
              <w:spacing w:line="280" w:lineRule="exact"/>
              <w:jc w:val="center"/>
              <w:rPr>
                <w:rFonts w:ascii="宋体" w:hAnsi="宋体"/>
                <w:color w:val="auto"/>
              </w:rPr>
            </w:pPr>
          </w:p>
        </w:tc>
        <w:tc>
          <w:tcPr>
            <w:tcW w:w="3346" w:type="pct"/>
            <w:vAlign w:val="center"/>
          </w:tcPr>
          <w:p w14:paraId="347738E6">
            <w:pPr>
              <w:spacing w:line="280" w:lineRule="exact"/>
              <w:rPr>
                <w:rFonts w:ascii="宋体" w:hAnsi="宋体"/>
                <w:color w:val="auto"/>
              </w:rPr>
            </w:pPr>
            <w:r>
              <w:rPr>
                <w:rFonts w:ascii="宋体" w:hAnsi="宋体"/>
                <w:color w:val="auto"/>
              </w:rPr>
              <w:t>6.3.19不导静电热塑性塑料管道的设计和安装，除应符合本标准第6.3.12条的有关规定外，尚应符合下列规定</w:t>
            </w:r>
            <w:r>
              <w:rPr>
                <w:rFonts w:hint="eastAsia" w:ascii="宋体" w:hAnsi="宋体"/>
                <w:color w:val="auto"/>
              </w:rPr>
              <w:t>：</w:t>
            </w:r>
          </w:p>
          <w:p w14:paraId="41FC3B97">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管道内油品的流速应小于2.8m/s；</w:t>
            </w:r>
          </w:p>
          <w:p w14:paraId="7491DA1B">
            <w:pPr>
              <w:spacing w:line="280" w:lineRule="exact"/>
              <w:rPr>
                <w:rFonts w:ascii="宋体" w:hAnsi="宋体"/>
                <w:color w:val="auto"/>
              </w:rPr>
            </w:pPr>
            <w:r>
              <w:rPr>
                <w:rFonts w:hint="eastAsia" w:ascii="宋体" w:hAnsi="宋体"/>
                <w:color w:val="auto"/>
              </w:rPr>
              <w:t>2、</w:t>
            </w:r>
            <w:r>
              <w:rPr>
                <w:rFonts w:ascii="宋体" w:hAnsi="宋体"/>
                <w:color w:val="auto"/>
              </w:rPr>
              <w:t>管道在人孔井内、加油机底槽和卸油口等处未完全埋地的部分，应在满足管道连接要求的前提下，采用最短的安装长度和最少的接头。</w:t>
            </w:r>
          </w:p>
        </w:tc>
        <w:tc>
          <w:tcPr>
            <w:tcW w:w="916" w:type="pct"/>
            <w:vAlign w:val="center"/>
          </w:tcPr>
          <w:p w14:paraId="318579E9">
            <w:pPr>
              <w:spacing w:line="280" w:lineRule="exact"/>
              <w:rPr>
                <w:rFonts w:ascii="宋体" w:hAnsi="宋体"/>
                <w:color w:val="auto"/>
              </w:rPr>
            </w:pPr>
            <w:r>
              <w:rPr>
                <w:rFonts w:hint="eastAsia" w:ascii="宋体" w:hAnsi="宋体"/>
                <w:color w:val="auto"/>
              </w:rPr>
              <w:t>采用导静电</w:t>
            </w:r>
            <w:r>
              <w:rPr>
                <w:rFonts w:ascii="宋体" w:hAnsi="宋体"/>
                <w:color w:val="auto"/>
              </w:rPr>
              <w:t>热塑性塑料管道</w:t>
            </w:r>
          </w:p>
        </w:tc>
        <w:tc>
          <w:tcPr>
            <w:tcW w:w="364" w:type="pct"/>
            <w:vAlign w:val="center"/>
          </w:tcPr>
          <w:p w14:paraId="155EBA68">
            <w:pPr>
              <w:spacing w:line="280" w:lineRule="exact"/>
              <w:rPr>
                <w:rFonts w:ascii="宋体" w:hAnsi="宋体"/>
                <w:color w:val="auto"/>
              </w:rPr>
            </w:pPr>
            <w:r>
              <w:rPr>
                <w:rFonts w:ascii="宋体" w:hAnsi="宋体"/>
                <w:color w:val="auto"/>
              </w:rPr>
              <w:t>合格</w:t>
            </w:r>
          </w:p>
        </w:tc>
      </w:tr>
      <w:tr w14:paraId="002AFE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A5A78B6">
            <w:pPr>
              <w:numPr>
                <w:ilvl w:val="0"/>
                <w:numId w:val="9"/>
              </w:numPr>
              <w:spacing w:line="280" w:lineRule="exact"/>
              <w:jc w:val="center"/>
              <w:rPr>
                <w:rFonts w:ascii="宋体" w:hAnsi="宋体"/>
                <w:color w:val="auto"/>
              </w:rPr>
            </w:pPr>
          </w:p>
        </w:tc>
        <w:tc>
          <w:tcPr>
            <w:tcW w:w="3346" w:type="pct"/>
            <w:vAlign w:val="center"/>
          </w:tcPr>
          <w:p w14:paraId="3199AA3F">
            <w:pPr>
              <w:spacing w:line="280" w:lineRule="exact"/>
              <w:rPr>
                <w:rFonts w:ascii="宋体" w:hAnsi="宋体"/>
                <w:color w:val="auto"/>
              </w:rPr>
            </w:pPr>
            <w:r>
              <w:rPr>
                <w:rFonts w:ascii="宋体" w:hAnsi="宋体"/>
                <w:color w:val="auto"/>
              </w:rPr>
              <w:t>6.3.20埋地钢质管道外表面的防腐设计，应符合现行国家标准《钢质管道外腐蚀控制规范》GBP21447的有关规定</w:t>
            </w:r>
          </w:p>
        </w:tc>
        <w:tc>
          <w:tcPr>
            <w:tcW w:w="916" w:type="pct"/>
            <w:vAlign w:val="center"/>
          </w:tcPr>
          <w:p w14:paraId="273BF8A8">
            <w:pPr>
              <w:spacing w:line="280" w:lineRule="exact"/>
              <w:rPr>
                <w:rFonts w:ascii="宋体" w:hAnsi="宋体"/>
                <w:color w:val="auto"/>
              </w:rPr>
            </w:pPr>
            <w:r>
              <w:rPr>
                <w:rFonts w:hint="eastAsia" w:ascii="宋体" w:hAnsi="宋体"/>
                <w:color w:val="auto"/>
              </w:rPr>
              <w:t>已验收</w:t>
            </w:r>
          </w:p>
        </w:tc>
        <w:tc>
          <w:tcPr>
            <w:tcW w:w="364" w:type="pct"/>
            <w:vAlign w:val="center"/>
          </w:tcPr>
          <w:p w14:paraId="6B474733">
            <w:pPr>
              <w:spacing w:line="280" w:lineRule="exact"/>
              <w:rPr>
                <w:rFonts w:ascii="宋体" w:hAnsi="宋体"/>
                <w:color w:val="auto"/>
              </w:rPr>
            </w:pPr>
            <w:r>
              <w:rPr>
                <w:rFonts w:ascii="宋体" w:hAnsi="宋体"/>
                <w:color w:val="auto"/>
              </w:rPr>
              <w:t>合格</w:t>
            </w:r>
          </w:p>
        </w:tc>
      </w:tr>
      <w:tr w14:paraId="4AC6DD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5000" w:type="pct"/>
            <w:gridSpan w:val="4"/>
            <w:vAlign w:val="center"/>
          </w:tcPr>
          <w:p w14:paraId="379D5A94">
            <w:pPr>
              <w:spacing w:line="280" w:lineRule="exact"/>
              <w:rPr>
                <w:rFonts w:ascii="宋体" w:hAnsi="宋体"/>
                <w:b/>
                <w:color w:val="auto"/>
              </w:rPr>
            </w:pPr>
            <w:r>
              <w:rPr>
                <w:rFonts w:ascii="宋体" w:hAnsi="宋体"/>
                <w:b/>
                <w:color w:val="auto"/>
              </w:rPr>
              <w:t>防渗措施</w:t>
            </w:r>
          </w:p>
        </w:tc>
      </w:tr>
      <w:tr w14:paraId="7D6AE2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1E268C3">
            <w:pPr>
              <w:numPr>
                <w:ilvl w:val="0"/>
                <w:numId w:val="10"/>
              </w:numPr>
              <w:spacing w:line="280" w:lineRule="exact"/>
              <w:jc w:val="center"/>
              <w:rPr>
                <w:rFonts w:ascii="宋体" w:hAnsi="宋体"/>
                <w:color w:val="auto"/>
              </w:rPr>
            </w:pPr>
          </w:p>
        </w:tc>
        <w:tc>
          <w:tcPr>
            <w:tcW w:w="3346" w:type="pct"/>
            <w:vAlign w:val="center"/>
          </w:tcPr>
          <w:p w14:paraId="71181698">
            <w:pPr>
              <w:spacing w:line="280" w:lineRule="exact"/>
              <w:rPr>
                <w:rFonts w:ascii="宋体" w:hAnsi="宋体"/>
                <w:color w:val="auto"/>
              </w:rPr>
            </w:pPr>
            <w:r>
              <w:rPr>
                <w:rFonts w:ascii="宋体" w:hAnsi="宋体"/>
                <w:color w:val="auto"/>
              </w:rPr>
              <w:t>6.5.1加油站埋地油罐应采用下列之一的防渗方式：</w:t>
            </w:r>
          </w:p>
          <w:p w14:paraId="054B301F">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采用双层油罐；</w:t>
            </w:r>
          </w:p>
          <w:p w14:paraId="2A2903F4">
            <w:pPr>
              <w:spacing w:line="280" w:lineRule="exact"/>
              <w:rPr>
                <w:rFonts w:ascii="宋体" w:hAnsi="宋体"/>
                <w:color w:val="auto"/>
              </w:rPr>
            </w:pPr>
            <w:r>
              <w:rPr>
                <w:rFonts w:ascii="宋体" w:hAnsi="宋体"/>
                <w:color w:val="auto"/>
              </w:rPr>
              <w:t>2</w:t>
            </w:r>
            <w:r>
              <w:rPr>
                <w:rFonts w:hint="eastAsia" w:ascii="宋体" w:hAnsi="宋体"/>
                <w:color w:val="auto"/>
              </w:rPr>
              <w:t>、单层油罐</w:t>
            </w:r>
            <w:r>
              <w:rPr>
                <w:rFonts w:ascii="宋体" w:hAnsi="宋体"/>
                <w:color w:val="auto"/>
              </w:rPr>
              <w:t>设置防渗罐池。</w:t>
            </w:r>
          </w:p>
        </w:tc>
        <w:tc>
          <w:tcPr>
            <w:tcW w:w="916" w:type="pct"/>
            <w:vAlign w:val="center"/>
          </w:tcPr>
          <w:p w14:paraId="0D72D5C4">
            <w:pPr>
              <w:spacing w:line="280" w:lineRule="exact"/>
              <w:rPr>
                <w:rFonts w:ascii="宋体" w:hAnsi="宋体"/>
                <w:color w:val="auto"/>
              </w:rPr>
            </w:pPr>
            <w:r>
              <w:rPr>
                <w:rFonts w:hint="eastAsia" w:ascii="宋体" w:hAnsi="宋体"/>
                <w:color w:val="auto"/>
              </w:rPr>
              <w:t>SF双层储罐</w:t>
            </w:r>
          </w:p>
        </w:tc>
        <w:tc>
          <w:tcPr>
            <w:tcW w:w="364" w:type="pct"/>
            <w:vAlign w:val="center"/>
          </w:tcPr>
          <w:p w14:paraId="6D4067C2">
            <w:pPr>
              <w:spacing w:line="280" w:lineRule="exact"/>
              <w:rPr>
                <w:rFonts w:ascii="宋体" w:hAnsi="宋体"/>
                <w:color w:val="auto"/>
              </w:rPr>
            </w:pPr>
            <w:r>
              <w:rPr>
                <w:rFonts w:ascii="宋体" w:hAnsi="宋体"/>
                <w:color w:val="auto"/>
              </w:rPr>
              <w:t>合格</w:t>
            </w:r>
          </w:p>
        </w:tc>
      </w:tr>
      <w:tr w14:paraId="5C7C6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1FFBBD6">
            <w:pPr>
              <w:numPr>
                <w:ilvl w:val="0"/>
                <w:numId w:val="10"/>
              </w:numPr>
              <w:spacing w:line="280" w:lineRule="exact"/>
              <w:jc w:val="center"/>
              <w:rPr>
                <w:rFonts w:ascii="宋体" w:hAnsi="宋体"/>
                <w:color w:val="auto"/>
              </w:rPr>
            </w:pPr>
          </w:p>
        </w:tc>
        <w:tc>
          <w:tcPr>
            <w:tcW w:w="3346" w:type="pct"/>
            <w:vAlign w:val="center"/>
          </w:tcPr>
          <w:p w14:paraId="6B508DB9">
            <w:pPr>
              <w:spacing w:line="280" w:lineRule="exact"/>
              <w:rPr>
                <w:rFonts w:ascii="宋体" w:hAnsi="宋体"/>
                <w:color w:val="auto"/>
              </w:rPr>
            </w:pPr>
            <w:r>
              <w:rPr>
                <w:rFonts w:ascii="宋体" w:hAnsi="宋体"/>
                <w:color w:val="auto"/>
              </w:rPr>
              <w:t>6.5.2防渗罐池的设计应符合下列规定：</w:t>
            </w:r>
          </w:p>
          <w:p w14:paraId="10D23C1A">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防渗罐池应采用防渗钢筋混凝土整体浇筑，并应符合现行国家标准《地下工程防水技术规范》GB50108的有关规定；</w:t>
            </w:r>
          </w:p>
          <w:p w14:paraId="587CFFCF">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防渗罐池应根据油罐的数量设置隔池，一个隔池内的油罐不应多于两座；</w:t>
            </w:r>
          </w:p>
          <w:p w14:paraId="465C76F2">
            <w:pPr>
              <w:spacing w:line="28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防渗罐池的池壁顶应高于池内罐顶标高，池底宜低于罐底设计标高200mm</w:t>
            </w:r>
            <w:r>
              <w:rPr>
                <w:rFonts w:hint="eastAsia" w:ascii="宋体" w:hAnsi="宋体"/>
                <w:color w:val="auto"/>
              </w:rPr>
              <w:t>，</w:t>
            </w:r>
            <w:r>
              <w:rPr>
                <w:rFonts w:ascii="宋体" w:hAnsi="宋体"/>
                <w:color w:val="auto"/>
              </w:rPr>
              <w:t>墙面与罐壁之间的间距不应小于500mm；</w:t>
            </w:r>
          </w:p>
          <w:p w14:paraId="7E7FFEB0">
            <w:pPr>
              <w:spacing w:line="280" w:lineRule="exact"/>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防渗罐池的内表面应衬玻璃钢或其他材料防渗层；</w:t>
            </w:r>
          </w:p>
          <w:p w14:paraId="05D3859D">
            <w:pPr>
              <w:spacing w:line="280" w:lineRule="exact"/>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防渗罐池内的空间应采用中性</w:t>
            </w:r>
            <w:r>
              <w:rPr>
                <w:rFonts w:hint="eastAsia" w:ascii="宋体" w:hAnsi="宋体"/>
                <w:color w:val="auto"/>
                <w:lang w:eastAsia="zh-CN"/>
              </w:rPr>
              <w:t>砂</w:t>
            </w:r>
            <w:r>
              <w:rPr>
                <w:rFonts w:ascii="宋体" w:hAnsi="宋体"/>
                <w:color w:val="auto"/>
              </w:rPr>
              <w:t>回填；</w:t>
            </w:r>
          </w:p>
          <w:p w14:paraId="3588C052">
            <w:pPr>
              <w:spacing w:line="280" w:lineRule="exact"/>
              <w:rPr>
                <w:rFonts w:ascii="宋体" w:hAnsi="宋体"/>
                <w:color w:val="auto"/>
              </w:rPr>
            </w:pPr>
            <w:r>
              <w:rPr>
                <w:rFonts w:ascii="宋体" w:hAnsi="宋体"/>
                <w:color w:val="auto"/>
              </w:rPr>
              <w:t>6</w:t>
            </w:r>
            <w:r>
              <w:rPr>
                <w:rFonts w:hint="eastAsia" w:ascii="宋体" w:hAnsi="宋体"/>
                <w:color w:val="auto"/>
              </w:rPr>
              <w:t>、</w:t>
            </w:r>
            <w:r>
              <w:rPr>
                <w:rFonts w:ascii="宋体" w:hAnsi="宋体"/>
                <w:color w:val="auto"/>
              </w:rPr>
              <w:t>防渗罐池的上部应采取防止雨水、地表水和外部泄漏油品渗入池内的措施。</w:t>
            </w:r>
          </w:p>
        </w:tc>
        <w:tc>
          <w:tcPr>
            <w:tcW w:w="916" w:type="pct"/>
            <w:vAlign w:val="center"/>
          </w:tcPr>
          <w:p w14:paraId="32E19966">
            <w:pPr>
              <w:spacing w:line="280" w:lineRule="exact"/>
              <w:rPr>
                <w:rFonts w:ascii="宋体" w:hAnsi="宋体"/>
                <w:color w:val="auto"/>
              </w:rPr>
            </w:pPr>
            <w:r>
              <w:rPr>
                <w:rFonts w:hint="eastAsia" w:ascii="宋体" w:hAnsi="宋体"/>
                <w:color w:val="auto"/>
              </w:rPr>
              <w:t>防渗灌按要求设计</w:t>
            </w:r>
          </w:p>
        </w:tc>
        <w:tc>
          <w:tcPr>
            <w:tcW w:w="364" w:type="pct"/>
            <w:vAlign w:val="center"/>
          </w:tcPr>
          <w:p w14:paraId="7A4583A8">
            <w:pPr>
              <w:spacing w:line="280" w:lineRule="exact"/>
              <w:rPr>
                <w:rFonts w:ascii="宋体" w:hAnsi="宋体"/>
                <w:color w:val="auto"/>
              </w:rPr>
            </w:pPr>
            <w:r>
              <w:rPr>
                <w:rFonts w:ascii="宋体" w:hAnsi="宋体"/>
                <w:color w:val="auto"/>
              </w:rPr>
              <w:t>合格</w:t>
            </w:r>
          </w:p>
        </w:tc>
      </w:tr>
      <w:tr w14:paraId="02C67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8E67201">
            <w:pPr>
              <w:numPr>
                <w:ilvl w:val="0"/>
                <w:numId w:val="10"/>
              </w:numPr>
              <w:spacing w:line="280" w:lineRule="exact"/>
              <w:jc w:val="center"/>
              <w:rPr>
                <w:rFonts w:ascii="宋体" w:hAnsi="宋体"/>
                <w:color w:val="auto"/>
              </w:rPr>
            </w:pPr>
          </w:p>
        </w:tc>
        <w:tc>
          <w:tcPr>
            <w:tcW w:w="3346" w:type="pct"/>
            <w:vAlign w:val="center"/>
          </w:tcPr>
          <w:p w14:paraId="42F62A52">
            <w:pPr>
              <w:spacing w:line="280" w:lineRule="exact"/>
              <w:rPr>
                <w:rFonts w:ascii="宋体" w:hAnsi="宋体"/>
                <w:color w:val="auto"/>
              </w:rPr>
            </w:pPr>
            <w:r>
              <w:rPr>
                <w:rFonts w:ascii="宋体" w:hAnsi="宋体"/>
                <w:color w:val="auto"/>
              </w:rPr>
              <w:t>6.5.4装有潜油泵的油罐人孔操作井、卸油口井、加油机底槽等可能发生油品渗漏的部位，也应采取相应的防渗措施。</w:t>
            </w:r>
          </w:p>
        </w:tc>
        <w:tc>
          <w:tcPr>
            <w:tcW w:w="916" w:type="pct"/>
            <w:vAlign w:val="center"/>
          </w:tcPr>
          <w:p w14:paraId="3A28F73E">
            <w:pPr>
              <w:spacing w:line="280" w:lineRule="exact"/>
              <w:rPr>
                <w:rFonts w:ascii="宋体" w:hAnsi="宋体"/>
                <w:color w:val="auto"/>
              </w:rPr>
            </w:pPr>
            <w:r>
              <w:rPr>
                <w:rFonts w:ascii="宋体" w:hAnsi="宋体"/>
                <w:color w:val="auto"/>
              </w:rPr>
              <w:t>采取防渗措施</w:t>
            </w:r>
          </w:p>
        </w:tc>
        <w:tc>
          <w:tcPr>
            <w:tcW w:w="364" w:type="pct"/>
            <w:vAlign w:val="center"/>
          </w:tcPr>
          <w:p w14:paraId="60F0B46A">
            <w:pPr>
              <w:spacing w:line="280" w:lineRule="exact"/>
              <w:rPr>
                <w:rFonts w:ascii="宋体" w:hAnsi="宋体"/>
                <w:color w:val="auto"/>
              </w:rPr>
            </w:pPr>
            <w:r>
              <w:rPr>
                <w:rFonts w:hint="eastAsia" w:ascii="宋体" w:hAnsi="宋体"/>
                <w:color w:val="auto"/>
              </w:rPr>
              <w:t>合格</w:t>
            </w:r>
          </w:p>
        </w:tc>
      </w:tr>
      <w:tr w14:paraId="2D791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AF669D9">
            <w:pPr>
              <w:numPr>
                <w:ilvl w:val="0"/>
                <w:numId w:val="10"/>
              </w:numPr>
              <w:spacing w:line="280" w:lineRule="exact"/>
              <w:jc w:val="center"/>
              <w:rPr>
                <w:rFonts w:ascii="宋体" w:hAnsi="宋体"/>
                <w:color w:val="auto"/>
              </w:rPr>
            </w:pPr>
          </w:p>
        </w:tc>
        <w:tc>
          <w:tcPr>
            <w:tcW w:w="3346" w:type="pct"/>
            <w:vAlign w:val="center"/>
          </w:tcPr>
          <w:p w14:paraId="6B9A45F9">
            <w:pPr>
              <w:spacing w:line="280" w:lineRule="exact"/>
              <w:rPr>
                <w:rFonts w:ascii="宋体" w:hAnsi="宋体"/>
                <w:color w:val="auto"/>
              </w:rPr>
            </w:pPr>
            <w:r>
              <w:rPr>
                <w:rFonts w:ascii="宋体" w:hAnsi="宋体"/>
                <w:color w:val="auto"/>
              </w:rPr>
              <w:t>6.5.6双层油罐、防渗罐池的渗漏检测宜采用在线监测系统。采用液体传感器监测时，传感器的检测精度不应大于3.5mm。</w:t>
            </w:r>
          </w:p>
        </w:tc>
        <w:tc>
          <w:tcPr>
            <w:tcW w:w="916" w:type="pct"/>
            <w:vAlign w:val="center"/>
          </w:tcPr>
          <w:p w14:paraId="27B55AD2">
            <w:pPr>
              <w:spacing w:line="280" w:lineRule="exact"/>
              <w:rPr>
                <w:rFonts w:hint="default" w:ascii="宋体" w:hAnsi="宋体" w:eastAsia="宋体"/>
                <w:color w:val="auto"/>
                <w:lang w:val="en-US" w:eastAsia="zh-CN"/>
              </w:rPr>
            </w:pPr>
            <w:r>
              <w:rPr>
                <w:rFonts w:hint="eastAsia" w:ascii="宋体" w:hAnsi="宋体"/>
                <w:color w:val="auto"/>
              </w:rPr>
              <w:t>SF双层储罐</w:t>
            </w:r>
            <w:r>
              <w:rPr>
                <w:rFonts w:hint="eastAsia" w:ascii="宋体" w:hAnsi="宋体"/>
                <w:color w:val="auto"/>
                <w:lang w:eastAsia="zh-CN"/>
              </w:rPr>
              <w:t>，</w:t>
            </w:r>
            <w:r>
              <w:rPr>
                <w:rFonts w:hint="eastAsia" w:ascii="宋体" w:hAnsi="宋体"/>
                <w:color w:val="auto"/>
                <w:lang w:val="en-US" w:eastAsia="zh-CN"/>
              </w:rPr>
              <w:t>有泄漏检测仪</w:t>
            </w:r>
          </w:p>
        </w:tc>
        <w:tc>
          <w:tcPr>
            <w:tcW w:w="364" w:type="pct"/>
            <w:vAlign w:val="center"/>
          </w:tcPr>
          <w:p w14:paraId="7E10BBE2">
            <w:pPr>
              <w:spacing w:line="280" w:lineRule="exact"/>
              <w:rPr>
                <w:rFonts w:ascii="宋体" w:hAnsi="宋体"/>
                <w:color w:val="auto"/>
              </w:rPr>
            </w:pPr>
            <w:r>
              <w:rPr>
                <w:rFonts w:hint="eastAsia" w:ascii="宋体" w:hAnsi="宋体"/>
                <w:color w:val="auto"/>
              </w:rPr>
              <w:t>合格</w:t>
            </w:r>
          </w:p>
        </w:tc>
      </w:tr>
      <w:tr w14:paraId="30724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7508225">
            <w:pPr>
              <w:numPr>
                <w:ilvl w:val="0"/>
                <w:numId w:val="10"/>
              </w:numPr>
              <w:spacing w:line="280" w:lineRule="exact"/>
              <w:jc w:val="center"/>
              <w:rPr>
                <w:rFonts w:ascii="宋体" w:hAnsi="宋体"/>
                <w:color w:val="auto"/>
              </w:rPr>
            </w:pPr>
          </w:p>
        </w:tc>
        <w:tc>
          <w:tcPr>
            <w:tcW w:w="3346" w:type="pct"/>
            <w:vAlign w:val="center"/>
          </w:tcPr>
          <w:p w14:paraId="2D9E5BA0">
            <w:pPr>
              <w:spacing w:line="280" w:lineRule="exact"/>
              <w:rPr>
                <w:rFonts w:ascii="宋体" w:hAnsi="宋体"/>
                <w:color w:val="auto"/>
              </w:rPr>
            </w:pPr>
            <w:r>
              <w:rPr>
                <w:rFonts w:ascii="宋体" w:hAnsi="宋体"/>
                <w:color w:val="auto"/>
              </w:rPr>
              <w:t>6.5.7既有加油站油罐和管道需要更新改造时，应符合本标准第6.5.1条</w:t>
            </w:r>
            <w:r>
              <w:rPr>
                <w:rFonts w:hint="eastAsia" w:ascii="宋体" w:hAnsi="宋体"/>
                <w:color w:val="auto"/>
                <w:lang w:eastAsia="zh-CN"/>
              </w:rPr>
              <w:t>～</w:t>
            </w:r>
            <w:r>
              <w:rPr>
                <w:rFonts w:ascii="宋体" w:hAnsi="宋体"/>
                <w:color w:val="auto"/>
              </w:rPr>
              <w:t>第6.5.6条的规定。</w:t>
            </w:r>
          </w:p>
        </w:tc>
        <w:tc>
          <w:tcPr>
            <w:tcW w:w="916" w:type="pct"/>
            <w:vAlign w:val="center"/>
          </w:tcPr>
          <w:p w14:paraId="72C9FFE3">
            <w:pPr>
              <w:spacing w:line="280" w:lineRule="exact"/>
              <w:rPr>
                <w:rFonts w:ascii="宋体" w:hAnsi="宋体"/>
                <w:color w:val="auto"/>
              </w:rPr>
            </w:pPr>
            <w:r>
              <w:rPr>
                <w:rFonts w:hint="eastAsia" w:ascii="宋体" w:hAnsi="宋体"/>
                <w:color w:val="auto"/>
              </w:rPr>
              <w:t>不涉及</w:t>
            </w:r>
          </w:p>
        </w:tc>
        <w:tc>
          <w:tcPr>
            <w:tcW w:w="364" w:type="pct"/>
            <w:vAlign w:val="center"/>
          </w:tcPr>
          <w:p w14:paraId="2C602FD0">
            <w:pPr>
              <w:spacing w:line="280" w:lineRule="exact"/>
              <w:rPr>
                <w:rFonts w:ascii="宋体" w:hAnsi="宋体"/>
                <w:color w:val="auto"/>
              </w:rPr>
            </w:pPr>
            <w:r>
              <w:rPr>
                <w:rFonts w:hint="eastAsia" w:ascii="宋体" w:hAnsi="宋体"/>
                <w:color w:val="auto"/>
              </w:rPr>
              <w:t>-</w:t>
            </w:r>
          </w:p>
        </w:tc>
      </w:tr>
    </w:tbl>
    <w:p w14:paraId="41C50F49">
      <w:pPr>
        <w:spacing w:line="600" w:lineRule="exact"/>
        <w:ind w:firstLine="570"/>
        <w:rPr>
          <w:rFonts w:ascii="宋体" w:hAnsi="宋体"/>
          <w:color w:val="auto"/>
          <w:spacing w:val="-6"/>
          <w:sz w:val="28"/>
          <w:szCs w:val="28"/>
        </w:rPr>
      </w:pPr>
      <w:r>
        <w:rPr>
          <w:rFonts w:ascii="宋体" w:hAnsi="宋体"/>
          <w:color w:val="auto"/>
          <w:spacing w:val="-6"/>
          <w:sz w:val="28"/>
          <w:szCs w:val="28"/>
        </w:rPr>
        <w:t>评价结论：从上</w:t>
      </w:r>
      <w:r>
        <w:rPr>
          <w:rFonts w:hint="eastAsia" w:ascii="宋体" w:hAnsi="宋体"/>
          <w:color w:val="auto"/>
          <w:spacing w:val="-6"/>
          <w:sz w:val="28"/>
          <w:szCs w:val="28"/>
        </w:rPr>
        <w:t>述检查</w:t>
      </w:r>
      <w:r>
        <w:rPr>
          <w:rFonts w:ascii="宋体" w:hAnsi="宋体"/>
          <w:color w:val="auto"/>
          <w:spacing w:val="-6"/>
          <w:sz w:val="28"/>
          <w:szCs w:val="28"/>
        </w:rPr>
        <w:t>表可知，</w:t>
      </w:r>
      <w:r>
        <w:rPr>
          <w:rFonts w:hint="eastAsia" w:cs="宋体"/>
          <w:color w:val="auto"/>
          <w:sz w:val="28"/>
          <w:szCs w:val="28"/>
        </w:rPr>
        <w:t>均符合要求</w:t>
      </w:r>
      <w:r>
        <w:rPr>
          <w:rFonts w:ascii="宋体" w:hAnsi="宋体"/>
          <w:color w:val="auto"/>
          <w:spacing w:val="-6"/>
          <w:sz w:val="28"/>
          <w:szCs w:val="28"/>
        </w:rPr>
        <w:t>。</w:t>
      </w:r>
    </w:p>
    <w:p w14:paraId="601B0091">
      <w:pPr>
        <w:pStyle w:val="3"/>
        <w:jc w:val="center"/>
        <w:rPr>
          <w:rFonts w:ascii="宋体" w:hAnsi="宋体"/>
          <w:color w:val="auto"/>
          <w:sz w:val="30"/>
          <w:szCs w:val="30"/>
        </w:rPr>
      </w:pPr>
      <w:bookmarkStart w:id="173" w:name="_Toc5653"/>
      <w:bookmarkStart w:id="174" w:name="_Toc92712594"/>
      <w:bookmarkStart w:id="175" w:name="_Toc4098"/>
      <w:bookmarkStart w:id="176" w:name="_Toc24393"/>
      <w:r>
        <w:rPr>
          <w:rFonts w:hint="eastAsia" w:ascii="宋体" w:hAnsi="宋体"/>
          <w:color w:val="auto"/>
          <w:sz w:val="30"/>
          <w:szCs w:val="30"/>
        </w:rPr>
        <w:t>5.7 消防设施及给排水符合性评价</w:t>
      </w:r>
      <w:bookmarkEnd w:id="173"/>
      <w:bookmarkEnd w:id="174"/>
      <w:bookmarkEnd w:id="175"/>
      <w:bookmarkEnd w:id="176"/>
    </w:p>
    <w:p w14:paraId="6E416D68">
      <w:pPr>
        <w:spacing w:line="600" w:lineRule="exact"/>
        <w:jc w:val="center"/>
        <w:rPr>
          <w:rFonts w:ascii="宋体" w:hAnsi="宋体"/>
          <w:color w:val="auto"/>
          <w:sz w:val="28"/>
          <w:szCs w:val="28"/>
        </w:rPr>
      </w:pPr>
      <w:r>
        <w:rPr>
          <w:rFonts w:hint="eastAsia" w:ascii="宋体" w:hAnsi="宋体"/>
          <w:color w:val="auto"/>
          <w:sz w:val="28"/>
          <w:szCs w:val="28"/>
        </w:rPr>
        <w:t>表5.7-1  消防设施及给排水符合性评价</w:t>
      </w:r>
    </w:p>
    <w:tbl>
      <w:tblPr>
        <w:tblStyle w:val="25"/>
        <w:tblW w:w="525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15"/>
        <w:gridCol w:w="6553"/>
        <w:gridCol w:w="1802"/>
        <w:gridCol w:w="593"/>
      </w:tblGrid>
      <w:tr w14:paraId="0FE762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322" w:type="pct"/>
            <w:vAlign w:val="center"/>
          </w:tcPr>
          <w:p w14:paraId="4BC682B6">
            <w:pPr>
              <w:jc w:val="center"/>
              <w:rPr>
                <w:rFonts w:ascii="宋体" w:hAnsi="宋体"/>
                <w:b/>
                <w:color w:val="auto"/>
              </w:rPr>
            </w:pPr>
            <w:r>
              <w:rPr>
                <w:rFonts w:ascii="宋体" w:hAnsi="宋体"/>
                <w:b/>
                <w:color w:val="auto"/>
              </w:rPr>
              <w:t>序号</w:t>
            </w:r>
          </w:p>
        </w:tc>
        <w:tc>
          <w:tcPr>
            <w:tcW w:w="3426" w:type="pct"/>
            <w:vAlign w:val="center"/>
          </w:tcPr>
          <w:p w14:paraId="50ED87CA">
            <w:pPr>
              <w:jc w:val="center"/>
              <w:rPr>
                <w:rFonts w:ascii="宋体" w:hAnsi="宋体"/>
                <w:b/>
                <w:color w:val="auto"/>
              </w:rPr>
            </w:pPr>
            <w:r>
              <w:rPr>
                <w:rFonts w:ascii="宋体" w:hAnsi="宋体"/>
                <w:b/>
                <w:color w:val="auto"/>
              </w:rPr>
              <w:t>检查内容</w:t>
            </w:r>
          </w:p>
        </w:tc>
        <w:tc>
          <w:tcPr>
            <w:tcW w:w="942" w:type="pct"/>
            <w:vAlign w:val="center"/>
          </w:tcPr>
          <w:p w14:paraId="2ED66CEE">
            <w:pPr>
              <w:jc w:val="center"/>
              <w:rPr>
                <w:rFonts w:ascii="宋体" w:hAnsi="宋体"/>
                <w:b/>
                <w:color w:val="auto"/>
              </w:rPr>
            </w:pPr>
            <w:r>
              <w:rPr>
                <w:rFonts w:ascii="宋体" w:hAnsi="宋体"/>
                <w:b/>
                <w:color w:val="auto"/>
              </w:rPr>
              <w:t>检查记录</w:t>
            </w:r>
          </w:p>
        </w:tc>
        <w:tc>
          <w:tcPr>
            <w:tcW w:w="308" w:type="pct"/>
            <w:vAlign w:val="center"/>
          </w:tcPr>
          <w:p w14:paraId="34A82ACC">
            <w:pPr>
              <w:jc w:val="center"/>
              <w:rPr>
                <w:rFonts w:ascii="宋体" w:hAnsi="宋体"/>
                <w:b/>
                <w:color w:val="auto"/>
              </w:rPr>
            </w:pPr>
            <w:r>
              <w:rPr>
                <w:rFonts w:ascii="宋体" w:hAnsi="宋体"/>
                <w:b/>
                <w:color w:val="auto"/>
              </w:rPr>
              <w:t>结论</w:t>
            </w:r>
          </w:p>
        </w:tc>
      </w:tr>
      <w:tr w14:paraId="382C3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66067FF7">
            <w:pPr>
              <w:rPr>
                <w:rFonts w:ascii="宋体" w:hAnsi="宋体"/>
                <w:b/>
                <w:color w:val="auto"/>
              </w:rPr>
            </w:pPr>
            <w:r>
              <w:rPr>
                <w:rFonts w:hint="eastAsia" w:ascii="宋体" w:hAnsi="宋体"/>
                <w:b/>
                <w:color w:val="auto"/>
              </w:rPr>
              <w:t>灭火器材配置</w:t>
            </w:r>
          </w:p>
        </w:tc>
      </w:tr>
      <w:tr w14:paraId="2EBD1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2" w:type="pct"/>
            <w:vAlign w:val="center"/>
          </w:tcPr>
          <w:p w14:paraId="246658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1</w:t>
            </w:r>
          </w:p>
        </w:tc>
        <w:tc>
          <w:tcPr>
            <w:tcW w:w="3426" w:type="pct"/>
            <w:vAlign w:val="center"/>
          </w:tcPr>
          <w:p w14:paraId="6D83BB0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GB50156-</w:t>
            </w:r>
            <w:r>
              <w:rPr>
                <w:rFonts w:ascii="宋体" w:hAnsi="宋体"/>
                <w:color w:val="auto"/>
              </w:rPr>
              <w:t>12.1.1加油加气加氢站工艺设备应配置灭火器材，并应符合下列规定：</w:t>
            </w:r>
          </w:p>
          <w:p w14:paraId="1732425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每2台加气（氢）机应配置不少于2具5kg手提式干粉灭火器，加气（氢）机不足2台应按2台配置</w:t>
            </w:r>
          </w:p>
          <w:p w14:paraId="358D9F8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每2台加油机应配置不少于2具5kg手提式干粉灭火器，或1具5kg手提式干粉灭火器和1具6L泡沫灭火器，加油机不足2台应按2台配置；</w:t>
            </w:r>
          </w:p>
          <w:p w14:paraId="62FB2D9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地上LPG储罐、地上LNG储罐、地下和半地下LNG储罐、地上液氢储罐、CNG储气设施，应配置2</w:t>
            </w:r>
            <w:r>
              <w:rPr>
                <w:rFonts w:hint="eastAsia" w:ascii="宋体" w:hAnsi="宋体"/>
                <w:color w:val="auto"/>
              </w:rPr>
              <w:t>具</w:t>
            </w:r>
            <w:r>
              <w:rPr>
                <w:rFonts w:ascii="宋体" w:hAnsi="宋体"/>
                <w:color w:val="auto"/>
              </w:rPr>
              <w:t>不小于35kg推车式干粉灭火器，当两种介质储罐之间的距离超过15m时，应分别配置；</w:t>
            </w:r>
          </w:p>
          <w:p w14:paraId="4F195C6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地下储罐应配置1台不小于35kg推车式干粉灭火器，当两种介质储罐之间的距离超过15m时，应分别配置；</w:t>
            </w:r>
          </w:p>
          <w:p w14:paraId="10A667C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LPG泵、LNG泵、液氢增压泵、压缩机操作间（棚、箱），应按建筑面积每50</w:t>
            </w:r>
            <w:r>
              <w:rPr>
                <w:rFonts w:hint="eastAsia" w:ascii="宋体" w:hAnsi="宋体"/>
                <w:color w:val="auto"/>
              </w:rPr>
              <w:t>㎡</w:t>
            </w:r>
            <w:r>
              <w:rPr>
                <w:rFonts w:ascii="宋体" w:hAnsi="宋体"/>
                <w:color w:val="auto"/>
              </w:rPr>
              <w:t>配置不少于2具5kg手提式干粉灭火器；</w:t>
            </w:r>
          </w:p>
          <w:p w14:paraId="498E68D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w:t>
            </w:r>
            <w:r>
              <w:rPr>
                <w:rFonts w:hint="eastAsia" w:ascii="宋体" w:hAnsi="宋体"/>
                <w:color w:val="auto"/>
              </w:rPr>
              <w:t>、</w:t>
            </w:r>
            <w:r>
              <w:rPr>
                <w:rFonts w:ascii="宋体" w:hAnsi="宋体"/>
                <w:color w:val="auto"/>
              </w:rPr>
              <w:t>一、二级加油站应配置灭火毯5块、沙子2</w:t>
            </w:r>
            <w:r>
              <w:rPr>
                <w:rFonts w:hint="eastAsia" w:ascii="宋体" w:hAnsi="宋体"/>
                <w:color w:val="auto"/>
              </w:rPr>
              <w:t>m³</w:t>
            </w:r>
            <w:r>
              <w:rPr>
                <w:rFonts w:ascii="宋体" w:hAnsi="宋体"/>
                <w:color w:val="auto"/>
              </w:rPr>
              <w:t>；三级加油站应配置灭火毯不少于2块、沙子2</w:t>
            </w:r>
            <w:r>
              <w:rPr>
                <w:rFonts w:hint="eastAsia" w:ascii="宋体" w:hAnsi="宋体"/>
                <w:color w:val="auto"/>
              </w:rPr>
              <w:t>m³</w:t>
            </w:r>
            <w:r>
              <w:rPr>
                <w:rFonts w:ascii="宋体" w:hAnsi="宋体"/>
                <w:color w:val="auto"/>
              </w:rPr>
              <w:t>。加油加气合建站应按同级别的加油站配置灭火毯和沙子。</w:t>
            </w:r>
          </w:p>
        </w:tc>
        <w:tc>
          <w:tcPr>
            <w:tcW w:w="942" w:type="pct"/>
            <w:vAlign w:val="center"/>
          </w:tcPr>
          <w:p w14:paraId="6142214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加油机配置</w:t>
            </w:r>
            <w:r>
              <w:rPr>
                <w:rFonts w:hint="eastAsia" w:ascii="宋体" w:hAnsi="宋体"/>
                <w:color w:val="auto"/>
                <w:lang w:val="en-US" w:eastAsia="zh-CN"/>
              </w:rPr>
              <w:t>4</w:t>
            </w:r>
            <w:r>
              <w:rPr>
                <w:rFonts w:ascii="宋体" w:hAnsi="宋体"/>
                <w:color w:val="auto"/>
              </w:rPr>
              <w:t>kg手提式干粉灭火器</w:t>
            </w:r>
            <w:r>
              <w:rPr>
                <w:rFonts w:hint="eastAsia" w:ascii="宋体" w:hAnsi="宋体" w:cs="Times New Roman"/>
                <w:color w:val="auto"/>
              </w:rPr>
              <w:t>、灭火毯</w:t>
            </w:r>
            <w:r>
              <w:rPr>
                <w:rFonts w:hint="eastAsia" w:ascii="宋体" w:hAnsi="宋体" w:cs="Times New Roman"/>
                <w:color w:val="auto"/>
                <w:lang w:val="en-US" w:eastAsia="zh-CN"/>
              </w:rPr>
              <w:t>2</w:t>
            </w:r>
            <w:r>
              <w:rPr>
                <w:rFonts w:hint="eastAsia" w:ascii="宋体" w:hAnsi="宋体" w:cs="Times New Roman"/>
                <w:color w:val="auto"/>
              </w:rPr>
              <w:t>块、</w:t>
            </w:r>
            <w:r>
              <w:rPr>
                <w:rFonts w:hint="eastAsia" w:ascii="宋体" w:hAnsi="宋体"/>
                <w:color w:val="auto"/>
              </w:rPr>
              <w:t>2</w:t>
            </w:r>
            <w:r>
              <w:rPr>
                <w:rFonts w:ascii="宋体" w:hAnsi="宋体"/>
                <w:color w:val="auto"/>
              </w:rPr>
              <w:t>m</w:t>
            </w:r>
            <w:r>
              <w:rPr>
                <w:rFonts w:ascii="宋体" w:hAnsi="宋体"/>
                <w:color w:val="auto"/>
                <w:vertAlign w:val="superscript"/>
              </w:rPr>
              <w:t>3</w:t>
            </w:r>
            <w:r>
              <w:rPr>
                <w:rFonts w:ascii="宋体" w:hAnsi="宋体"/>
                <w:color w:val="auto"/>
              </w:rPr>
              <w:t>消防砂池</w:t>
            </w:r>
            <w:r>
              <w:rPr>
                <w:rFonts w:hint="eastAsia" w:ascii="宋体" w:hAnsi="宋体"/>
                <w:color w:val="auto"/>
              </w:rPr>
              <w:t>1</w:t>
            </w:r>
            <w:r>
              <w:rPr>
                <w:rFonts w:ascii="宋体" w:hAnsi="宋体"/>
                <w:color w:val="auto"/>
              </w:rPr>
              <w:t>座</w:t>
            </w:r>
          </w:p>
        </w:tc>
        <w:tc>
          <w:tcPr>
            <w:tcW w:w="308" w:type="pct"/>
            <w:vAlign w:val="center"/>
          </w:tcPr>
          <w:p w14:paraId="18F862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lang w:val="en-US" w:eastAsia="zh-CN"/>
              </w:rPr>
              <w:t>不</w:t>
            </w:r>
            <w:r>
              <w:rPr>
                <w:rFonts w:hint="eastAsia" w:ascii="宋体" w:hAnsi="宋体"/>
                <w:color w:val="auto"/>
              </w:rPr>
              <w:t>符合</w:t>
            </w:r>
          </w:p>
        </w:tc>
      </w:tr>
      <w:tr w14:paraId="105424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2" w:type="pct"/>
            <w:vAlign w:val="center"/>
          </w:tcPr>
          <w:p w14:paraId="6955B278">
            <w:pPr>
              <w:jc w:val="center"/>
              <w:rPr>
                <w:rFonts w:ascii="宋体" w:hAnsi="宋体"/>
                <w:color w:val="auto"/>
              </w:rPr>
            </w:pPr>
            <w:r>
              <w:rPr>
                <w:rFonts w:hint="eastAsia" w:ascii="宋体" w:hAnsi="宋体"/>
                <w:color w:val="auto"/>
              </w:rPr>
              <w:t>2</w:t>
            </w:r>
          </w:p>
        </w:tc>
        <w:tc>
          <w:tcPr>
            <w:tcW w:w="3426" w:type="pct"/>
            <w:vAlign w:val="center"/>
          </w:tcPr>
          <w:p w14:paraId="46C1F96E">
            <w:pPr>
              <w:rPr>
                <w:rFonts w:ascii="宋体" w:hAnsi="宋体"/>
                <w:color w:val="auto"/>
              </w:rPr>
            </w:pPr>
            <w:r>
              <w:rPr>
                <w:rFonts w:hint="eastAsia" w:ascii="宋体" w:hAnsi="宋体"/>
                <w:color w:val="auto"/>
              </w:rPr>
              <w:t>GB50156-</w:t>
            </w:r>
            <w:r>
              <w:rPr>
                <w:rFonts w:ascii="宋体" w:hAnsi="宋体"/>
                <w:color w:val="auto"/>
              </w:rPr>
              <w:t>12.1.2其余建筑的灭火器配置，应符合现行国家标准《建筑灭火器配置设计规范》GB</w:t>
            </w:r>
            <w:r>
              <w:rPr>
                <w:rFonts w:hint="eastAsia" w:ascii="宋体" w:hAnsi="宋体"/>
                <w:color w:val="auto"/>
              </w:rPr>
              <w:t xml:space="preserve"> </w:t>
            </w:r>
            <w:r>
              <w:rPr>
                <w:rFonts w:ascii="宋体" w:hAnsi="宋体"/>
                <w:color w:val="auto"/>
              </w:rPr>
              <w:t>50140的有关规定。</w:t>
            </w:r>
          </w:p>
        </w:tc>
        <w:tc>
          <w:tcPr>
            <w:tcW w:w="942" w:type="pct"/>
            <w:vAlign w:val="center"/>
          </w:tcPr>
          <w:p w14:paraId="02A0BCEA">
            <w:pPr>
              <w:rPr>
                <w:rFonts w:ascii="宋体" w:hAnsi="宋体"/>
                <w:color w:val="auto"/>
              </w:rPr>
            </w:pPr>
            <w:r>
              <w:rPr>
                <w:rFonts w:hint="eastAsia" w:ascii="宋体" w:hAnsi="宋体"/>
                <w:color w:val="auto"/>
              </w:rPr>
              <w:t>站房、配电间等按要求设置了灭火器</w:t>
            </w:r>
          </w:p>
        </w:tc>
        <w:tc>
          <w:tcPr>
            <w:tcW w:w="308" w:type="pct"/>
            <w:vAlign w:val="center"/>
          </w:tcPr>
          <w:p w14:paraId="2852CEB8">
            <w:pPr>
              <w:rPr>
                <w:rFonts w:ascii="宋体" w:hAnsi="宋体"/>
                <w:color w:val="auto"/>
              </w:rPr>
            </w:pPr>
            <w:r>
              <w:rPr>
                <w:rFonts w:ascii="宋体" w:hAnsi="宋体"/>
                <w:color w:val="auto"/>
              </w:rPr>
              <w:t>合格</w:t>
            </w:r>
          </w:p>
        </w:tc>
      </w:tr>
      <w:tr w14:paraId="2E05C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48239E2A">
            <w:pPr>
              <w:rPr>
                <w:rFonts w:ascii="宋体" w:hAnsi="宋体"/>
                <w:b/>
                <w:color w:val="auto"/>
              </w:rPr>
            </w:pPr>
            <w:r>
              <w:rPr>
                <w:rFonts w:hint="eastAsia" w:ascii="宋体" w:hAnsi="宋体"/>
                <w:b/>
                <w:color w:val="auto"/>
              </w:rPr>
              <w:t>消防给水</w:t>
            </w:r>
          </w:p>
        </w:tc>
      </w:tr>
      <w:tr w14:paraId="4E3C1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2" w:type="pct"/>
            <w:vAlign w:val="center"/>
          </w:tcPr>
          <w:p w14:paraId="777C6C32">
            <w:pPr>
              <w:jc w:val="center"/>
              <w:rPr>
                <w:rFonts w:ascii="宋体" w:hAnsi="宋体"/>
                <w:color w:val="auto"/>
              </w:rPr>
            </w:pPr>
            <w:r>
              <w:rPr>
                <w:rFonts w:hint="eastAsia" w:ascii="宋体" w:hAnsi="宋体"/>
                <w:color w:val="auto"/>
              </w:rPr>
              <w:t>1</w:t>
            </w:r>
          </w:p>
        </w:tc>
        <w:tc>
          <w:tcPr>
            <w:tcW w:w="3426" w:type="pct"/>
            <w:vAlign w:val="center"/>
          </w:tcPr>
          <w:p w14:paraId="0D2F3F7A">
            <w:pPr>
              <w:rPr>
                <w:rFonts w:ascii="宋体" w:hAnsi="宋体"/>
                <w:color w:val="auto"/>
              </w:rPr>
            </w:pPr>
            <w:r>
              <w:rPr>
                <w:rFonts w:hint="eastAsia" w:ascii="宋体" w:hAnsi="宋体"/>
                <w:color w:val="auto"/>
              </w:rPr>
              <w:t>GB50156-</w:t>
            </w:r>
            <w:r>
              <w:rPr>
                <w:rFonts w:ascii="宋体" w:hAnsi="宋体"/>
                <w:color w:val="auto"/>
              </w:rPr>
              <w:t>12.2.3加油站、CNG加气站、三级LNG加气站和采用埋地、地下、半地下NG储罐的各级LNG加气站及合建站，可不设消防给水系统。合建站中地上LNG储罐总容积不大于60</w:t>
            </w:r>
            <w:r>
              <w:rPr>
                <w:rFonts w:hint="eastAsia" w:ascii="宋体" w:hAnsi="宋体"/>
                <w:color w:val="auto"/>
              </w:rPr>
              <w:t>㎡</w:t>
            </w:r>
            <w:r>
              <w:rPr>
                <w:rFonts w:ascii="宋体" w:hAnsi="宋体"/>
                <w:color w:val="auto"/>
              </w:rPr>
              <w:t>时，可不设消防给水系统。</w:t>
            </w:r>
          </w:p>
        </w:tc>
        <w:tc>
          <w:tcPr>
            <w:tcW w:w="942" w:type="pct"/>
            <w:vAlign w:val="center"/>
          </w:tcPr>
          <w:p w14:paraId="21DE0906">
            <w:pPr>
              <w:rPr>
                <w:rFonts w:ascii="宋体" w:hAnsi="宋体"/>
                <w:color w:val="auto"/>
              </w:rPr>
            </w:pPr>
            <w:r>
              <w:rPr>
                <w:rFonts w:hint="eastAsia" w:ascii="宋体" w:hAnsi="宋体"/>
                <w:color w:val="auto"/>
              </w:rPr>
              <w:t>未设置</w:t>
            </w:r>
            <w:r>
              <w:rPr>
                <w:rFonts w:ascii="宋体" w:hAnsi="宋体"/>
                <w:color w:val="auto"/>
              </w:rPr>
              <w:t>消防给水系统</w:t>
            </w:r>
          </w:p>
        </w:tc>
        <w:tc>
          <w:tcPr>
            <w:tcW w:w="308" w:type="pct"/>
            <w:vAlign w:val="center"/>
          </w:tcPr>
          <w:p w14:paraId="1ED1585F">
            <w:pPr>
              <w:jc w:val="center"/>
              <w:rPr>
                <w:rFonts w:ascii="宋体" w:hAnsi="宋体"/>
                <w:color w:val="auto"/>
              </w:rPr>
            </w:pPr>
            <w:r>
              <w:rPr>
                <w:rFonts w:hint="eastAsia" w:ascii="宋体" w:hAnsi="宋体"/>
                <w:color w:val="auto"/>
              </w:rPr>
              <w:t>-</w:t>
            </w:r>
          </w:p>
        </w:tc>
      </w:tr>
      <w:tr w14:paraId="0A975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7B1CAC45">
            <w:pPr>
              <w:rPr>
                <w:rFonts w:ascii="宋体" w:hAnsi="宋体"/>
                <w:b/>
                <w:color w:val="auto"/>
              </w:rPr>
            </w:pPr>
            <w:r>
              <w:rPr>
                <w:rFonts w:hint="eastAsia" w:ascii="宋体" w:hAnsi="宋体"/>
                <w:b/>
                <w:color w:val="auto"/>
              </w:rPr>
              <w:t>给排水系统</w:t>
            </w:r>
          </w:p>
        </w:tc>
      </w:tr>
      <w:tr w14:paraId="27897B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2" w:type="pct"/>
            <w:vAlign w:val="center"/>
          </w:tcPr>
          <w:p w14:paraId="3FA281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1</w:t>
            </w:r>
          </w:p>
        </w:tc>
        <w:tc>
          <w:tcPr>
            <w:tcW w:w="3426" w:type="pct"/>
            <w:vAlign w:val="center"/>
          </w:tcPr>
          <w:p w14:paraId="59A4D36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GB50156-</w:t>
            </w:r>
            <w:r>
              <w:rPr>
                <w:rFonts w:ascii="宋体" w:hAnsi="宋体"/>
                <w:color w:val="auto"/>
              </w:rPr>
              <w:t>12.3.2汽车加油加气加氢站的排水应符合下列规定：</w:t>
            </w:r>
          </w:p>
          <w:p w14:paraId="18B0173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站内地面雨水可散流排出站外，当加油站、LPG加气站或加油与LPG加气合建站的雨水由明沟排到站外时，应在围墙内设置水封装置；</w:t>
            </w:r>
          </w:p>
          <w:p w14:paraId="7E2BEC9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加油站、LPG加气站或加油与LPG加气合建站排出建筑物或围墙的污水，在建筑物墙外或围墙内应分别设水封井，水封井的水封高度不应小于0.25m，水封</w:t>
            </w:r>
            <w:r>
              <w:rPr>
                <w:rFonts w:hint="eastAsia" w:ascii="宋体" w:hAnsi="宋体"/>
                <w:color w:val="auto"/>
                <w:lang w:eastAsia="zh-CN"/>
              </w:rPr>
              <w:t>井</w:t>
            </w:r>
            <w:r>
              <w:rPr>
                <w:rFonts w:ascii="宋体" w:hAnsi="宋体"/>
                <w:color w:val="auto"/>
              </w:rPr>
              <w:t>应设沉泥段，沉泥段高度不应小于0.25m；</w:t>
            </w:r>
          </w:p>
          <w:p w14:paraId="4DEC41A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清洗油罐的污水应集中收集处理，不应直接进入排水管道，LPG储罐的排污（排水）应采用活动式回收桶集中收集处理，不应直接接入排水管道</w:t>
            </w:r>
            <w:r>
              <w:rPr>
                <w:rFonts w:hint="eastAsia" w:ascii="宋体" w:hAnsi="宋体"/>
                <w:color w:val="auto"/>
              </w:rPr>
              <w:t>。</w:t>
            </w:r>
          </w:p>
          <w:p w14:paraId="497EF64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排出站外的污水应符合国家现行有关污水排放标准的规定；</w:t>
            </w:r>
          </w:p>
          <w:p w14:paraId="68C0D91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加油站、LPG加气站不应采用暗沟排水。</w:t>
            </w:r>
          </w:p>
        </w:tc>
        <w:tc>
          <w:tcPr>
            <w:tcW w:w="942" w:type="pct"/>
            <w:vAlign w:val="center"/>
          </w:tcPr>
          <w:p w14:paraId="2AB2B35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加油区、卸油区设有环保沟并引至隔油池；雨水散流</w:t>
            </w:r>
          </w:p>
        </w:tc>
        <w:tc>
          <w:tcPr>
            <w:tcW w:w="308" w:type="pct"/>
            <w:vAlign w:val="center"/>
          </w:tcPr>
          <w:p w14:paraId="0BE4D5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ascii="宋体" w:hAnsi="宋体"/>
                <w:color w:val="auto"/>
              </w:rPr>
              <w:t>合格</w:t>
            </w:r>
          </w:p>
        </w:tc>
      </w:tr>
      <w:tr w14:paraId="5E041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2" w:type="pct"/>
            <w:vAlign w:val="center"/>
          </w:tcPr>
          <w:p w14:paraId="2BF10B9D">
            <w:pPr>
              <w:spacing w:line="240" w:lineRule="exact"/>
              <w:jc w:val="center"/>
              <w:rPr>
                <w:rFonts w:ascii="宋体" w:hAnsi="宋体"/>
                <w:color w:val="auto"/>
              </w:rPr>
            </w:pPr>
            <w:r>
              <w:rPr>
                <w:rFonts w:hint="eastAsia" w:ascii="宋体" w:hAnsi="宋体"/>
                <w:color w:val="auto"/>
              </w:rPr>
              <w:t>2</w:t>
            </w:r>
          </w:p>
        </w:tc>
        <w:tc>
          <w:tcPr>
            <w:tcW w:w="3426" w:type="pct"/>
            <w:vAlign w:val="center"/>
          </w:tcPr>
          <w:p w14:paraId="39088020">
            <w:pPr>
              <w:spacing w:line="240" w:lineRule="exact"/>
              <w:rPr>
                <w:rFonts w:ascii="宋体" w:hAnsi="宋体"/>
                <w:color w:val="auto"/>
              </w:rPr>
            </w:pPr>
            <w:r>
              <w:rPr>
                <w:rFonts w:hint="eastAsia" w:ascii="宋体" w:hAnsi="宋体"/>
                <w:color w:val="auto"/>
              </w:rPr>
              <w:t>GB50156-</w:t>
            </w:r>
            <w:r>
              <w:rPr>
                <w:rFonts w:ascii="宋体" w:hAnsi="宋体"/>
                <w:color w:val="auto"/>
              </w:rPr>
              <w:t>12.3.3排水井、雨水口和化粪池不应设在作业区和可燃液体出现泄漏事故时可能流经的部位</w:t>
            </w:r>
            <w:r>
              <w:rPr>
                <w:rFonts w:hint="eastAsia" w:ascii="宋体" w:hAnsi="宋体"/>
                <w:color w:val="auto"/>
              </w:rPr>
              <w:t>。</w:t>
            </w:r>
          </w:p>
        </w:tc>
        <w:tc>
          <w:tcPr>
            <w:tcW w:w="942" w:type="pct"/>
            <w:vAlign w:val="center"/>
          </w:tcPr>
          <w:p w14:paraId="0E6A56AE">
            <w:pPr>
              <w:spacing w:line="240" w:lineRule="exact"/>
              <w:rPr>
                <w:rFonts w:ascii="宋体" w:hAnsi="宋体"/>
                <w:color w:val="auto"/>
              </w:rPr>
            </w:pPr>
            <w:r>
              <w:rPr>
                <w:rFonts w:hint="eastAsia" w:ascii="宋体" w:hAnsi="宋体"/>
                <w:color w:val="auto"/>
                <w:spacing w:val="-6"/>
                <w:sz w:val="21"/>
              </w:rPr>
              <w:t>未</w:t>
            </w:r>
            <w:r>
              <w:rPr>
                <w:rFonts w:ascii="宋体" w:hAnsi="宋体"/>
                <w:color w:val="auto"/>
                <w:spacing w:val="-6"/>
                <w:sz w:val="21"/>
              </w:rPr>
              <w:t>设在作业区和可燃液体出现泄漏事故时可能流经的部位</w:t>
            </w:r>
          </w:p>
        </w:tc>
        <w:tc>
          <w:tcPr>
            <w:tcW w:w="308" w:type="pct"/>
            <w:vAlign w:val="center"/>
          </w:tcPr>
          <w:p w14:paraId="40E10CC8">
            <w:pPr>
              <w:spacing w:line="240" w:lineRule="exact"/>
              <w:rPr>
                <w:rFonts w:ascii="宋体" w:hAnsi="宋体"/>
                <w:color w:val="auto"/>
              </w:rPr>
            </w:pPr>
            <w:r>
              <w:rPr>
                <w:rFonts w:ascii="宋体" w:hAnsi="宋体"/>
                <w:color w:val="auto"/>
              </w:rPr>
              <w:t>合格</w:t>
            </w:r>
          </w:p>
        </w:tc>
      </w:tr>
      <w:tr w14:paraId="57BB8A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2" w:type="pct"/>
            <w:vAlign w:val="center"/>
          </w:tcPr>
          <w:p w14:paraId="1775D93D">
            <w:pPr>
              <w:jc w:val="center"/>
              <w:rPr>
                <w:rFonts w:ascii="宋体" w:hAnsi="宋体"/>
                <w:color w:val="auto"/>
              </w:rPr>
            </w:pPr>
            <w:r>
              <w:rPr>
                <w:rFonts w:hint="eastAsia" w:ascii="宋体" w:hAnsi="宋体"/>
                <w:color w:val="auto"/>
              </w:rPr>
              <w:t>3</w:t>
            </w:r>
          </w:p>
        </w:tc>
        <w:tc>
          <w:tcPr>
            <w:tcW w:w="3426" w:type="pct"/>
            <w:vAlign w:val="center"/>
          </w:tcPr>
          <w:p w14:paraId="3366E3A0">
            <w:pPr>
              <w:rPr>
                <w:rFonts w:ascii="宋体" w:hAnsi="宋体"/>
                <w:color w:val="auto"/>
              </w:rPr>
            </w:pPr>
            <w:r>
              <w:rPr>
                <w:rFonts w:hint="eastAsia" w:ascii="宋体" w:hAnsi="宋体"/>
                <w:color w:val="auto"/>
              </w:rPr>
              <w:t>GB50966-10.2.2</w:t>
            </w:r>
            <w:r>
              <w:rPr>
                <w:rFonts w:ascii="Arial" w:hAnsi="Arial" w:eastAsia="Arial" w:cs="Arial"/>
                <w:color w:val="auto"/>
                <w:shd w:val="clear" w:color="auto" w:fill="FFFFFF"/>
              </w:rPr>
              <w:t>站区雨水可通过截水沟或雨水口收集后排入市政雨水系统。雨水排水系统设计宜采用有组织排水方式。当不具备集中排水条件时，站内地面雨水可散流排出站外</w:t>
            </w:r>
            <w:r>
              <w:rPr>
                <w:rFonts w:hint="eastAsia" w:ascii="Arial" w:hAnsi="Arial" w:cs="Arial"/>
                <w:color w:val="auto"/>
                <w:shd w:val="clear" w:color="auto" w:fill="FFFFFF"/>
              </w:rPr>
              <w:t>。</w:t>
            </w:r>
          </w:p>
        </w:tc>
        <w:tc>
          <w:tcPr>
            <w:tcW w:w="942" w:type="pct"/>
            <w:vAlign w:val="center"/>
          </w:tcPr>
          <w:p w14:paraId="2B85190D">
            <w:pPr>
              <w:rPr>
                <w:rFonts w:ascii="宋体" w:hAnsi="宋体"/>
                <w:color w:val="auto"/>
              </w:rPr>
            </w:pPr>
            <w:r>
              <w:rPr>
                <w:rFonts w:hint="eastAsia" w:ascii="宋体" w:hAnsi="宋体"/>
                <w:color w:val="auto"/>
              </w:rPr>
              <w:t>雨水散流</w:t>
            </w:r>
          </w:p>
        </w:tc>
        <w:tc>
          <w:tcPr>
            <w:tcW w:w="308" w:type="pct"/>
            <w:vAlign w:val="center"/>
          </w:tcPr>
          <w:p w14:paraId="7E6C4B21">
            <w:pPr>
              <w:rPr>
                <w:rFonts w:ascii="宋体" w:hAnsi="宋体"/>
                <w:color w:val="auto"/>
              </w:rPr>
            </w:pPr>
            <w:r>
              <w:rPr>
                <w:rFonts w:hint="eastAsia" w:ascii="宋体" w:hAnsi="宋体"/>
                <w:color w:val="auto"/>
              </w:rPr>
              <w:t>合格</w:t>
            </w:r>
          </w:p>
        </w:tc>
      </w:tr>
    </w:tbl>
    <w:p w14:paraId="0BF3B277">
      <w:pPr>
        <w:spacing w:line="600" w:lineRule="exact"/>
        <w:ind w:firstLine="516" w:firstLineChars="200"/>
        <w:jc w:val="left"/>
        <w:rPr>
          <w:rFonts w:ascii="Times New Roman" w:hAnsi="Times New Roman"/>
          <w:color w:val="auto"/>
          <w:spacing w:val="-11"/>
          <w:sz w:val="28"/>
          <w:szCs w:val="28"/>
        </w:rPr>
      </w:pPr>
      <w:r>
        <w:rPr>
          <w:rFonts w:ascii="Times New Roman" w:hAnsi="Times New Roman"/>
          <w:color w:val="auto"/>
          <w:spacing w:val="-11"/>
          <w:sz w:val="28"/>
          <w:szCs w:val="28"/>
        </w:rPr>
        <w:t>评价结论：从上</w:t>
      </w:r>
      <w:r>
        <w:rPr>
          <w:rFonts w:hint="eastAsia" w:ascii="Times New Roman" w:hAnsi="Times New Roman"/>
          <w:color w:val="auto"/>
          <w:spacing w:val="-11"/>
          <w:sz w:val="28"/>
          <w:szCs w:val="28"/>
        </w:rPr>
        <w:t>述检查</w:t>
      </w:r>
      <w:r>
        <w:rPr>
          <w:rFonts w:ascii="Times New Roman" w:hAnsi="Times New Roman"/>
          <w:color w:val="auto"/>
          <w:spacing w:val="-11"/>
          <w:sz w:val="28"/>
          <w:szCs w:val="28"/>
        </w:rPr>
        <w:t>表可知，以上检查表</w:t>
      </w:r>
      <w:r>
        <w:rPr>
          <w:rFonts w:hint="eastAsia" w:ascii="Times New Roman" w:hAnsi="Times New Roman"/>
          <w:color w:val="auto"/>
          <w:spacing w:val="-11"/>
          <w:sz w:val="28"/>
          <w:szCs w:val="28"/>
        </w:rPr>
        <w:t>共检查3</w:t>
      </w:r>
      <w:r>
        <w:rPr>
          <w:rFonts w:hint="eastAsia" w:ascii="Times New Roman" w:hAnsi="Times New Roman"/>
          <w:color w:val="auto"/>
          <w:spacing w:val="-11"/>
          <w:sz w:val="28"/>
          <w:szCs w:val="28"/>
          <w:lang w:eastAsia="zh-CN"/>
        </w:rPr>
        <w:t>项</w:t>
      </w:r>
      <w:r>
        <w:rPr>
          <w:rFonts w:hint="eastAsia" w:ascii="Times New Roman" w:hAnsi="Times New Roman"/>
          <w:color w:val="auto"/>
          <w:spacing w:val="-11"/>
          <w:sz w:val="28"/>
          <w:szCs w:val="28"/>
        </w:rPr>
        <w:t>，</w:t>
      </w:r>
      <w:r>
        <w:rPr>
          <w:rFonts w:hint="eastAsia" w:ascii="Times New Roman" w:hAnsi="Times New Roman"/>
          <w:color w:val="auto"/>
          <w:spacing w:val="-11"/>
          <w:sz w:val="28"/>
          <w:szCs w:val="28"/>
          <w:lang w:val="en-US" w:eastAsia="zh-CN"/>
        </w:rPr>
        <w:t>1项</w:t>
      </w:r>
      <w:r>
        <w:rPr>
          <w:rFonts w:hint="eastAsia" w:ascii="Times New Roman" w:hAnsi="Times New Roman"/>
          <w:color w:val="auto"/>
          <w:spacing w:val="-11"/>
          <w:sz w:val="28"/>
          <w:szCs w:val="28"/>
        </w:rPr>
        <w:t>符合要求</w:t>
      </w:r>
      <w:r>
        <w:rPr>
          <w:rFonts w:hint="eastAsia" w:ascii="Times New Roman" w:hAnsi="Times New Roman"/>
          <w:color w:val="auto"/>
          <w:spacing w:val="-11"/>
          <w:sz w:val="28"/>
          <w:szCs w:val="28"/>
          <w:lang w:eastAsia="zh-CN"/>
        </w:rPr>
        <w:t>，加油机配置</w:t>
      </w:r>
      <w:r>
        <w:rPr>
          <w:rFonts w:hint="default" w:ascii="Times New Roman" w:hAnsi="Times New Roman" w:cs="Times New Roman"/>
          <w:color w:val="auto"/>
          <w:spacing w:val="-11"/>
          <w:sz w:val="28"/>
          <w:szCs w:val="28"/>
          <w:lang w:eastAsia="zh-CN"/>
        </w:rPr>
        <w:t>4kg</w:t>
      </w:r>
      <w:r>
        <w:rPr>
          <w:rFonts w:hint="eastAsia" w:ascii="Times New Roman" w:hAnsi="Times New Roman"/>
          <w:color w:val="auto"/>
          <w:spacing w:val="-11"/>
          <w:sz w:val="28"/>
          <w:szCs w:val="28"/>
          <w:lang w:eastAsia="zh-CN"/>
        </w:rPr>
        <w:t>手提式干粉灭火器</w:t>
      </w:r>
      <w:r>
        <w:rPr>
          <w:rFonts w:hint="eastAsia" w:ascii="Times New Roman" w:hAnsi="Times New Roman"/>
          <w:color w:val="auto"/>
          <w:spacing w:val="-11"/>
          <w:sz w:val="28"/>
          <w:szCs w:val="28"/>
        </w:rPr>
        <w:t>。</w:t>
      </w:r>
      <w:bookmarkStart w:id="177" w:name="_Toc30243"/>
      <w:bookmarkStart w:id="178" w:name="_Toc92712595"/>
    </w:p>
    <w:p w14:paraId="3252F0C1">
      <w:pPr>
        <w:pStyle w:val="3"/>
        <w:jc w:val="center"/>
        <w:rPr>
          <w:rFonts w:ascii="宋体" w:hAnsi="宋体"/>
          <w:color w:val="auto"/>
          <w:sz w:val="30"/>
          <w:szCs w:val="30"/>
        </w:rPr>
      </w:pPr>
      <w:bookmarkStart w:id="179" w:name="_Toc26838"/>
      <w:bookmarkStart w:id="180" w:name="_Toc19791"/>
      <w:r>
        <w:rPr>
          <w:rFonts w:hint="eastAsia" w:ascii="宋体" w:hAnsi="宋体"/>
          <w:color w:val="auto"/>
          <w:sz w:val="30"/>
          <w:szCs w:val="30"/>
        </w:rPr>
        <w:t>5.8 电气、报警和紧急切断系统符合性评价</w:t>
      </w:r>
      <w:bookmarkEnd w:id="177"/>
      <w:bookmarkEnd w:id="178"/>
      <w:bookmarkEnd w:id="179"/>
      <w:bookmarkEnd w:id="180"/>
    </w:p>
    <w:p w14:paraId="01AABB4E">
      <w:pPr>
        <w:spacing w:line="600" w:lineRule="exact"/>
        <w:jc w:val="center"/>
        <w:rPr>
          <w:rFonts w:ascii="宋体" w:hAnsi="宋体"/>
          <w:color w:val="auto"/>
          <w:sz w:val="28"/>
          <w:szCs w:val="28"/>
        </w:rPr>
      </w:pPr>
      <w:r>
        <w:rPr>
          <w:rFonts w:hint="eastAsia" w:ascii="宋体" w:hAnsi="宋体"/>
          <w:color w:val="auto"/>
          <w:sz w:val="28"/>
          <w:szCs w:val="28"/>
        </w:rPr>
        <w:t>表5.8-1  电气、报警和紧急切断系统符合性评价</w:t>
      </w:r>
    </w:p>
    <w:tbl>
      <w:tblPr>
        <w:tblStyle w:val="25"/>
        <w:tblW w:w="506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74"/>
        <w:gridCol w:w="5997"/>
        <w:gridCol w:w="1810"/>
        <w:gridCol w:w="734"/>
      </w:tblGrid>
      <w:tr w14:paraId="2789D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C389ADD">
            <w:pPr>
              <w:spacing w:line="280" w:lineRule="exact"/>
              <w:jc w:val="center"/>
              <w:rPr>
                <w:rFonts w:ascii="宋体" w:hAnsi="宋体"/>
                <w:b/>
                <w:color w:val="auto"/>
              </w:rPr>
            </w:pPr>
            <w:r>
              <w:rPr>
                <w:rFonts w:ascii="宋体" w:hAnsi="宋体"/>
                <w:b/>
                <w:color w:val="auto"/>
              </w:rPr>
              <w:t>序号</w:t>
            </w:r>
          </w:p>
        </w:tc>
        <w:tc>
          <w:tcPr>
            <w:tcW w:w="3254" w:type="pct"/>
            <w:vAlign w:val="center"/>
          </w:tcPr>
          <w:p w14:paraId="3923383B">
            <w:pPr>
              <w:spacing w:line="280" w:lineRule="exact"/>
              <w:jc w:val="center"/>
              <w:rPr>
                <w:rFonts w:ascii="宋体" w:hAnsi="宋体"/>
                <w:b/>
                <w:color w:val="auto"/>
              </w:rPr>
            </w:pPr>
            <w:r>
              <w:rPr>
                <w:rFonts w:ascii="宋体" w:hAnsi="宋体"/>
                <w:b/>
                <w:color w:val="auto"/>
              </w:rPr>
              <w:t>检查内容</w:t>
            </w:r>
          </w:p>
        </w:tc>
        <w:tc>
          <w:tcPr>
            <w:tcW w:w="982" w:type="pct"/>
            <w:vAlign w:val="center"/>
          </w:tcPr>
          <w:p w14:paraId="695A52C8">
            <w:pPr>
              <w:spacing w:line="280" w:lineRule="exact"/>
              <w:jc w:val="center"/>
              <w:rPr>
                <w:rFonts w:ascii="宋体" w:hAnsi="宋体"/>
                <w:b/>
                <w:color w:val="auto"/>
              </w:rPr>
            </w:pPr>
            <w:r>
              <w:rPr>
                <w:rFonts w:ascii="宋体" w:hAnsi="宋体"/>
                <w:b/>
                <w:color w:val="auto"/>
              </w:rPr>
              <w:t>检查记录</w:t>
            </w:r>
          </w:p>
        </w:tc>
        <w:tc>
          <w:tcPr>
            <w:tcW w:w="396" w:type="pct"/>
            <w:vAlign w:val="center"/>
          </w:tcPr>
          <w:p w14:paraId="4AAD2782">
            <w:pPr>
              <w:spacing w:line="280" w:lineRule="exact"/>
              <w:jc w:val="center"/>
              <w:rPr>
                <w:rFonts w:ascii="宋体" w:hAnsi="宋体"/>
                <w:b/>
                <w:color w:val="auto"/>
              </w:rPr>
            </w:pPr>
            <w:r>
              <w:rPr>
                <w:rFonts w:ascii="宋体" w:hAnsi="宋体"/>
                <w:b/>
                <w:color w:val="auto"/>
              </w:rPr>
              <w:t>结论</w:t>
            </w:r>
          </w:p>
        </w:tc>
      </w:tr>
      <w:tr w14:paraId="228B2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7C77A568">
            <w:pPr>
              <w:spacing w:line="280" w:lineRule="exact"/>
              <w:rPr>
                <w:rFonts w:ascii="宋体" w:hAnsi="宋体"/>
                <w:b/>
                <w:color w:val="auto"/>
              </w:rPr>
            </w:pPr>
            <w:r>
              <w:rPr>
                <w:rFonts w:ascii="宋体" w:hAnsi="宋体"/>
                <w:b/>
                <w:color w:val="auto"/>
              </w:rPr>
              <w:t>供配电</w:t>
            </w:r>
          </w:p>
        </w:tc>
      </w:tr>
      <w:tr w14:paraId="7042C2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CB1183C">
            <w:pPr>
              <w:spacing w:line="280" w:lineRule="exact"/>
              <w:jc w:val="center"/>
              <w:rPr>
                <w:rFonts w:ascii="宋体" w:hAnsi="宋体"/>
                <w:color w:val="auto"/>
              </w:rPr>
            </w:pPr>
            <w:r>
              <w:rPr>
                <w:rFonts w:ascii="宋体" w:hAnsi="宋体"/>
                <w:color w:val="auto"/>
              </w:rPr>
              <w:t>1</w:t>
            </w:r>
          </w:p>
        </w:tc>
        <w:tc>
          <w:tcPr>
            <w:tcW w:w="3254" w:type="pct"/>
            <w:vAlign w:val="center"/>
          </w:tcPr>
          <w:p w14:paraId="75491522">
            <w:pPr>
              <w:spacing w:line="280" w:lineRule="exact"/>
              <w:rPr>
                <w:rFonts w:ascii="宋体" w:hAnsi="宋体"/>
                <w:color w:val="auto"/>
              </w:rPr>
            </w:pPr>
            <w:r>
              <w:rPr>
                <w:rFonts w:ascii="宋体" w:hAnsi="宋体"/>
                <w:color w:val="auto"/>
              </w:rPr>
              <w:t>13.1.1汽车加油加气加氢站的供电负荷等级可分为三级，信息系统应设不间断供电电源。</w:t>
            </w:r>
          </w:p>
        </w:tc>
        <w:tc>
          <w:tcPr>
            <w:tcW w:w="982" w:type="pct"/>
            <w:vAlign w:val="center"/>
          </w:tcPr>
          <w:p w14:paraId="686F7CBC">
            <w:pPr>
              <w:spacing w:line="280" w:lineRule="exact"/>
              <w:rPr>
                <w:rFonts w:ascii="宋体" w:hAnsi="宋体"/>
                <w:color w:val="auto"/>
              </w:rPr>
            </w:pPr>
            <w:r>
              <w:rPr>
                <w:rFonts w:ascii="宋体" w:hAnsi="宋体"/>
                <w:color w:val="auto"/>
              </w:rPr>
              <w:t>信息系统</w:t>
            </w:r>
            <w:r>
              <w:rPr>
                <w:rFonts w:hint="eastAsia" w:ascii="宋体" w:hAnsi="宋体"/>
                <w:color w:val="auto"/>
              </w:rPr>
              <w:t>设有</w:t>
            </w:r>
            <w:r>
              <w:rPr>
                <w:rFonts w:ascii="宋体" w:hAnsi="宋体"/>
                <w:color w:val="auto"/>
              </w:rPr>
              <w:t>UPS电源</w:t>
            </w:r>
          </w:p>
        </w:tc>
        <w:tc>
          <w:tcPr>
            <w:tcW w:w="396" w:type="pct"/>
            <w:vAlign w:val="center"/>
          </w:tcPr>
          <w:p w14:paraId="7BCF9ACF">
            <w:pPr>
              <w:spacing w:line="280" w:lineRule="exact"/>
              <w:jc w:val="center"/>
              <w:rPr>
                <w:rFonts w:ascii="宋体" w:hAnsi="宋体"/>
                <w:color w:val="auto"/>
              </w:rPr>
            </w:pPr>
            <w:r>
              <w:rPr>
                <w:rFonts w:ascii="宋体" w:hAnsi="宋体"/>
                <w:color w:val="auto"/>
              </w:rPr>
              <w:t>合格</w:t>
            </w:r>
          </w:p>
        </w:tc>
      </w:tr>
      <w:tr w14:paraId="01693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93CB877">
            <w:pPr>
              <w:spacing w:line="280" w:lineRule="exact"/>
              <w:jc w:val="center"/>
              <w:rPr>
                <w:rFonts w:ascii="宋体" w:hAnsi="宋体"/>
                <w:color w:val="auto"/>
              </w:rPr>
            </w:pPr>
            <w:r>
              <w:rPr>
                <w:rFonts w:ascii="宋体" w:hAnsi="宋体"/>
                <w:color w:val="auto"/>
              </w:rPr>
              <w:t>2</w:t>
            </w:r>
          </w:p>
        </w:tc>
        <w:tc>
          <w:tcPr>
            <w:tcW w:w="3254" w:type="pct"/>
            <w:vAlign w:val="center"/>
          </w:tcPr>
          <w:p w14:paraId="5029779F">
            <w:pPr>
              <w:spacing w:line="280" w:lineRule="exact"/>
              <w:rPr>
                <w:rFonts w:ascii="宋体" w:hAnsi="宋体"/>
                <w:color w:val="auto"/>
              </w:rPr>
            </w:pPr>
            <w:r>
              <w:rPr>
                <w:rFonts w:ascii="宋体" w:hAnsi="宋体"/>
                <w:color w:val="auto"/>
              </w:rPr>
              <w:t>13.1.2加油站、LPG加气站宜采用电压为380/220V的外接电源，CNG加气站、LNG加气站、加氢合建站宜采用电压为10kV的外接电源。</w:t>
            </w:r>
          </w:p>
        </w:tc>
        <w:tc>
          <w:tcPr>
            <w:tcW w:w="982" w:type="pct"/>
            <w:vAlign w:val="center"/>
          </w:tcPr>
          <w:p w14:paraId="1CEC60D9">
            <w:pPr>
              <w:spacing w:line="280" w:lineRule="exact"/>
              <w:rPr>
                <w:rFonts w:ascii="宋体" w:hAnsi="宋体"/>
                <w:color w:val="auto"/>
              </w:rPr>
            </w:pPr>
            <w:r>
              <w:rPr>
                <w:rFonts w:hint="eastAsia" w:ascii="宋体" w:hAnsi="宋体" w:cs="Times New Roman"/>
                <w:color w:val="auto"/>
              </w:rPr>
              <w:t>外接电源引至位于配电间的配电柜</w:t>
            </w:r>
          </w:p>
        </w:tc>
        <w:tc>
          <w:tcPr>
            <w:tcW w:w="396" w:type="pct"/>
            <w:vAlign w:val="center"/>
          </w:tcPr>
          <w:p w14:paraId="13676213">
            <w:pPr>
              <w:spacing w:line="280" w:lineRule="exact"/>
              <w:jc w:val="center"/>
              <w:rPr>
                <w:rFonts w:ascii="宋体" w:hAnsi="宋体"/>
                <w:color w:val="auto"/>
              </w:rPr>
            </w:pPr>
            <w:r>
              <w:rPr>
                <w:rFonts w:ascii="宋体" w:hAnsi="宋体"/>
                <w:color w:val="auto"/>
              </w:rPr>
              <w:t>合格</w:t>
            </w:r>
          </w:p>
        </w:tc>
      </w:tr>
      <w:tr w14:paraId="47759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4AC97B3">
            <w:pPr>
              <w:spacing w:line="280" w:lineRule="exact"/>
              <w:jc w:val="center"/>
              <w:rPr>
                <w:rFonts w:ascii="宋体" w:hAnsi="宋体"/>
                <w:color w:val="auto"/>
              </w:rPr>
            </w:pPr>
            <w:r>
              <w:rPr>
                <w:rFonts w:ascii="宋体" w:hAnsi="宋体"/>
                <w:color w:val="auto"/>
              </w:rPr>
              <w:t>3</w:t>
            </w:r>
          </w:p>
        </w:tc>
        <w:tc>
          <w:tcPr>
            <w:tcW w:w="3254" w:type="pct"/>
            <w:vAlign w:val="center"/>
          </w:tcPr>
          <w:p w14:paraId="72012E37">
            <w:pPr>
              <w:spacing w:line="280" w:lineRule="exact"/>
              <w:rPr>
                <w:rFonts w:ascii="宋体" w:hAnsi="宋体"/>
                <w:color w:val="auto"/>
              </w:rPr>
            </w:pPr>
            <w:r>
              <w:rPr>
                <w:rFonts w:ascii="宋体" w:hAnsi="宋体"/>
                <w:color w:val="auto"/>
              </w:rPr>
              <w:t>13.1.3汽车加油加气加氢站的消防泵房、罩棚、营业室、LPG泵房、压缩机间等处均应设应急照明，连续供电时间不应少于90min。</w:t>
            </w:r>
          </w:p>
        </w:tc>
        <w:tc>
          <w:tcPr>
            <w:tcW w:w="982" w:type="pct"/>
            <w:vAlign w:val="center"/>
          </w:tcPr>
          <w:p w14:paraId="2C7BC38D">
            <w:pPr>
              <w:spacing w:line="280" w:lineRule="exact"/>
              <w:rPr>
                <w:rFonts w:ascii="宋体" w:hAnsi="宋体"/>
                <w:color w:val="auto"/>
              </w:rPr>
            </w:pPr>
            <w:r>
              <w:rPr>
                <w:rFonts w:hint="eastAsia" w:ascii="宋体" w:hAnsi="宋体"/>
                <w:color w:val="auto"/>
              </w:rPr>
              <w:t>设有应急照明</w:t>
            </w:r>
          </w:p>
        </w:tc>
        <w:tc>
          <w:tcPr>
            <w:tcW w:w="396" w:type="pct"/>
            <w:vAlign w:val="center"/>
          </w:tcPr>
          <w:p w14:paraId="71CC98F6">
            <w:pPr>
              <w:spacing w:line="280" w:lineRule="exact"/>
              <w:jc w:val="center"/>
              <w:rPr>
                <w:rFonts w:ascii="宋体" w:hAnsi="宋体"/>
                <w:color w:val="auto"/>
              </w:rPr>
            </w:pPr>
            <w:r>
              <w:rPr>
                <w:rFonts w:ascii="宋体" w:hAnsi="宋体"/>
                <w:color w:val="auto"/>
              </w:rPr>
              <w:t>合格</w:t>
            </w:r>
          </w:p>
        </w:tc>
      </w:tr>
      <w:tr w14:paraId="484456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0F614855">
            <w:pPr>
              <w:spacing w:line="280" w:lineRule="exact"/>
              <w:jc w:val="center"/>
              <w:rPr>
                <w:rFonts w:ascii="宋体" w:hAnsi="宋体"/>
                <w:color w:val="auto"/>
              </w:rPr>
            </w:pPr>
            <w:r>
              <w:rPr>
                <w:rFonts w:ascii="宋体" w:hAnsi="宋体"/>
                <w:color w:val="auto"/>
              </w:rPr>
              <w:t>4</w:t>
            </w:r>
          </w:p>
        </w:tc>
        <w:tc>
          <w:tcPr>
            <w:tcW w:w="3254" w:type="pct"/>
            <w:vAlign w:val="center"/>
          </w:tcPr>
          <w:p w14:paraId="5F295AC4">
            <w:pPr>
              <w:spacing w:line="280" w:lineRule="exact"/>
              <w:rPr>
                <w:rFonts w:ascii="宋体" w:hAnsi="宋体"/>
                <w:color w:val="auto"/>
              </w:rPr>
            </w:pPr>
            <w:r>
              <w:rPr>
                <w:rFonts w:ascii="宋体" w:hAnsi="宋体"/>
                <w:color w:val="auto"/>
              </w:rPr>
              <w:t>13.1.4当引用外电源有困难时，汽车加油加气加氢站可设置小型内燃发电机组。内燃机的排烟管口应安装阻火器。排烟管口至各爆炸危险区域</w:t>
            </w:r>
            <w:r>
              <w:rPr>
                <w:rFonts w:hint="eastAsia" w:ascii="宋体" w:hAnsi="宋体"/>
                <w:color w:val="auto"/>
              </w:rPr>
              <w:t>边</w:t>
            </w:r>
            <w:r>
              <w:rPr>
                <w:rFonts w:ascii="宋体" w:hAnsi="宋体"/>
                <w:color w:val="auto"/>
              </w:rPr>
              <w:t>界的水平距离，应符合下列规定：</w:t>
            </w:r>
          </w:p>
          <w:p w14:paraId="258CE2E9">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排烟口高出地面4.5m以下时，不应小于5m；</w:t>
            </w:r>
          </w:p>
          <w:p w14:paraId="1E0E6510">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排烟口高出地面4.5m及以上时，不应小于3m。</w:t>
            </w:r>
          </w:p>
        </w:tc>
        <w:tc>
          <w:tcPr>
            <w:tcW w:w="982" w:type="pct"/>
            <w:vAlign w:val="center"/>
          </w:tcPr>
          <w:p w14:paraId="10D46291">
            <w:pPr>
              <w:spacing w:line="280" w:lineRule="exact"/>
              <w:rPr>
                <w:rFonts w:ascii="宋体" w:hAnsi="宋体"/>
                <w:color w:val="auto"/>
              </w:rPr>
            </w:pPr>
            <w:r>
              <w:rPr>
                <w:rFonts w:hint="eastAsia" w:ascii="宋体" w:hAnsi="宋体"/>
                <w:color w:val="auto"/>
              </w:rPr>
              <w:t>不涉及</w:t>
            </w:r>
          </w:p>
        </w:tc>
        <w:tc>
          <w:tcPr>
            <w:tcW w:w="396" w:type="pct"/>
            <w:vAlign w:val="center"/>
          </w:tcPr>
          <w:p w14:paraId="340B4670">
            <w:pPr>
              <w:spacing w:line="280" w:lineRule="exact"/>
              <w:jc w:val="center"/>
              <w:rPr>
                <w:rFonts w:ascii="宋体" w:hAnsi="宋体"/>
                <w:color w:val="auto"/>
              </w:rPr>
            </w:pPr>
            <w:r>
              <w:rPr>
                <w:rFonts w:hint="eastAsia" w:ascii="宋体" w:hAnsi="宋体"/>
                <w:color w:val="auto"/>
              </w:rPr>
              <w:t>-</w:t>
            </w:r>
          </w:p>
        </w:tc>
      </w:tr>
      <w:tr w14:paraId="1E4AAE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474C338">
            <w:pPr>
              <w:spacing w:line="280" w:lineRule="exact"/>
              <w:jc w:val="center"/>
              <w:rPr>
                <w:rFonts w:ascii="宋体" w:hAnsi="宋体"/>
                <w:color w:val="auto"/>
              </w:rPr>
            </w:pPr>
            <w:r>
              <w:rPr>
                <w:rFonts w:ascii="宋体" w:hAnsi="宋体"/>
                <w:color w:val="auto"/>
              </w:rPr>
              <w:t>5</w:t>
            </w:r>
          </w:p>
        </w:tc>
        <w:tc>
          <w:tcPr>
            <w:tcW w:w="3254" w:type="pct"/>
            <w:vAlign w:val="center"/>
          </w:tcPr>
          <w:p w14:paraId="798C3A9C">
            <w:pPr>
              <w:spacing w:line="280" w:lineRule="exact"/>
              <w:rPr>
                <w:rFonts w:ascii="宋体" w:hAnsi="宋体"/>
                <w:color w:val="auto"/>
              </w:rPr>
            </w:pPr>
            <w:r>
              <w:rPr>
                <w:rFonts w:ascii="宋体" w:hAnsi="宋体"/>
                <w:color w:val="auto"/>
              </w:rPr>
              <w:t>13.1.5汽车加油加气加氢站的电缆宜采用直埋或电缆穿管敷设。电缆穿越行车道部分应穿钢管保护。</w:t>
            </w:r>
          </w:p>
        </w:tc>
        <w:tc>
          <w:tcPr>
            <w:tcW w:w="982" w:type="pct"/>
            <w:vAlign w:val="center"/>
          </w:tcPr>
          <w:p w14:paraId="028A2CF0">
            <w:pPr>
              <w:spacing w:line="280" w:lineRule="exact"/>
              <w:rPr>
                <w:rFonts w:ascii="宋体" w:hAnsi="宋体"/>
                <w:color w:val="auto"/>
              </w:rPr>
            </w:pPr>
            <w:r>
              <w:rPr>
                <w:rFonts w:ascii="宋体" w:hAnsi="宋体"/>
                <w:color w:val="auto"/>
              </w:rPr>
              <w:t>穿管敷设</w:t>
            </w:r>
          </w:p>
        </w:tc>
        <w:tc>
          <w:tcPr>
            <w:tcW w:w="396" w:type="pct"/>
            <w:vAlign w:val="center"/>
          </w:tcPr>
          <w:p w14:paraId="1A9DC173">
            <w:pPr>
              <w:spacing w:line="280" w:lineRule="exact"/>
              <w:jc w:val="center"/>
              <w:rPr>
                <w:rFonts w:ascii="宋体" w:hAnsi="宋体"/>
                <w:color w:val="auto"/>
              </w:rPr>
            </w:pPr>
            <w:r>
              <w:rPr>
                <w:rFonts w:ascii="宋体" w:hAnsi="宋体"/>
                <w:color w:val="auto"/>
              </w:rPr>
              <w:t>合格</w:t>
            </w:r>
          </w:p>
        </w:tc>
      </w:tr>
      <w:tr w14:paraId="7A2AD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37CAE38F">
            <w:pPr>
              <w:spacing w:line="280" w:lineRule="exact"/>
              <w:jc w:val="center"/>
              <w:rPr>
                <w:rFonts w:ascii="宋体" w:hAnsi="宋体"/>
                <w:color w:val="auto"/>
              </w:rPr>
            </w:pPr>
            <w:r>
              <w:rPr>
                <w:rFonts w:ascii="宋体" w:hAnsi="宋体"/>
                <w:color w:val="auto"/>
              </w:rPr>
              <w:t>6</w:t>
            </w:r>
          </w:p>
        </w:tc>
        <w:tc>
          <w:tcPr>
            <w:tcW w:w="3254" w:type="pct"/>
            <w:vAlign w:val="center"/>
          </w:tcPr>
          <w:p w14:paraId="0C5EF5C9">
            <w:pPr>
              <w:spacing w:line="280" w:lineRule="exact"/>
              <w:rPr>
                <w:rFonts w:ascii="宋体" w:hAnsi="宋体"/>
                <w:color w:val="auto"/>
              </w:rPr>
            </w:pPr>
            <w:r>
              <w:rPr>
                <w:rFonts w:ascii="宋体" w:hAnsi="宋体"/>
                <w:color w:val="auto"/>
              </w:rPr>
              <w:t>13.1.6当采用电缆沟敷设电缆时，作业区内的电缆沟内必须充沙填实。电缆不得与氢气、油品、LPG、LNG和CNG管道以及热力管道敷设在同一沟内。</w:t>
            </w:r>
          </w:p>
        </w:tc>
        <w:tc>
          <w:tcPr>
            <w:tcW w:w="982" w:type="pct"/>
            <w:vAlign w:val="center"/>
          </w:tcPr>
          <w:p w14:paraId="6603145C">
            <w:pPr>
              <w:spacing w:line="280" w:lineRule="exact"/>
              <w:rPr>
                <w:rFonts w:ascii="宋体" w:hAnsi="宋体"/>
                <w:color w:val="auto"/>
              </w:rPr>
            </w:pPr>
            <w:r>
              <w:rPr>
                <w:rFonts w:hint="eastAsia" w:ascii="宋体" w:hAnsi="宋体"/>
                <w:color w:val="auto"/>
              </w:rPr>
              <w:t>隐蔽工程，已验收</w:t>
            </w:r>
          </w:p>
        </w:tc>
        <w:tc>
          <w:tcPr>
            <w:tcW w:w="396" w:type="pct"/>
            <w:vAlign w:val="center"/>
          </w:tcPr>
          <w:p w14:paraId="79374653">
            <w:pPr>
              <w:spacing w:line="280" w:lineRule="exact"/>
              <w:jc w:val="center"/>
              <w:rPr>
                <w:rFonts w:ascii="宋体" w:hAnsi="宋体"/>
                <w:color w:val="auto"/>
              </w:rPr>
            </w:pPr>
            <w:r>
              <w:rPr>
                <w:rFonts w:ascii="宋体" w:hAnsi="宋体"/>
                <w:color w:val="auto"/>
              </w:rPr>
              <w:t>合格</w:t>
            </w:r>
          </w:p>
        </w:tc>
      </w:tr>
      <w:tr w14:paraId="41A523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63AE2AA0">
            <w:pPr>
              <w:spacing w:line="280" w:lineRule="exact"/>
              <w:jc w:val="center"/>
              <w:rPr>
                <w:rFonts w:ascii="宋体" w:hAnsi="宋体"/>
                <w:color w:val="auto"/>
              </w:rPr>
            </w:pPr>
            <w:r>
              <w:rPr>
                <w:rFonts w:ascii="宋体" w:hAnsi="宋体"/>
                <w:color w:val="auto"/>
              </w:rPr>
              <w:t>7</w:t>
            </w:r>
          </w:p>
        </w:tc>
        <w:tc>
          <w:tcPr>
            <w:tcW w:w="3254" w:type="pct"/>
            <w:vAlign w:val="center"/>
          </w:tcPr>
          <w:p w14:paraId="2FC5FCDB">
            <w:pPr>
              <w:spacing w:line="280" w:lineRule="exact"/>
              <w:rPr>
                <w:rFonts w:ascii="宋体" w:hAnsi="宋体"/>
                <w:color w:val="auto"/>
              </w:rPr>
            </w:pPr>
            <w:r>
              <w:rPr>
                <w:rFonts w:ascii="宋体" w:hAnsi="宋体"/>
                <w:color w:val="auto"/>
              </w:rPr>
              <w:t>13.1.7爆炸危险区域内的电气设备选型、安装、电力线路敷设应符合现行国家标准《爆炸危险环境电力装置设计规范》GB50058的有关规定。</w:t>
            </w:r>
          </w:p>
        </w:tc>
        <w:tc>
          <w:tcPr>
            <w:tcW w:w="982" w:type="pct"/>
            <w:vAlign w:val="center"/>
          </w:tcPr>
          <w:p w14:paraId="0E8769A6">
            <w:pPr>
              <w:spacing w:line="280" w:lineRule="exact"/>
              <w:rPr>
                <w:rFonts w:ascii="宋体" w:hAnsi="宋体"/>
                <w:color w:val="auto"/>
              </w:rPr>
            </w:pPr>
            <w:r>
              <w:rPr>
                <w:rFonts w:ascii="宋体" w:hAnsi="宋体"/>
                <w:color w:val="auto"/>
              </w:rPr>
              <w:t>符合国家标准</w:t>
            </w:r>
          </w:p>
        </w:tc>
        <w:tc>
          <w:tcPr>
            <w:tcW w:w="396" w:type="pct"/>
            <w:vAlign w:val="center"/>
          </w:tcPr>
          <w:p w14:paraId="6C200FC3">
            <w:pPr>
              <w:spacing w:line="280" w:lineRule="exact"/>
              <w:jc w:val="center"/>
              <w:rPr>
                <w:rFonts w:ascii="宋体" w:hAnsi="宋体"/>
                <w:color w:val="auto"/>
              </w:rPr>
            </w:pPr>
            <w:r>
              <w:rPr>
                <w:rFonts w:ascii="宋体" w:hAnsi="宋体"/>
                <w:color w:val="auto"/>
              </w:rPr>
              <w:t>合格</w:t>
            </w:r>
          </w:p>
        </w:tc>
      </w:tr>
      <w:tr w14:paraId="386A81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00DF930">
            <w:pPr>
              <w:spacing w:line="280" w:lineRule="exact"/>
              <w:jc w:val="center"/>
              <w:rPr>
                <w:rFonts w:ascii="宋体" w:hAnsi="宋体"/>
                <w:color w:val="auto"/>
              </w:rPr>
            </w:pPr>
            <w:r>
              <w:rPr>
                <w:rFonts w:hint="eastAsia" w:ascii="宋体" w:hAnsi="宋体"/>
                <w:color w:val="auto"/>
              </w:rPr>
              <w:t>8</w:t>
            </w:r>
          </w:p>
        </w:tc>
        <w:tc>
          <w:tcPr>
            <w:tcW w:w="3254" w:type="pct"/>
            <w:vAlign w:val="center"/>
          </w:tcPr>
          <w:p w14:paraId="13D6529F">
            <w:pPr>
              <w:spacing w:line="280" w:lineRule="exact"/>
              <w:rPr>
                <w:rFonts w:ascii="宋体" w:hAnsi="宋体"/>
                <w:color w:val="auto"/>
              </w:rPr>
            </w:pPr>
            <w:r>
              <w:rPr>
                <w:rFonts w:ascii="宋体" w:hAnsi="宋体"/>
                <w:color w:val="auto"/>
              </w:rPr>
              <w:t>13.1.8汽车加油加气加氢站内爆炸危险区域以外的照明灯具可选用非防爆型。罩棚下处于非爆炸危险区域的灯具应选用防护等级不低于IP44级的照明灯具。</w:t>
            </w:r>
          </w:p>
        </w:tc>
        <w:tc>
          <w:tcPr>
            <w:tcW w:w="982" w:type="pct"/>
            <w:vAlign w:val="center"/>
          </w:tcPr>
          <w:p w14:paraId="6073790C">
            <w:pPr>
              <w:spacing w:line="280" w:lineRule="exact"/>
              <w:rPr>
                <w:rFonts w:ascii="宋体" w:hAnsi="宋体"/>
                <w:color w:val="auto"/>
              </w:rPr>
            </w:pPr>
            <w:r>
              <w:rPr>
                <w:rFonts w:ascii="宋体" w:hAnsi="宋体"/>
                <w:color w:val="auto"/>
              </w:rPr>
              <w:t>IP44级</w:t>
            </w:r>
          </w:p>
        </w:tc>
        <w:tc>
          <w:tcPr>
            <w:tcW w:w="396" w:type="pct"/>
            <w:vAlign w:val="center"/>
          </w:tcPr>
          <w:p w14:paraId="1E3FAF38">
            <w:pPr>
              <w:spacing w:line="280" w:lineRule="exact"/>
              <w:jc w:val="center"/>
              <w:rPr>
                <w:rFonts w:ascii="宋体" w:hAnsi="宋体"/>
                <w:color w:val="auto"/>
              </w:rPr>
            </w:pPr>
            <w:r>
              <w:rPr>
                <w:rFonts w:ascii="宋体" w:hAnsi="宋体"/>
                <w:color w:val="auto"/>
              </w:rPr>
              <w:t>合格</w:t>
            </w:r>
          </w:p>
        </w:tc>
      </w:tr>
      <w:tr w14:paraId="062B83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1D8E1624">
            <w:pPr>
              <w:spacing w:line="280" w:lineRule="exact"/>
              <w:rPr>
                <w:rFonts w:ascii="宋体" w:hAnsi="宋体"/>
                <w:color w:val="auto"/>
              </w:rPr>
            </w:pPr>
            <w:r>
              <w:rPr>
                <w:rFonts w:ascii="宋体" w:hAnsi="宋体"/>
                <w:b/>
                <w:color w:val="auto"/>
              </w:rPr>
              <w:t>防雷、防静电</w:t>
            </w:r>
          </w:p>
        </w:tc>
      </w:tr>
      <w:tr w14:paraId="6CFD2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197B8D2B">
            <w:pPr>
              <w:spacing w:line="280" w:lineRule="exact"/>
              <w:jc w:val="center"/>
              <w:rPr>
                <w:rFonts w:ascii="宋体" w:hAnsi="宋体"/>
                <w:color w:val="auto"/>
              </w:rPr>
            </w:pPr>
            <w:r>
              <w:rPr>
                <w:rFonts w:ascii="宋体" w:hAnsi="宋体"/>
                <w:color w:val="auto"/>
              </w:rPr>
              <w:t>1</w:t>
            </w:r>
          </w:p>
        </w:tc>
        <w:tc>
          <w:tcPr>
            <w:tcW w:w="3254" w:type="pct"/>
            <w:vAlign w:val="center"/>
          </w:tcPr>
          <w:p w14:paraId="2BBEC351">
            <w:pPr>
              <w:spacing w:line="280" w:lineRule="exact"/>
              <w:rPr>
                <w:rFonts w:ascii="宋体" w:hAnsi="宋体"/>
                <w:color w:val="auto"/>
              </w:rPr>
            </w:pPr>
            <w:r>
              <w:rPr>
                <w:rFonts w:ascii="宋体" w:hAnsi="宋体"/>
                <w:color w:val="auto"/>
              </w:rPr>
              <w:t>13.2.1钢制油罐、LPG储罐、LNG储罐、CNG储气瓶（组）、储氢容器和液氢储罐必须进行防雷接地，接地点不应少于两处。CNG和氢气的长管拖车或管束式集装箱停放场地、卸车点车辆停放场地应设两处</w:t>
            </w:r>
            <w:r>
              <w:rPr>
                <w:rFonts w:hint="eastAsia" w:ascii="宋体" w:hAnsi="宋体"/>
                <w:color w:val="auto"/>
                <w:lang w:eastAsia="zh-CN"/>
              </w:rPr>
              <w:t>临时</w:t>
            </w:r>
            <w:r>
              <w:rPr>
                <w:rFonts w:ascii="宋体" w:hAnsi="宋体"/>
                <w:color w:val="auto"/>
              </w:rPr>
              <w:t>固定防雷接地装置。</w:t>
            </w:r>
          </w:p>
        </w:tc>
        <w:tc>
          <w:tcPr>
            <w:tcW w:w="982" w:type="pct"/>
            <w:vAlign w:val="center"/>
          </w:tcPr>
          <w:p w14:paraId="34AF7F3D">
            <w:pPr>
              <w:spacing w:line="280" w:lineRule="exact"/>
              <w:rPr>
                <w:rFonts w:ascii="宋体" w:hAnsi="宋体"/>
                <w:color w:val="auto"/>
              </w:rPr>
            </w:pPr>
            <w:r>
              <w:rPr>
                <w:rFonts w:ascii="宋体" w:hAnsi="宋体"/>
                <w:color w:val="auto"/>
              </w:rPr>
              <w:t>接地点不少于两处</w:t>
            </w:r>
            <w:r>
              <w:rPr>
                <w:rFonts w:hint="eastAsia" w:ascii="宋体" w:hAnsi="宋体"/>
                <w:color w:val="auto"/>
              </w:rPr>
              <w:t>，有合格的防雷接地检测报告</w:t>
            </w:r>
          </w:p>
        </w:tc>
        <w:tc>
          <w:tcPr>
            <w:tcW w:w="396" w:type="pct"/>
            <w:vAlign w:val="center"/>
          </w:tcPr>
          <w:p w14:paraId="6D0EC0EF">
            <w:pPr>
              <w:spacing w:line="280" w:lineRule="exact"/>
              <w:jc w:val="center"/>
              <w:rPr>
                <w:rFonts w:ascii="宋体" w:hAnsi="宋体"/>
                <w:color w:val="auto"/>
              </w:rPr>
            </w:pPr>
            <w:r>
              <w:rPr>
                <w:rFonts w:ascii="宋体" w:hAnsi="宋体"/>
                <w:color w:val="auto"/>
              </w:rPr>
              <w:t>合格</w:t>
            </w:r>
          </w:p>
        </w:tc>
      </w:tr>
      <w:tr w14:paraId="45490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40A6538">
            <w:pPr>
              <w:spacing w:line="280" w:lineRule="exact"/>
              <w:jc w:val="center"/>
              <w:rPr>
                <w:rFonts w:ascii="宋体" w:hAnsi="宋体"/>
                <w:color w:val="auto"/>
              </w:rPr>
            </w:pPr>
            <w:r>
              <w:rPr>
                <w:rFonts w:ascii="宋体" w:hAnsi="宋体"/>
                <w:color w:val="auto"/>
              </w:rPr>
              <w:t>2</w:t>
            </w:r>
          </w:p>
        </w:tc>
        <w:tc>
          <w:tcPr>
            <w:tcW w:w="3254" w:type="pct"/>
            <w:vAlign w:val="center"/>
          </w:tcPr>
          <w:p w14:paraId="6EE372D2">
            <w:pPr>
              <w:spacing w:line="280" w:lineRule="exact"/>
              <w:rPr>
                <w:rFonts w:ascii="宋体" w:hAnsi="宋体"/>
                <w:color w:val="auto"/>
              </w:rPr>
            </w:pPr>
            <w:r>
              <w:rPr>
                <w:rFonts w:ascii="宋体" w:hAnsi="宋体"/>
                <w:color w:val="auto"/>
              </w:rPr>
              <w:t>13.2.2汽车加油加气加氢站的防雷接地、防静电接地、电气设备的工作接地、保护接地及信息系统的接地等宜共用接地装置，接地电阻不应大于4Ω。</w:t>
            </w:r>
          </w:p>
        </w:tc>
        <w:tc>
          <w:tcPr>
            <w:tcW w:w="982" w:type="pct"/>
            <w:vAlign w:val="center"/>
          </w:tcPr>
          <w:p w14:paraId="7392AA7E">
            <w:pPr>
              <w:spacing w:line="280" w:lineRule="exact"/>
              <w:rPr>
                <w:rFonts w:ascii="宋体" w:hAnsi="宋体"/>
                <w:color w:val="auto"/>
              </w:rPr>
            </w:pPr>
            <w:r>
              <w:rPr>
                <w:rFonts w:hint="eastAsia" w:ascii="宋体" w:hAnsi="宋体"/>
                <w:color w:val="auto"/>
              </w:rPr>
              <w:t>有合格的防雷接地检测报告</w:t>
            </w:r>
          </w:p>
        </w:tc>
        <w:tc>
          <w:tcPr>
            <w:tcW w:w="396" w:type="pct"/>
            <w:vAlign w:val="center"/>
          </w:tcPr>
          <w:p w14:paraId="4F17D152">
            <w:pPr>
              <w:spacing w:line="280" w:lineRule="exact"/>
              <w:jc w:val="center"/>
              <w:rPr>
                <w:rFonts w:ascii="宋体" w:hAnsi="宋体"/>
                <w:color w:val="auto"/>
              </w:rPr>
            </w:pPr>
            <w:r>
              <w:rPr>
                <w:rFonts w:ascii="宋体" w:hAnsi="宋体"/>
                <w:color w:val="auto"/>
              </w:rPr>
              <w:t>合格</w:t>
            </w:r>
          </w:p>
        </w:tc>
      </w:tr>
      <w:tr w14:paraId="3761FA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0F2DB8D9">
            <w:pPr>
              <w:spacing w:line="280" w:lineRule="exact"/>
              <w:jc w:val="center"/>
              <w:rPr>
                <w:rFonts w:ascii="宋体" w:hAnsi="宋体"/>
                <w:color w:val="auto"/>
              </w:rPr>
            </w:pPr>
            <w:r>
              <w:rPr>
                <w:rFonts w:ascii="宋体" w:hAnsi="宋体"/>
                <w:color w:val="auto"/>
              </w:rPr>
              <w:t>3</w:t>
            </w:r>
          </w:p>
        </w:tc>
        <w:tc>
          <w:tcPr>
            <w:tcW w:w="3254" w:type="pct"/>
            <w:vAlign w:val="center"/>
          </w:tcPr>
          <w:p w14:paraId="39582731">
            <w:pPr>
              <w:spacing w:line="280" w:lineRule="exact"/>
              <w:rPr>
                <w:rFonts w:ascii="宋体" w:hAnsi="宋体"/>
                <w:color w:val="auto"/>
              </w:rPr>
            </w:pPr>
            <w:r>
              <w:rPr>
                <w:rFonts w:ascii="宋体" w:hAnsi="宋体"/>
                <w:color w:val="auto"/>
              </w:rPr>
              <w:t>13.2.4埋地钢制油罐、埋地LPG储罐以及非金属油罐顶部的金属部件和罐内的各金属部件，必须与非埋地部分的工艺金属管道相互做电气连接并接地。</w:t>
            </w:r>
          </w:p>
        </w:tc>
        <w:tc>
          <w:tcPr>
            <w:tcW w:w="982" w:type="pct"/>
            <w:vAlign w:val="center"/>
          </w:tcPr>
          <w:p w14:paraId="39DCDA44">
            <w:pPr>
              <w:spacing w:line="280" w:lineRule="exact"/>
              <w:rPr>
                <w:rFonts w:ascii="宋体" w:hAnsi="宋体"/>
                <w:color w:val="auto"/>
              </w:rPr>
            </w:pPr>
            <w:r>
              <w:rPr>
                <w:rFonts w:hint="eastAsia" w:ascii="宋体" w:hAnsi="宋体"/>
                <w:color w:val="auto"/>
              </w:rPr>
              <w:t>隐蔽工程，已验收</w:t>
            </w:r>
          </w:p>
        </w:tc>
        <w:tc>
          <w:tcPr>
            <w:tcW w:w="396" w:type="pct"/>
            <w:vAlign w:val="center"/>
          </w:tcPr>
          <w:p w14:paraId="4F31896A">
            <w:pPr>
              <w:spacing w:line="280" w:lineRule="exact"/>
              <w:jc w:val="center"/>
              <w:rPr>
                <w:rFonts w:ascii="宋体" w:hAnsi="宋体"/>
                <w:color w:val="auto"/>
              </w:rPr>
            </w:pPr>
            <w:r>
              <w:rPr>
                <w:rFonts w:ascii="宋体" w:hAnsi="宋体"/>
                <w:color w:val="auto"/>
              </w:rPr>
              <w:t>合格</w:t>
            </w:r>
          </w:p>
        </w:tc>
      </w:tr>
      <w:tr w14:paraId="564F3A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367905C">
            <w:pPr>
              <w:spacing w:line="280" w:lineRule="exact"/>
              <w:jc w:val="center"/>
              <w:rPr>
                <w:rFonts w:ascii="宋体" w:hAnsi="宋体"/>
                <w:color w:val="auto"/>
              </w:rPr>
            </w:pPr>
            <w:r>
              <w:rPr>
                <w:rFonts w:hint="eastAsia" w:ascii="宋体" w:hAnsi="宋体"/>
                <w:color w:val="auto"/>
              </w:rPr>
              <w:t>4</w:t>
            </w:r>
          </w:p>
        </w:tc>
        <w:tc>
          <w:tcPr>
            <w:tcW w:w="3254" w:type="pct"/>
            <w:vAlign w:val="center"/>
          </w:tcPr>
          <w:p w14:paraId="42F19B60">
            <w:pPr>
              <w:spacing w:line="280" w:lineRule="exact"/>
              <w:rPr>
                <w:rFonts w:ascii="宋体" w:hAnsi="宋体"/>
                <w:color w:val="auto"/>
              </w:rPr>
            </w:pPr>
            <w:r>
              <w:rPr>
                <w:rFonts w:ascii="宋体" w:hAnsi="宋体"/>
                <w:color w:val="auto"/>
              </w:rPr>
              <w:t>13.2.6当汽车加油加气加氢站内的站房和罩棚等建筑物需要防直击雷时，应采用接闪带（网）保护。当罩棚采用金属屋面时，宜利用屋面作为接闪器，但应符合下列规定：</w:t>
            </w:r>
          </w:p>
          <w:p w14:paraId="10C22A88">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板间的连接应是持久的电气贯通，可采用铜锌合金焊、熔焊、卷边压接、缝接、螺钉或螺栓连接；</w:t>
            </w:r>
          </w:p>
          <w:p w14:paraId="6586E558">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金属板下面不应有易燃物品，热镀锌钢板的厚度不应小于0.5mm，铝板的厚度不应小于0.65mm，锌板的厚度不应小于0.7mm；</w:t>
            </w:r>
          </w:p>
          <w:p w14:paraId="29AFDBA2">
            <w:pPr>
              <w:spacing w:line="28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金属板应无绝缘被覆层。</w:t>
            </w:r>
          </w:p>
        </w:tc>
        <w:tc>
          <w:tcPr>
            <w:tcW w:w="982" w:type="pct"/>
            <w:vAlign w:val="center"/>
          </w:tcPr>
          <w:p w14:paraId="6132C827">
            <w:pPr>
              <w:spacing w:line="280" w:lineRule="exact"/>
              <w:rPr>
                <w:rFonts w:ascii="宋体" w:hAnsi="宋体"/>
                <w:color w:val="auto"/>
              </w:rPr>
            </w:pPr>
            <w:r>
              <w:rPr>
                <w:rFonts w:hint="eastAsia" w:ascii="宋体" w:hAnsi="宋体"/>
                <w:color w:val="auto"/>
              </w:rPr>
              <w:t>有合格的防雷接地检测报告</w:t>
            </w:r>
          </w:p>
        </w:tc>
        <w:tc>
          <w:tcPr>
            <w:tcW w:w="396" w:type="pct"/>
            <w:vAlign w:val="center"/>
          </w:tcPr>
          <w:p w14:paraId="76A1D737">
            <w:pPr>
              <w:spacing w:line="280" w:lineRule="exact"/>
              <w:jc w:val="center"/>
              <w:rPr>
                <w:rFonts w:ascii="宋体" w:hAnsi="宋体"/>
                <w:color w:val="auto"/>
              </w:rPr>
            </w:pPr>
            <w:r>
              <w:rPr>
                <w:rFonts w:ascii="宋体" w:hAnsi="宋体"/>
                <w:color w:val="auto"/>
              </w:rPr>
              <w:t>合格</w:t>
            </w:r>
          </w:p>
        </w:tc>
      </w:tr>
      <w:tr w14:paraId="5F8E9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2C8CE99">
            <w:pPr>
              <w:spacing w:line="280" w:lineRule="exact"/>
              <w:jc w:val="center"/>
              <w:rPr>
                <w:rFonts w:ascii="宋体" w:hAnsi="宋体"/>
                <w:color w:val="auto"/>
              </w:rPr>
            </w:pPr>
            <w:r>
              <w:rPr>
                <w:rFonts w:hint="eastAsia" w:ascii="宋体" w:hAnsi="宋体"/>
                <w:color w:val="auto"/>
              </w:rPr>
              <w:t>5</w:t>
            </w:r>
          </w:p>
        </w:tc>
        <w:tc>
          <w:tcPr>
            <w:tcW w:w="3254" w:type="pct"/>
            <w:vAlign w:val="center"/>
          </w:tcPr>
          <w:p w14:paraId="146E82F2">
            <w:pPr>
              <w:spacing w:line="280" w:lineRule="exact"/>
              <w:rPr>
                <w:rFonts w:ascii="宋体" w:hAnsi="宋体"/>
                <w:color w:val="auto"/>
              </w:rPr>
            </w:pPr>
            <w:r>
              <w:rPr>
                <w:rFonts w:ascii="宋体" w:hAnsi="宋体"/>
                <w:color w:val="auto"/>
              </w:rPr>
              <w:t>13.2.7汽车加油加气加氢站的信息系统应采用铠装电缆或导线穿钢管配线。配线电缆铠装金属层两端、保护钢管</w:t>
            </w:r>
            <w:r>
              <w:rPr>
                <w:rFonts w:hint="eastAsia" w:ascii="宋体" w:hAnsi="宋体"/>
                <w:color w:val="auto"/>
                <w:lang w:eastAsia="zh-CN"/>
              </w:rPr>
              <w:t>底端</w:t>
            </w:r>
            <w:r>
              <w:rPr>
                <w:rFonts w:ascii="宋体" w:hAnsi="宋体"/>
                <w:color w:val="auto"/>
              </w:rPr>
              <w:t>构应接地。</w:t>
            </w:r>
          </w:p>
        </w:tc>
        <w:tc>
          <w:tcPr>
            <w:tcW w:w="982" w:type="pct"/>
            <w:vAlign w:val="center"/>
          </w:tcPr>
          <w:p w14:paraId="488AC4A1">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675552E9">
            <w:pPr>
              <w:spacing w:line="280" w:lineRule="exact"/>
              <w:jc w:val="center"/>
              <w:rPr>
                <w:rFonts w:ascii="宋体" w:hAnsi="宋体"/>
                <w:color w:val="auto"/>
              </w:rPr>
            </w:pPr>
            <w:r>
              <w:rPr>
                <w:rFonts w:ascii="宋体" w:hAnsi="宋体"/>
                <w:color w:val="auto"/>
              </w:rPr>
              <w:t>合格</w:t>
            </w:r>
          </w:p>
        </w:tc>
      </w:tr>
      <w:tr w14:paraId="526F43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7170A3A0">
            <w:pPr>
              <w:spacing w:line="280" w:lineRule="exact"/>
              <w:jc w:val="center"/>
              <w:rPr>
                <w:rFonts w:ascii="宋体" w:hAnsi="宋体"/>
                <w:color w:val="auto"/>
              </w:rPr>
            </w:pPr>
            <w:r>
              <w:rPr>
                <w:rFonts w:hint="eastAsia" w:ascii="宋体" w:hAnsi="宋体"/>
                <w:color w:val="auto"/>
              </w:rPr>
              <w:t>6</w:t>
            </w:r>
          </w:p>
        </w:tc>
        <w:tc>
          <w:tcPr>
            <w:tcW w:w="3254" w:type="pct"/>
            <w:vAlign w:val="center"/>
          </w:tcPr>
          <w:p w14:paraId="5882D4A3">
            <w:pPr>
              <w:spacing w:line="280" w:lineRule="exact"/>
              <w:rPr>
                <w:rFonts w:ascii="宋体" w:hAnsi="宋体"/>
                <w:color w:val="auto"/>
              </w:rPr>
            </w:pPr>
            <w:r>
              <w:rPr>
                <w:rFonts w:hint="eastAsia" w:ascii="宋体" w:hAnsi="宋体"/>
                <w:color w:val="auto"/>
              </w:rPr>
              <w:t>1</w:t>
            </w:r>
            <w:r>
              <w:rPr>
                <w:rFonts w:ascii="宋体" w:hAnsi="宋体"/>
                <w:color w:val="auto"/>
              </w:rPr>
              <w:t>3.2.8汽车加油加气加氢站信息系统的配电线路首、末端与电子器件连接时，应装设与电子器件耐压水平相适应的过电压（电涌）保护器。</w:t>
            </w:r>
          </w:p>
        </w:tc>
        <w:tc>
          <w:tcPr>
            <w:tcW w:w="982" w:type="pct"/>
            <w:vAlign w:val="center"/>
          </w:tcPr>
          <w:p w14:paraId="69C57992">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6EB5B1CD">
            <w:pPr>
              <w:spacing w:line="280" w:lineRule="exact"/>
              <w:jc w:val="center"/>
              <w:rPr>
                <w:rFonts w:ascii="宋体" w:hAnsi="宋体"/>
                <w:color w:val="auto"/>
              </w:rPr>
            </w:pPr>
            <w:r>
              <w:rPr>
                <w:rFonts w:ascii="宋体" w:hAnsi="宋体"/>
                <w:color w:val="auto"/>
              </w:rPr>
              <w:t>合格</w:t>
            </w:r>
          </w:p>
        </w:tc>
      </w:tr>
      <w:tr w14:paraId="1BB3A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555810F">
            <w:pPr>
              <w:spacing w:line="280" w:lineRule="exact"/>
              <w:jc w:val="center"/>
              <w:rPr>
                <w:rFonts w:ascii="宋体" w:hAnsi="宋体"/>
                <w:color w:val="auto"/>
              </w:rPr>
            </w:pPr>
            <w:r>
              <w:rPr>
                <w:rFonts w:hint="eastAsia" w:ascii="宋体" w:hAnsi="宋体"/>
                <w:color w:val="auto"/>
              </w:rPr>
              <w:t>7</w:t>
            </w:r>
          </w:p>
        </w:tc>
        <w:tc>
          <w:tcPr>
            <w:tcW w:w="3254" w:type="pct"/>
            <w:vAlign w:val="center"/>
          </w:tcPr>
          <w:p w14:paraId="5831F1DE">
            <w:pPr>
              <w:spacing w:line="280" w:lineRule="exact"/>
              <w:rPr>
                <w:rFonts w:ascii="宋体" w:hAnsi="宋体"/>
                <w:color w:val="auto"/>
              </w:rPr>
            </w:pPr>
            <w:r>
              <w:rPr>
                <w:rFonts w:ascii="宋体" w:hAnsi="宋体"/>
                <w:color w:val="auto"/>
              </w:rPr>
              <w:t>13.2.9380/220V供配电系统宜采用TN</w:t>
            </w:r>
            <w:r>
              <w:rPr>
                <w:rFonts w:hint="eastAsia" w:ascii="宋体" w:hAnsi="宋体"/>
                <w:color w:val="auto"/>
              </w:rPr>
              <w:t>-</w:t>
            </w:r>
            <w:r>
              <w:rPr>
                <w:rFonts w:ascii="宋体" w:hAnsi="宋体"/>
                <w:color w:val="auto"/>
              </w:rPr>
              <w:t>S系统，当外供电源为380V时，可采用TN-C-S系统。供电系统的电缆金属外皮或电缆金属保护管两端均应接地，在供配电系统的电源端应安装与设备耐压水平相适应的过电压（电涌</w:t>
            </w:r>
            <w:r>
              <w:rPr>
                <w:rFonts w:hint="eastAsia" w:ascii="宋体" w:hAnsi="宋体"/>
                <w:color w:val="auto"/>
              </w:rPr>
              <w:t>）</w:t>
            </w:r>
            <w:r>
              <w:rPr>
                <w:rFonts w:ascii="宋体" w:hAnsi="宋体"/>
                <w:color w:val="auto"/>
              </w:rPr>
              <w:t>保护器。</w:t>
            </w:r>
          </w:p>
        </w:tc>
        <w:tc>
          <w:tcPr>
            <w:tcW w:w="982" w:type="pct"/>
            <w:vAlign w:val="center"/>
          </w:tcPr>
          <w:p w14:paraId="526BCF79">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55694A8F">
            <w:pPr>
              <w:spacing w:line="280" w:lineRule="exact"/>
              <w:jc w:val="center"/>
              <w:rPr>
                <w:rFonts w:ascii="宋体" w:hAnsi="宋体"/>
                <w:color w:val="auto"/>
              </w:rPr>
            </w:pPr>
            <w:r>
              <w:rPr>
                <w:rFonts w:ascii="宋体" w:hAnsi="宋体"/>
                <w:color w:val="auto"/>
              </w:rPr>
              <w:t>合格</w:t>
            </w:r>
          </w:p>
        </w:tc>
      </w:tr>
      <w:tr w14:paraId="50FFC7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7D0BE01E">
            <w:pPr>
              <w:spacing w:line="280" w:lineRule="exact"/>
              <w:jc w:val="center"/>
              <w:rPr>
                <w:rFonts w:ascii="宋体" w:hAnsi="宋体"/>
                <w:color w:val="auto"/>
              </w:rPr>
            </w:pPr>
            <w:r>
              <w:rPr>
                <w:rFonts w:hint="eastAsia" w:ascii="宋体" w:hAnsi="宋体"/>
                <w:color w:val="auto"/>
              </w:rPr>
              <w:t>8</w:t>
            </w:r>
          </w:p>
        </w:tc>
        <w:tc>
          <w:tcPr>
            <w:tcW w:w="3254" w:type="pct"/>
            <w:vAlign w:val="center"/>
          </w:tcPr>
          <w:p w14:paraId="4A73AFE0">
            <w:pPr>
              <w:spacing w:line="280" w:lineRule="exact"/>
              <w:rPr>
                <w:rFonts w:ascii="宋体" w:hAnsi="宋体"/>
                <w:color w:val="auto"/>
              </w:rPr>
            </w:pPr>
            <w:r>
              <w:rPr>
                <w:rFonts w:ascii="宋体" w:hAnsi="宋体"/>
                <w:color w:val="auto"/>
              </w:rPr>
              <w:t>13.2.10地上或管沟敷设的油品管道、LPG管道、LNG管道、CNG管道、氢气管道和液氢管道应设防静电和防感应雷的共用接地装置，接地电阻不应大于30Ω。</w:t>
            </w:r>
          </w:p>
        </w:tc>
        <w:tc>
          <w:tcPr>
            <w:tcW w:w="982" w:type="pct"/>
            <w:vAlign w:val="center"/>
          </w:tcPr>
          <w:p w14:paraId="3A3126AB">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337AF25D">
            <w:pPr>
              <w:spacing w:line="280" w:lineRule="exact"/>
              <w:jc w:val="center"/>
              <w:rPr>
                <w:rFonts w:ascii="宋体" w:hAnsi="宋体"/>
                <w:color w:val="auto"/>
              </w:rPr>
            </w:pPr>
            <w:r>
              <w:rPr>
                <w:rFonts w:ascii="宋体" w:hAnsi="宋体"/>
                <w:color w:val="auto"/>
              </w:rPr>
              <w:t>合格</w:t>
            </w:r>
          </w:p>
        </w:tc>
      </w:tr>
      <w:tr w14:paraId="591D0B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70DC834">
            <w:pPr>
              <w:spacing w:line="280" w:lineRule="exact"/>
              <w:jc w:val="center"/>
              <w:rPr>
                <w:rFonts w:ascii="宋体" w:hAnsi="宋体"/>
                <w:color w:val="auto"/>
              </w:rPr>
            </w:pPr>
            <w:r>
              <w:rPr>
                <w:rFonts w:hint="eastAsia" w:ascii="宋体" w:hAnsi="宋体"/>
                <w:color w:val="auto"/>
              </w:rPr>
              <w:t>9</w:t>
            </w:r>
          </w:p>
        </w:tc>
        <w:tc>
          <w:tcPr>
            <w:tcW w:w="3254" w:type="pct"/>
            <w:vAlign w:val="center"/>
          </w:tcPr>
          <w:p w14:paraId="5743C3B6">
            <w:pPr>
              <w:spacing w:line="280" w:lineRule="exact"/>
              <w:rPr>
                <w:rFonts w:ascii="宋体" w:hAnsi="宋体"/>
                <w:color w:val="auto"/>
              </w:rPr>
            </w:pPr>
            <w:r>
              <w:rPr>
                <w:rFonts w:hint="eastAsia" w:ascii="宋体" w:hAnsi="宋体"/>
                <w:color w:val="auto"/>
              </w:rPr>
              <w:t>13</w:t>
            </w:r>
            <w:r>
              <w:rPr>
                <w:rFonts w:ascii="宋体" w:hAnsi="宋体"/>
                <w:color w:val="auto"/>
              </w:rPr>
              <w:t>.2.11加油加气加氢站的油罐车</w:t>
            </w:r>
            <w:r>
              <w:rPr>
                <w:rFonts w:hint="eastAsia" w:ascii="宋体" w:hAnsi="宋体"/>
                <w:color w:val="auto"/>
              </w:rPr>
              <w:t>、L</w:t>
            </w:r>
            <w:r>
              <w:rPr>
                <w:rFonts w:ascii="宋体" w:hAnsi="宋体"/>
                <w:color w:val="auto"/>
              </w:rPr>
              <w:t>PG罐车、LNG罐车和液氢罐车卸车场地应设卸车或卸气临时用的防静电接地装置，并应设置能检测跨接线及监视接地装置状态的静电接地仪。</w:t>
            </w:r>
          </w:p>
        </w:tc>
        <w:tc>
          <w:tcPr>
            <w:tcW w:w="982" w:type="pct"/>
            <w:vAlign w:val="center"/>
          </w:tcPr>
          <w:p w14:paraId="3EFA3BB7">
            <w:pPr>
              <w:spacing w:line="280" w:lineRule="exact"/>
              <w:rPr>
                <w:rFonts w:ascii="宋体" w:hAnsi="宋体"/>
                <w:color w:val="auto"/>
              </w:rPr>
            </w:pPr>
            <w:r>
              <w:rPr>
                <w:rFonts w:ascii="宋体" w:hAnsi="宋体"/>
                <w:color w:val="auto"/>
              </w:rPr>
              <w:t>设置能检测跨接线及监视接地装置状态的静电接地仪</w:t>
            </w:r>
          </w:p>
        </w:tc>
        <w:tc>
          <w:tcPr>
            <w:tcW w:w="396" w:type="pct"/>
            <w:vAlign w:val="center"/>
          </w:tcPr>
          <w:p w14:paraId="06EE5A0B">
            <w:pPr>
              <w:spacing w:line="280" w:lineRule="exact"/>
              <w:jc w:val="center"/>
              <w:rPr>
                <w:rFonts w:ascii="宋体" w:hAnsi="宋体"/>
                <w:color w:val="auto"/>
              </w:rPr>
            </w:pPr>
            <w:r>
              <w:rPr>
                <w:rFonts w:ascii="宋体" w:hAnsi="宋体"/>
                <w:color w:val="auto"/>
              </w:rPr>
              <w:t>合格</w:t>
            </w:r>
          </w:p>
        </w:tc>
      </w:tr>
      <w:tr w14:paraId="1BEBA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1C073BF5">
            <w:pPr>
              <w:spacing w:line="280" w:lineRule="exact"/>
              <w:jc w:val="center"/>
              <w:rPr>
                <w:rFonts w:ascii="宋体" w:hAnsi="宋体"/>
                <w:color w:val="auto"/>
              </w:rPr>
            </w:pPr>
            <w:r>
              <w:rPr>
                <w:rFonts w:ascii="宋体" w:hAnsi="宋体"/>
                <w:color w:val="auto"/>
              </w:rPr>
              <w:t>1</w:t>
            </w:r>
            <w:r>
              <w:rPr>
                <w:rFonts w:hint="eastAsia" w:ascii="宋体" w:hAnsi="宋体"/>
                <w:color w:val="auto"/>
              </w:rPr>
              <w:t>0</w:t>
            </w:r>
          </w:p>
        </w:tc>
        <w:tc>
          <w:tcPr>
            <w:tcW w:w="3254" w:type="pct"/>
            <w:vAlign w:val="center"/>
          </w:tcPr>
          <w:p w14:paraId="713B0CFD">
            <w:pPr>
              <w:spacing w:line="280" w:lineRule="exact"/>
              <w:rPr>
                <w:rFonts w:ascii="宋体" w:hAnsi="宋体"/>
                <w:color w:val="auto"/>
              </w:rPr>
            </w:pPr>
            <w:r>
              <w:rPr>
                <w:rFonts w:ascii="宋体" w:hAnsi="宋体"/>
                <w:color w:val="auto"/>
              </w:rPr>
              <w:t>13.2.12在爆炸危险区域内工艺管道上的法兰、胶管两端等连接处应用金属线跨接。当法兰的连接螺栓不少于5根时，在非腐蚀环境下可不跨接。</w:t>
            </w:r>
          </w:p>
        </w:tc>
        <w:tc>
          <w:tcPr>
            <w:tcW w:w="982" w:type="pct"/>
            <w:vAlign w:val="center"/>
          </w:tcPr>
          <w:p w14:paraId="7179D2A7">
            <w:pPr>
              <w:spacing w:line="280" w:lineRule="exact"/>
              <w:rPr>
                <w:rFonts w:ascii="宋体" w:hAnsi="宋体"/>
                <w:color w:val="auto"/>
              </w:rPr>
            </w:pPr>
            <w:r>
              <w:rPr>
                <w:rFonts w:hint="eastAsia" w:ascii="宋体" w:hAnsi="宋体"/>
                <w:color w:val="auto"/>
              </w:rPr>
              <w:t>设置跨接</w:t>
            </w:r>
          </w:p>
        </w:tc>
        <w:tc>
          <w:tcPr>
            <w:tcW w:w="396" w:type="pct"/>
            <w:vAlign w:val="center"/>
          </w:tcPr>
          <w:p w14:paraId="792B478F">
            <w:pPr>
              <w:spacing w:line="280" w:lineRule="exact"/>
              <w:jc w:val="center"/>
              <w:rPr>
                <w:rFonts w:ascii="宋体" w:hAnsi="宋体"/>
                <w:color w:val="auto"/>
              </w:rPr>
            </w:pPr>
            <w:r>
              <w:rPr>
                <w:rFonts w:ascii="宋体" w:hAnsi="宋体"/>
                <w:color w:val="auto"/>
              </w:rPr>
              <w:t>合格</w:t>
            </w:r>
          </w:p>
        </w:tc>
      </w:tr>
      <w:tr w14:paraId="33E72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F04C9FC">
            <w:pPr>
              <w:spacing w:line="280" w:lineRule="exact"/>
              <w:jc w:val="center"/>
              <w:rPr>
                <w:rFonts w:ascii="宋体" w:hAnsi="宋体"/>
                <w:color w:val="auto"/>
              </w:rPr>
            </w:pPr>
            <w:r>
              <w:rPr>
                <w:rFonts w:ascii="宋体" w:hAnsi="宋体"/>
                <w:color w:val="auto"/>
              </w:rPr>
              <w:t>1</w:t>
            </w:r>
            <w:r>
              <w:rPr>
                <w:rFonts w:hint="eastAsia" w:ascii="宋体" w:hAnsi="宋体"/>
                <w:color w:val="auto"/>
              </w:rPr>
              <w:t>1</w:t>
            </w:r>
          </w:p>
        </w:tc>
        <w:tc>
          <w:tcPr>
            <w:tcW w:w="3254" w:type="pct"/>
            <w:vAlign w:val="center"/>
          </w:tcPr>
          <w:p w14:paraId="35AB96E5">
            <w:pPr>
              <w:spacing w:line="280" w:lineRule="exact"/>
              <w:rPr>
                <w:rFonts w:ascii="宋体" w:hAnsi="宋体"/>
                <w:color w:val="auto"/>
              </w:rPr>
            </w:pPr>
            <w:r>
              <w:rPr>
                <w:rFonts w:ascii="宋体" w:hAnsi="宋体"/>
                <w:color w:val="auto"/>
              </w:rPr>
              <w:t>13.2.13油罐车卸油用的卸油软管、油气回收软管与两端接头，应保证可靠的电气连接。</w:t>
            </w:r>
          </w:p>
        </w:tc>
        <w:tc>
          <w:tcPr>
            <w:tcW w:w="982" w:type="pct"/>
            <w:vAlign w:val="center"/>
          </w:tcPr>
          <w:p w14:paraId="301DAE0F">
            <w:pPr>
              <w:spacing w:line="280" w:lineRule="exact"/>
              <w:rPr>
                <w:rFonts w:ascii="宋体" w:hAnsi="宋体"/>
                <w:color w:val="auto"/>
              </w:rPr>
            </w:pPr>
            <w:r>
              <w:rPr>
                <w:rFonts w:ascii="宋体" w:hAnsi="宋体"/>
                <w:color w:val="auto"/>
              </w:rPr>
              <w:t>保证可靠的电气连接</w:t>
            </w:r>
          </w:p>
        </w:tc>
        <w:tc>
          <w:tcPr>
            <w:tcW w:w="396" w:type="pct"/>
            <w:vAlign w:val="center"/>
          </w:tcPr>
          <w:p w14:paraId="1349E39D">
            <w:pPr>
              <w:spacing w:line="280" w:lineRule="exact"/>
              <w:jc w:val="center"/>
              <w:rPr>
                <w:rFonts w:ascii="宋体" w:hAnsi="宋体"/>
                <w:color w:val="auto"/>
              </w:rPr>
            </w:pPr>
            <w:r>
              <w:rPr>
                <w:rFonts w:ascii="宋体" w:hAnsi="宋体"/>
                <w:color w:val="auto"/>
              </w:rPr>
              <w:t>合格</w:t>
            </w:r>
          </w:p>
        </w:tc>
      </w:tr>
      <w:tr w14:paraId="229CA5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7A884C5">
            <w:pPr>
              <w:spacing w:line="280" w:lineRule="exact"/>
              <w:jc w:val="center"/>
              <w:rPr>
                <w:rFonts w:ascii="宋体" w:hAnsi="宋体"/>
                <w:color w:val="auto"/>
              </w:rPr>
            </w:pPr>
            <w:r>
              <w:rPr>
                <w:rFonts w:ascii="宋体" w:hAnsi="宋体"/>
                <w:color w:val="auto"/>
              </w:rPr>
              <w:t>1</w:t>
            </w:r>
            <w:r>
              <w:rPr>
                <w:rFonts w:hint="eastAsia" w:ascii="宋体" w:hAnsi="宋体"/>
                <w:color w:val="auto"/>
              </w:rPr>
              <w:t>2</w:t>
            </w:r>
          </w:p>
        </w:tc>
        <w:tc>
          <w:tcPr>
            <w:tcW w:w="3254" w:type="pct"/>
            <w:vAlign w:val="center"/>
          </w:tcPr>
          <w:p w14:paraId="05ECF721">
            <w:pPr>
              <w:spacing w:line="280" w:lineRule="exact"/>
              <w:rPr>
                <w:rFonts w:ascii="宋体" w:hAnsi="宋体"/>
                <w:color w:val="auto"/>
              </w:rPr>
            </w:pPr>
            <w:r>
              <w:rPr>
                <w:rFonts w:ascii="宋体" w:hAnsi="宋体"/>
                <w:color w:val="auto"/>
              </w:rPr>
              <w:t>13.2.14采用导静电的热塑性塑料管道时，导电内衬应接地；采用不导静电的热塑性塑料管道时，不埋地部分的热熔连接件应保证长期可靠的接地，也可采用专用的密封帽将连接管件的电熔插孔密封，管道或接头的其他导电部件也应接地。</w:t>
            </w:r>
          </w:p>
        </w:tc>
        <w:tc>
          <w:tcPr>
            <w:tcW w:w="982" w:type="pct"/>
            <w:vAlign w:val="center"/>
          </w:tcPr>
          <w:p w14:paraId="58D80012">
            <w:pPr>
              <w:spacing w:line="280" w:lineRule="exact"/>
              <w:rPr>
                <w:rFonts w:ascii="宋体" w:hAnsi="宋体"/>
                <w:color w:val="auto"/>
              </w:rPr>
            </w:pPr>
            <w:r>
              <w:rPr>
                <w:rFonts w:ascii="宋体" w:hAnsi="宋体"/>
                <w:color w:val="auto"/>
              </w:rPr>
              <w:t>采用导静电的热塑性塑料管道</w:t>
            </w:r>
            <w:r>
              <w:rPr>
                <w:rFonts w:hint="eastAsia" w:ascii="宋体" w:hAnsi="宋体"/>
                <w:color w:val="auto"/>
              </w:rPr>
              <w:t>，</w:t>
            </w:r>
            <w:r>
              <w:rPr>
                <w:rFonts w:ascii="宋体" w:hAnsi="宋体"/>
                <w:color w:val="auto"/>
              </w:rPr>
              <w:t>连接件长期可靠</w:t>
            </w:r>
            <w:r>
              <w:rPr>
                <w:rFonts w:hint="eastAsia" w:ascii="宋体" w:hAnsi="宋体"/>
                <w:color w:val="auto"/>
              </w:rPr>
              <w:t>接地</w:t>
            </w:r>
          </w:p>
        </w:tc>
        <w:tc>
          <w:tcPr>
            <w:tcW w:w="396" w:type="pct"/>
            <w:vAlign w:val="center"/>
          </w:tcPr>
          <w:p w14:paraId="63C40F2D">
            <w:pPr>
              <w:spacing w:line="280" w:lineRule="exact"/>
              <w:jc w:val="center"/>
              <w:rPr>
                <w:rFonts w:ascii="宋体" w:hAnsi="宋体"/>
                <w:color w:val="auto"/>
              </w:rPr>
            </w:pPr>
            <w:r>
              <w:rPr>
                <w:rFonts w:ascii="宋体" w:hAnsi="宋体"/>
                <w:color w:val="auto"/>
              </w:rPr>
              <w:t>合格</w:t>
            </w:r>
          </w:p>
        </w:tc>
      </w:tr>
      <w:tr w14:paraId="6EE0C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30763FD">
            <w:pPr>
              <w:spacing w:line="280" w:lineRule="exact"/>
              <w:jc w:val="center"/>
              <w:rPr>
                <w:rFonts w:ascii="宋体" w:hAnsi="宋体"/>
                <w:color w:val="auto"/>
              </w:rPr>
            </w:pPr>
            <w:r>
              <w:rPr>
                <w:rFonts w:ascii="宋体" w:hAnsi="宋体"/>
                <w:color w:val="auto"/>
              </w:rPr>
              <w:t>1</w:t>
            </w:r>
            <w:r>
              <w:rPr>
                <w:rFonts w:hint="eastAsia" w:ascii="宋体" w:hAnsi="宋体"/>
                <w:color w:val="auto"/>
              </w:rPr>
              <w:t>3</w:t>
            </w:r>
          </w:p>
        </w:tc>
        <w:tc>
          <w:tcPr>
            <w:tcW w:w="3254" w:type="pct"/>
            <w:vAlign w:val="center"/>
          </w:tcPr>
          <w:p w14:paraId="35E3096D">
            <w:pPr>
              <w:spacing w:line="280" w:lineRule="exact"/>
              <w:rPr>
                <w:rFonts w:ascii="宋体" w:hAnsi="宋体"/>
                <w:color w:val="auto"/>
              </w:rPr>
            </w:pPr>
            <w:r>
              <w:rPr>
                <w:rFonts w:ascii="宋体" w:hAnsi="宋体"/>
                <w:color w:val="auto"/>
              </w:rPr>
              <w:t>13.2.15防静电接地装置的接地电阻不应大于100Ω。</w:t>
            </w:r>
          </w:p>
        </w:tc>
        <w:tc>
          <w:tcPr>
            <w:tcW w:w="982" w:type="pct"/>
            <w:vAlign w:val="center"/>
          </w:tcPr>
          <w:p w14:paraId="33F1637D">
            <w:pPr>
              <w:spacing w:line="280" w:lineRule="exact"/>
              <w:rPr>
                <w:rFonts w:ascii="宋体" w:hAnsi="宋体"/>
                <w:color w:val="auto"/>
              </w:rPr>
            </w:pPr>
            <w:r>
              <w:rPr>
                <w:rFonts w:hint="eastAsia" w:ascii="宋体" w:hAnsi="宋体"/>
                <w:color w:val="auto"/>
              </w:rPr>
              <w:t>卸油口有静电接地夹、卸油作业区域有人体静电消除装置，另有符合的防雷检测报告，报告中各区域接地电阻均不大于</w:t>
            </w:r>
            <w:r>
              <w:rPr>
                <w:rFonts w:ascii="宋体" w:hAnsi="宋体"/>
                <w:color w:val="auto"/>
              </w:rPr>
              <w:t>100Ω</w:t>
            </w:r>
          </w:p>
        </w:tc>
        <w:tc>
          <w:tcPr>
            <w:tcW w:w="396" w:type="pct"/>
            <w:vAlign w:val="center"/>
          </w:tcPr>
          <w:p w14:paraId="02D21037">
            <w:pPr>
              <w:spacing w:line="280" w:lineRule="exact"/>
              <w:jc w:val="center"/>
              <w:rPr>
                <w:rFonts w:ascii="宋体" w:hAnsi="宋体"/>
                <w:color w:val="auto"/>
              </w:rPr>
            </w:pPr>
            <w:r>
              <w:rPr>
                <w:rFonts w:ascii="宋体" w:hAnsi="宋体"/>
                <w:color w:val="auto"/>
              </w:rPr>
              <w:t>合格</w:t>
            </w:r>
          </w:p>
        </w:tc>
      </w:tr>
      <w:tr w14:paraId="2A5F1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6AA675D1">
            <w:pPr>
              <w:spacing w:line="280" w:lineRule="exact"/>
              <w:jc w:val="center"/>
              <w:rPr>
                <w:rFonts w:ascii="宋体" w:hAnsi="宋体"/>
                <w:color w:val="auto"/>
              </w:rPr>
            </w:pPr>
            <w:r>
              <w:rPr>
                <w:rFonts w:ascii="宋体" w:hAnsi="宋体"/>
                <w:color w:val="auto"/>
              </w:rPr>
              <w:t>1</w:t>
            </w:r>
            <w:r>
              <w:rPr>
                <w:rFonts w:hint="eastAsia" w:ascii="宋体" w:hAnsi="宋体"/>
                <w:color w:val="auto"/>
              </w:rPr>
              <w:t>4</w:t>
            </w:r>
          </w:p>
        </w:tc>
        <w:tc>
          <w:tcPr>
            <w:tcW w:w="3254" w:type="pct"/>
            <w:vAlign w:val="center"/>
          </w:tcPr>
          <w:p w14:paraId="6F0D892E">
            <w:pPr>
              <w:spacing w:line="280" w:lineRule="exact"/>
              <w:rPr>
                <w:rFonts w:ascii="宋体" w:hAnsi="宋体"/>
                <w:color w:val="auto"/>
              </w:rPr>
            </w:pPr>
            <w:r>
              <w:rPr>
                <w:rFonts w:ascii="宋体" w:hAnsi="宋体"/>
                <w:color w:val="auto"/>
              </w:rPr>
              <w:t>13.2.16油罐车、LPG罐车、LNG罐车和液氢罐车卸车场地内用于防静电跨接的固定接地装置不应设置在爆炸危险1区。</w:t>
            </w:r>
          </w:p>
        </w:tc>
        <w:tc>
          <w:tcPr>
            <w:tcW w:w="982" w:type="pct"/>
            <w:vAlign w:val="center"/>
          </w:tcPr>
          <w:p w14:paraId="0DB778FB">
            <w:pPr>
              <w:spacing w:line="280" w:lineRule="exact"/>
              <w:rPr>
                <w:rFonts w:ascii="宋体" w:hAnsi="宋体"/>
                <w:color w:val="auto"/>
              </w:rPr>
            </w:pPr>
            <w:r>
              <w:rPr>
                <w:rFonts w:ascii="宋体" w:hAnsi="宋体"/>
                <w:color w:val="auto"/>
              </w:rPr>
              <w:t>不在爆炸危险1区</w:t>
            </w:r>
          </w:p>
        </w:tc>
        <w:tc>
          <w:tcPr>
            <w:tcW w:w="396" w:type="pct"/>
            <w:vAlign w:val="center"/>
          </w:tcPr>
          <w:p w14:paraId="723A1B54">
            <w:pPr>
              <w:spacing w:line="280" w:lineRule="exact"/>
              <w:jc w:val="center"/>
              <w:rPr>
                <w:rFonts w:ascii="宋体" w:hAnsi="宋体"/>
                <w:color w:val="auto"/>
              </w:rPr>
            </w:pPr>
            <w:r>
              <w:rPr>
                <w:rFonts w:ascii="宋体" w:hAnsi="宋体"/>
                <w:color w:val="auto"/>
              </w:rPr>
              <w:t>合格</w:t>
            </w:r>
          </w:p>
        </w:tc>
      </w:tr>
      <w:tr w14:paraId="36C44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11616AAB">
            <w:pPr>
              <w:spacing w:line="280" w:lineRule="exact"/>
              <w:rPr>
                <w:rFonts w:ascii="宋体" w:hAnsi="宋体"/>
                <w:b/>
                <w:color w:val="auto"/>
              </w:rPr>
            </w:pPr>
            <w:r>
              <w:rPr>
                <w:rFonts w:ascii="宋体" w:hAnsi="宋体"/>
                <w:b/>
                <w:color w:val="auto"/>
              </w:rPr>
              <w:t>紧急切断系统</w:t>
            </w:r>
          </w:p>
        </w:tc>
      </w:tr>
      <w:tr w14:paraId="64769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73DE5688">
            <w:pPr>
              <w:spacing w:line="280" w:lineRule="exact"/>
              <w:jc w:val="center"/>
              <w:rPr>
                <w:rFonts w:ascii="宋体" w:hAnsi="宋体"/>
                <w:color w:val="auto"/>
              </w:rPr>
            </w:pPr>
            <w:r>
              <w:rPr>
                <w:rFonts w:hint="eastAsia" w:ascii="宋体" w:hAnsi="宋体"/>
                <w:color w:val="auto"/>
              </w:rPr>
              <w:t>1</w:t>
            </w:r>
          </w:p>
        </w:tc>
        <w:tc>
          <w:tcPr>
            <w:tcW w:w="3254" w:type="pct"/>
            <w:vAlign w:val="center"/>
          </w:tcPr>
          <w:p w14:paraId="535E6F0A">
            <w:pPr>
              <w:spacing w:line="280" w:lineRule="exact"/>
              <w:rPr>
                <w:rFonts w:ascii="宋体" w:hAnsi="宋体"/>
                <w:color w:val="auto"/>
              </w:rPr>
            </w:pPr>
            <w:r>
              <w:rPr>
                <w:rFonts w:ascii="宋体" w:hAnsi="宋体"/>
                <w:color w:val="auto"/>
              </w:rPr>
              <w:t>13.5.1汽车加油加气加氢站应设置紧急切断系统，该系统应能在事故状态下实现紧急停车和关闭紧急切断阀的保护功能。</w:t>
            </w:r>
          </w:p>
        </w:tc>
        <w:tc>
          <w:tcPr>
            <w:tcW w:w="982" w:type="pct"/>
            <w:vAlign w:val="center"/>
          </w:tcPr>
          <w:p w14:paraId="3CC360B7">
            <w:pPr>
              <w:spacing w:line="280" w:lineRule="exact"/>
              <w:rPr>
                <w:rFonts w:ascii="宋体" w:hAnsi="宋体"/>
                <w:color w:val="auto"/>
              </w:rPr>
            </w:pPr>
            <w:r>
              <w:rPr>
                <w:rFonts w:ascii="宋体" w:hAnsi="宋体"/>
                <w:color w:val="auto"/>
              </w:rPr>
              <w:t>设置紧急切断系统</w:t>
            </w:r>
          </w:p>
        </w:tc>
        <w:tc>
          <w:tcPr>
            <w:tcW w:w="396" w:type="pct"/>
            <w:vAlign w:val="center"/>
          </w:tcPr>
          <w:p w14:paraId="6BA734A3">
            <w:pPr>
              <w:spacing w:line="280" w:lineRule="exact"/>
              <w:jc w:val="center"/>
              <w:rPr>
                <w:rFonts w:ascii="宋体" w:hAnsi="宋体"/>
                <w:color w:val="auto"/>
              </w:rPr>
            </w:pPr>
            <w:r>
              <w:rPr>
                <w:rFonts w:ascii="宋体" w:hAnsi="宋体"/>
                <w:color w:val="auto"/>
              </w:rPr>
              <w:t>合格</w:t>
            </w:r>
          </w:p>
        </w:tc>
      </w:tr>
      <w:tr w14:paraId="5C7EF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0222AED">
            <w:pPr>
              <w:spacing w:line="260" w:lineRule="exact"/>
              <w:jc w:val="center"/>
              <w:rPr>
                <w:rFonts w:ascii="宋体" w:hAnsi="宋体"/>
                <w:color w:val="auto"/>
              </w:rPr>
            </w:pPr>
            <w:r>
              <w:rPr>
                <w:rFonts w:hint="eastAsia" w:ascii="宋体" w:hAnsi="宋体"/>
                <w:color w:val="auto"/>
              </w:rPr>
              <w:t>2</w:t>
            </w:r>
          </w:p>
        </w:tc>
        <w:tc>
          <w:tcPr>
            <w:tcW w:w="3254" w:type="pct"/>
            <w:vAlign w:val="center"/>
          </w:tcPr>
          <w:p w14:paraId="5457C566">
            <w:pPr>
              <w:spacing w:line="260" w:lineRule="exact"/>
              <w:rPr>
                <w:rFonts w:ascii="宋体" w:hAnsi="宋体"/>
                <w:color w:val="auto"/>
              </w:rPr>
            </w:pPr>
            <w:r>
              <w:rPr>
                <w:rFonts w:ascii="宋体" w:hAnsi="宋体"/>
                <w:color w:val="auto"/>
              </w:rPr>
              <w:t>13.5.2紧急切断系统应至少在下列位置设置紧急切断开关：</w:t>
            </w:r>
          </w:p>
          <w:p w14:paraId="13960BA6">
            <w:pPr>
              <w:spacing w:line="26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在汽车加油加气加氢站现场工作人员容易接近且较为安全的位置；</w:t>
            </w:r>
          </w:p>
          <w:p w14:paraId="10172E0F">
            <w:pPr>
              <w:spacing w:line="26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在控制室、值班室内或站房收银台等有人员值守的位置。</w:t>
            </w:r>
          </w:p>
        </w:tc>
        <w:tc>
          <w:tcPr>
            <w:tcW w:w="982" w:type="pct"/>
            <w:vAlign w:val="center"/>
          </w:tcPr>
          <w:p w14:paraId="56891A34">
            <w:pPr>
              <w:spacing w:line="260" w:lineRule="exact"/>
              <w:rPr>
                <w:rFonts w:ascii="宋体" w:hAnsi="宋体"/>
                <w:color w:val="auto"/>
              </w:rPr>
            </w:pPr>
            <w:r>
              <w:rPr>
                <w:rFonts w:hint="eastAsia"/>
                <w:color w:val="auto"/>
              </w:rPr>
              <w:t>设有紧急切断开关。</w:t>
            </w:r>
          </w:p>
        </w:tc>
        <w:tc>
          <w:tcPr>
            <w:tcW w:w="396" w:type="pct"/>
            <w:vAlign w:val="center"/>
          </w:tcPr>
          <w:p w14:paraId="6FA34AE3">
            <w:pPr>
              <w:spacing w:line="260" w:lineRule="exact"/>
              <w:jc w:val="center"/>
              <w:rPr>
                <w:rFonts w:ascii="宋体" w:hAnsi="宋体"/>
                <w:color w:val="auto"/>
              </w:rPr>
            </w:pPr>
            <w:r>
              <w:rPr>
                <w:rFonts w:ascii="宋体" w:hAnsi="宋体"/>
                <w:color w:val="auto"/>
              </w:rPr>
              <w:t>合格</w:t>
            </w:r>
          </w:p>
        </w:tc>
      </w:tr>
      <w:tr w14:paraId="18D23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198C7B17">
            <w:pPr>
              <w:spacing w:line="260" w:lineRule="exact"/>
              <w:jc w:val="center"/>
              <w:rPr>
                <w:rFonts w:ascii="宋体" w:hAnsi="宋体"/>
                <w:color w:val="auto"/>
              </w:rPr>
            </w:pPr>
            <w:r>
              <w:rPr>
                <w:rFonts w:hint="eastAsia" w:ascii="宋体" w:hAnsi="宋体"/>
                <w:color w:val="auto"/>
              </w:rPr>
              <w:t>3</w:t>
            </w:r>
          </w:p>
        </w:tc>
        <w:tc>
          <w:tcPr>
            <w:tcW w:w="3254" w:type="pct"/>
            <w:vAlign w:val="center"/>
          </w:tcPr>
          <w:p w14:paraId="48C85023">
            <w:pPr>
              <w:spacing w:line="260" w:lineRule="exact"/>
              <w:rPr>
                <w:rFonts w:ascii="宋体" w:hAnsi="宋体"/>
                <w:color w:val="auto"/>
              </w:rPr>
            </w:pPr>
            <w:r>
              <w:rPr>
                <w:rFonts w:ascii="宋体" w:hAnsi="宋体"/>
                <w:color w:val="auto"/>
              </w:rPr>
              <w:t>13.5.3工艺设备的电源和工艺管道上的紧急切断阀</w:t>
            </w:r>
            <w:r>
              <w:rPr>
                <w:rFonts w:hint="eastAsia" w:ascii="宋体" w:hAnsi="宋体"/>
                <w:color w:val="auto"/>
                <w:lang w:eastAsia="zh-CN"/>
              </w:rPr>
              <w:t>应</w:t>
            </w:r>
            <w:r>
              <w:rPr>
                <w:rFonts w:ascii="宋体" w:hAnsi="宋体"/>
                <w:color w:val="auto"/>
              </w:rPr>
              <w:t>由手动启动的远程控制切断系统操纵关闭。</w:t>
            </w:r>
          </w:p>
        </w:tc>
        <w:tc>
          <w:tcPr>
            <w:tcW w:w="982" w:type="pct"/>
            <w:vAlign w:val="center"/>
          </w:tcPr>
          <w:p w14:paraId="6336851E">
            <w:pPr>
              <w:spacing w:line="260" w:lineRule="exact"/>
              <w:rPr>
                <w:rFonts w:ascii="宋体" w:hAnsi="宋体"/>
                <w:color w:val="auto"/>
              </w:rPr>
            </w:pPr>
            <w:r>
              <w:rPr>
                <w:rFonts w:ascii="宋体" w:hAnsi="宋体"/>
                <w:color w:val="auto"/>
              </w:rPr>
              <w:t>能由手动启动的远程控制切断系统操纵关闭</w:t>
            </w:r>
          </w:p>
        </w:tc>
        <w:tc>
          <w:tcPr>
            <w:tcW w:w="396" w:type="pct"/>
            <w:vAlign w:val="center"/>
          </w:tcPr>
          <w:p w14:paraId="1488064C">
            <w:pPr>
              <w:spacing w:line="260" w:lineRule="exact"/>
              <w:jc w:val="center"/>
              <w:rPr>
                <w:rFonts w:ascii="宋体" w:hAnsi="宋体"/>
                <w:color w:val="auto"/>
              </w:rPr>
            </w:pPr>
            <w:r>
              <w:rPr>
                <w:rFonts w:ascii="宋体" w:hAnsi="宋体"/>
                <w:color w:val="auto"/>
              </w:rPr>
              <w:t>合格</w:t>
            </w:r>
          </w:p>
        </w:tc>
      </w:tr>
      <w:tr w14:paraId="0B398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0F592360">
            <w:pPr>
              <w:spacing w:line="260" w:lineRule="exact"/>
              <w:jc w:val="center"/>
              <w:rPr>
                <w:rFonts w:ascii="宋体" w:hAnsi="宋体"/>
                <w:color w:val="auto"/>
              </w:rPr>
            </w:pPr>
            <w:r>
              <w:rPr>
                <w:rFonts w:hint="eastAsia" w:ascii="宋体" w:hAnsi="宋体"/>
                <w:color w:val="auto"/>
              </w:rPr>
              <w:t>4</w:t>
            </w:r>
          </w:p>
        </w:tc>
        <w:tc>
          <w:tcPr>
            <w:tcW w:w="3254" w:type="pct"/>
            <w:vAlign w:val="center"/>
          </w:tcPr>
          <w:p w14:paraId="6267A999">
            <w:pPr>
              <w:spacing w:line="260" w:lineRule="exact"/>
              <w:rPr>
                <w:rFonts w:ascii="宋体" w:hAnsi="宋体"/>
                <w:color w:val="auto"/>
              </w:rPr>
            </w:pPr>
            <w:r>
              <w:rPr>
                <w:rFonts w:ascii="宋体" w:hAnsi="宋体"/>
                <w:color w:val="auto"/>
              </w:rPr>
              <w:t>13.5.4紧急切断系统应只能手动复位。</w:t>
            </w:r>
          </w:p>
        </w:tc>
        <w:tc>
          <w:tcPr>
            <w:tcW w:w="982" w:type="pct"/>
            <w:vAlign w:val="center"/>
          </w:tcPr>
          <w:p w14:paraId="2AB680FF">
            <w:pPr>
              <w:spacing w:line="260" w:lineRule="exact"/>
              <w:rPr>
                <w:rFonts w:ascii="宋体" w:hAnsi="宋体"/>
                <w:color w:val="auto"/>
              </w:rPr>
            </w:pPr>
            <w:r>
              <w:rPr>
                <w:rFonts w:hint="eastAsia" w:ascii="宋体" w:hAnsi="宋体"/>
                <w:color w:val="auto"/>
              </w:rPr>
              <w:t>手动复位</w:t>
            </w:r>
          </w:p>
        </w:tc>
        <w:tc>
          <w:tcPr>
            <w:tcW w:w="396" w:type="pct"/>
            <w:vAlign w:val="center"/>
          </w:tcPr>
          <w:p w14:paraId="59A25DB0">
            <w:pPr>
              <w:spacing w:line="260" w:lineRule="exact"/>
              <w:jc w:val="center"/>
              <w:rPr>
                <w:rFonts w:ascii="宋体" w:hAnsi="宋体"/>
                <w:color w:val="auto"/>
              </w:rPr>
            </w:pPr>
            <w:r>
              <w:rPr>
                <w:rFonts w:ascii="宋体" w:hAnsi="宋体"/>
                <w:color w:val="auto"/>
              </w:rPr>
              <w:t>合格</w:t>
            </w:r>
          </w:p>
        </w:tc>
      </w:tr>
    </w:tbl>
    <w:p w14:paraId="2C0ECFBB">
      <w:pPr>
        <w:spacing w:line="600" w:lineRule="exact"/>
        <w:ind w:firstLine="570"/>
        <w:rPr>
          <w:rFonts w:ascii="宋体" w:hAnsi="宋体"/>
          <w:color w:val="auto"/>
          <w:spacing w:val="-6"/>
          <w:sz w:val="28"/>
          <w:szCs w:val="28"/>
        </w:rPr>
      </w:pPr>
      <w:r>
        <w:rPr>
          <w:rFonts w:ascii="宋体" w:hAnsi="宋体"/>
          <w:color w:val="auto"/>
          <w:spacing w:val="-11"/>
          <w:sz w:val="28"/>
          <w:szCs w:val="28"/>
        </w:rPr>
        <w:t>评价结论：从上</w:t>
      </w:r>
      <w:r>
        <w:rPr>
          <w:rFonts w:hint="eastAsia" w:ascii="宋体" w:hAnsi="宋体"/>
          <w:color w:val="auto"/>
          <w:spacing w:val="-11"/>
          <w:sz w:val="28"/>
          <w:szCs w:val="28"/>
        </w:rPr>
        <w:t>述检查</w:t>
      </w:r>
      <w:r>
        <w:rPr>
          <w:rFonts w:ascii="宋体" w:hAnsi="宋体"/>
          <w:color w:val="auto"/>
          <w:spacing w:val="-11"/>
          <w:sz w:val="28"/>
          <w:szCs w:val="28"/>
        </w:rPr>
        <w:t>表可知，</w:t>
      </w:r>
      <w:r>
        <w:rPr>
          <w:rFonts w:hint="eastAsia" w:ascii="宋体" w:hAnsi="宋体"/>
          <w:color w:val="auto"/>
          <w:spacing w:val="-11"/>
          <w:sz w:val="28"/>
          <w:szCs w:val="28"/>
        </w:rPr>
        <w:t>均符合要求。</w:t>
      </w:r>
    </w:p>
    <w:p w14:paraId="6D3521E7">
      <w:pPr>
        <w:pStyle w:val="3"/>
        <w:jc w:val="center"/>
        <w:rPr>
          <w:rFonts w:ascii="宋体" w:hAnsi="宋体"/>
          <w:color w:val="auto"/>
          <w:sz w:val="30"/>
          <w:szCs w:val="30"/>
        </w:rPr>
      </w:pPr>
      <w:bookmarkStart w:id="181" w:name="_Toc4827"/>
      <w:bookmarkStart w:id="182" w:name="_Toc30531"/>
      <w:bookmarkStart w:id="183" w:name="_Toc92712596"/>
      <w:bookmarkStart w:id="184" w:name="_Toc1576"/>
      <w:r>
        <w:rPr>
          <w:rFonts w:hint="eastAsia" w:ascii="宋体" w:hAnsi="宋体"/>
          <w:color w:val="auto"/>
          <w:sz w:val="30"/>
          <w:szCs w:val="30"/>
        </w:rPr>
        <w:t>5.9 采暖通风、建（构）筑物、绿化符合性评价</w:t>
      </w:r>
      <w:bookmarkEnd w:id="181"/>
      <w:bookmarkEnd w:id="182"/>
      <w:bookmarkEnd w:id="183"/>
      <w:bookmarkEnd w:id="184"/>
    </w:p>
    <w:p w14:paraId="7C2F567D">
      <w:pPr>
        <w:spacing w:line="600" w:lineRule="exact"/>
        <w:jc w:val="center"/>
        <w:rPr>
          <w:rFonts w:ascii="宋体" w:hAnsi="宋体"/>
          <w:color w:val="auto"/>
          <w:sz w:val="28"/>
          <w:szCs w:val="28"/>
        </w:rPr>
      </w:pPr>
      <w:r>
        <w:rPr>
          <w:rFonts w:hint="eastAsia" w:ascii="宋体" w:hAnsi="宋体"/>
          <w:color w:val="auto"/>
          <w:sz w:val="28"/>
          <w:szCs w:val="28"/>
        </w:rPr>
        <w:t>表5.9-1  采暖通风、建（构）筑物、绿化符合性评价</w:t>
      </w:r>
    </w:p>
    <w:tbl>
      <w:tblPr>
        <w:tblStyle w:val="25"/>
        <w:tblW w:w="5034" w:type="pct"/>
        <w:jc w:val="center"/>
        <w:tblLayout w:type="autofit"/>
        <w:tblCellMar>
          <w:top w:w="0" w:type="dxa"/>
          <w:left w:w="0" w:type="dxa"/>
          <w:bottom w:w="0" w:type="dxa"/>
          <w:right w:w="0" w:type="dxa"/>
        </w:tblCellMar>
      </w:tblPr>
      <w:tblGrid>
        <w:gridCol w:w="669"/>
        <w:gridCol w:w="6222"/>
        <w:gridCol w:w="1651"/>
        <w:gridCol w:w="602"/>
      </w:tblGrid>
      <w:tr w14:paraId="5FE259BF">
        <w:tblPrEx>
          <w:tblCellMar>
            <w:top w:w="0" w:type="dxa"/>
            <w:left w:w="0" w:type="dxa"/>
            <w:bottom w:w="0" w:type="dxa"/>
            <w:right w:w="0" w:type="dxa"/>
          </w:tblCellMar>
        </w:tblPrEx>
        <w:trPr>
          <w:trHeight w:val="410" w:hRule="atLeast"/>
          <w:jc w:val="center"/>
        </w:trPr>
        <w:tc>
          <w:tcPr>
            <w:tcW w:w="366" w:type="pct"/>
            <w:tcBorders>
              <w:top w:val="single" w:color="auto" w:sz="8" w:space="0"/>
              <w:left w:val="single" w:color="auto" w:sz="4" w:space="0"/>
              <w:bottom w:val="single" w:color="auto" w:sz="8" w:space="0"/>
              <w:right w:val="single" w:color="auto" w:sz="8" w:space="0"/>
            </w:tcBorders>
            <w:vAlign w:val="center"/>
          </w:tcPr>
          <w:p w14:paraId="1826DD4C">
            <w:pPr>
              <w:spacing w:line="280" w:lineRule="exact"/>
              <w:jc w:val="center"/>
              <w:rPr>
                <w:rFonts w:ascii="宋体" w:hAnsi="宋体"/>
                <w:b/>
                <w:color w:val="auto"/>
              </w:rPr>
            </w:pPr>
            <w:r>
              <w:rPr>
                <w:rFonts w:ascii="宋体" w:hAnsi="宋体"/>
                <w:b/>
                <w:color w:val="auto"/>
              </w:rPr>
              <w:t>序号</w:t>
            </w:r>
          </w:p>
        </w:tc>
        <w:tc>
          <w:tcPr>
            <w:tcW w:w="3402" w:type="pct"/>
            <w:tcBorders>
              <w:top w:val="single" w:color="auto" w:sz="8" w:space="0"/>
              <w:left w:val="single" w:color="auto" w:sz="8" w:space="0"/>
              <w:bottom w:val="single" w:color="auto" w:sz="8" w:space="0"/>
              <w:right w:val="single" w:color="auto" w:sz="4" w:space="0"/>
            </w:tcBorders>
            <w:vAlign w:val="center"/>
          </w:tcPr>
          <w:p w14:paraId="1ECF60E3">
            <w:pPr>
              <w:spacing w:line="280" w:lineRule="exact"/>
              <w:jc w:val="center"/>
              <w:rPr>
                <w:rFonts w:ascii="宋体" w:hAnsi="宋体"/>
                <w:b/>
                <w:color w:val="auto"/>
              </w:rPr>
            </w:pPr>
            <w:r>
              <w:rPr>
                <w:rFonts w:ascii="宋体" w:hAnsi="宋体"/>
                <w:b/>
                <w:color w:val="auto"/>
              </w:rPr>
              <w:t>检查内容</w:t>
            </w:r>
          </w:p>
        </w:tc>
        <w:tc>
          <w:tcPr>
            <w:tcW w:w="903" w:type="pct"/>
            <w:tcBorders>
              <w:top w:val="single" w:color="auto" w:sz="8" w:space="0"/>
              <w:left w:val="single" w:color="auto" w:sz="4" w:space="0"/>
              <w:bottom w:val="single" w:color="auto" w:sz="8" w:space="0"/>
              <w:right w:val="single" w:color="auto" w:sz="4" w:space="0"/>
            </w:tcBorders>
            <w:vAlign w:val="center"/>
          </w:tcPr>
          <w:p w14:paraId="22EAC895">
            <w:pPr>
              <w:spacing w:line="280" w:lineRule="exact"/>
              <w:jc w:val="center"/>
              <w:rPr>
                <w:rFonts w:ascii="宋体" w:hAnsi="宋体"/>
                <w:b/>
                <w:color w:val="auto"/>
              </w:rPr>
            </w:pPr>
            <w:r>
              <w:rPr>
                <w:rFonts w:ascii="宋体" w:hAnsi="宋体"/>
                <w:b/>
                <w:color w:val="auto"/>
              </w:rPr>
              <w:t>检查记录</w:t>
            </w:r>
          </w:p>
        </w:tc>
        <w:tc>
          <w:tcPr>
            <w:tcW w:w="327" w:type="pct"/>
            <w:tcBorders>
              <w:top w:val="single" w:color="auto" w:sz="8" w:space="0"/>
              <w:left w:val="single" w:color="auto" w:sz="4" w:space="0"/>
              <w:bottom w:val="single" w:color="auto" w:sz="8" w:space="0"/>
              <w:right w:val="single" w:color="auto" w:sz="4" w:space="0"/>
            </w:tcBorders>
            <w:vAlign w:val="center"/>
          </w:tcPr>
          <w:p w14:paraId="5F844CB7">
            <w:pPr>
              <w:spacing w:line="280" w:lineRule="exact"/>
              <w:jc w:val="center"/>
              <w:rPr>
                <w:rFonts w:ascii="宋体" w:hAnsi="宋体"/>
                <w:b/>
                <w:color w:val="auto"/>
              </w:rPr>
            </w:pPr>
            <w:r>
              <w:rPr>
                <w:rFonts w:ascii="宋体" w:hAnsi="宋体"/>
                <w:b/>
                <w:color w:val="auto"/>
              </w:rPr>
              <w:t>结论</w:t>
            </w:r>
          </w:p>
        </w:tc>
      </w:tr>
      <w:tr w14:paraId="12BD3C34">
        <w:tblPrEx>
          <w:tblCellMar>
            <w:top w:w="0" w:type="dxa"/>
            <w:left w:w="0" w:type="dxa"/>
            <w:bottom w:w="0" w:type="dxa"/>
            <w:right w:w="0" w:type="dxa"/>
          </w:tblCellMar>
        </w:tblPrEx>
        <w:trPr>
          <w:trHeight w:val="410" w:hRule="atLeast"/>
          <w:jc w:val="center"/>
        </w:trPr>
        <w:tc>
          <w:tcPr>
            <w:tcW w:w="5000" w:type="pct"/>
            <w:gridSpan w:val="4"/>
            <w:tcBorders>
              <w:top w:val="single" w:color="auto" w:sz="8" w:space="0"/>
              <w:left w:val="single" w:color="auto" w:sz="4" w:space="0"/>
              <w:bottom w:val="single" w:color="auto" w:sz="8" w:space="0"/>
              <w:right w:val="single" w:color="auto" w:sz="4" w:space="0"/>
            </w:tcBorders>
            <w:vAlign w:val="center"/>
          </w:tcPr>
          <w:p w14:paraId="7B58D377">
            <w:pPr>
              <w:spacing w:line="280" w:lineRule="exact"/>
              <w:rPr>
                <w:rFonts w:ascii="宋体" w:hAnsi="宋体"/>
                <w:b/>
                <w:color w:val="auto"/>
              </w:rPr>
            </w:pPr>
            <w:r>
              <w:rPr>
                <w:rFonts w:ascii="宋体" w:hAnsi="宋体"/>
                <w:b/>
                <w:color w:val="auto"/>
              </w:rPr>
              <w:t>采暖通风</w:t>
            </w:r>
          </w:p>
        </w:tc>
      </w:tr>
      <w:tr w14:paraId="77F8FB7C">
        <w:tblPrEx>
          <w:tblCellMar>
            <w:top w:w="0" w:type="dxa"/>
            <w:left w:w="0" w:type="dxa"/>
            <w:bottom w:w="0" w:type="dxa"/>
            <w:right w:w="0" w:type="dxa"/>
          </w:tblCellMar>
        </w:tblPrEx>
        <w:trPr>
          <w:trHeight w:val="340" w:hRule="atLeast"/>
          <w:jc w:val="center"/>
        </w:trPr>
        <w:tc>
          <w:tcPr>
            <w:tcW w:w="366" w:type="pct"/>
            <w:tcBorders>
              <w:top w:val="single" w:color="auto" w:sz="8" w:space="0"/>
              <w:left w:val="single" w:color="auto" w:sz="4" w:space="0"/>
              <w:bottom w:val="single" w:color="auto" w:sz="8" w:space="0"/>
              <w:right w:val="single" w:color="auto" w:sz="8" w:space="0"/>
            </w:tcBorders>
            <w:vAlign w:val="center"/>
          </w:tcPr>
          <w:p w14:paraId="514CD389">
            <w:pPr>
              <w:spacing w:line="280" w:lineRule="exact"/>
              <w:jc w:val="center"/>
              <w:rPr>
                <w:rFonts w:ascii="宋体" w:hAnsi="宋体"/>
                <w:color w:val="auto"/>
              </w:rPr>
            </w:pPr>
            <w:r>
              <w:rPr>
                <w:rFonts w:ascii="宋体" w:hAnsi="宋体"/>
                <w:color w:val="auto"/>
              </w:rPr>
              <w:t>1</w:t>
            </w:r>
          </w:p>
        </w:tc>
        <w:tc>
          <w:tcPr>
            <w:tcW w:w="3402" w:type="pct"/>
            <w:tcBorders>
              <w:top w:val="single" w:color="auto" w:sz="8" w:space="0"/>
              <w:left w:val="single" w:color="auto" w:sz="8" w:space="0"/>
              <w:bottom w:val="single" w:color="auto" w:sz="8" w:space="0"/>
              <w:right w:val="single" w:color="auto" w:sz="4" w:space="0"/>
            </w:tcBorders>
            <w:vAlign w:val="center"/>
          </w:tcPr>
          <w:p w14:paraId="36387B14">
            <w:pPr>
              <w:spacing w:line="280" w:lineRule="exact"/>
              <w:rPr>
                <w:rFonts w:ascii="宋体" w:hAnsi="宋体"/>
                <w:color w:val="auto"/>
              </w:rPr>
            </w:pPr>
            <w:r>
              <w:rPr>
                <w:rFonts w:hint="eastAsia" w:ascii="宋体" w:hAnsi="宋体"/>
                <w:color w:val="auto"/>
              </w:rPr>
              <w:t>GB50156-</w:t>
            </w:r>
            <w:r>
              <w:rPr>
                <w:rFonts w:ascii="宋体" w:hAnsi="宋体"/>
                <w:color w:val="auto"/>
              </w:rPr>
              <w:t>14.1.1汽车加油加气加氢站内的各类房间应根据站场环境、生产工艺特点和运行管理需要进行采暖设计。采暖房间的室内计算温度不宜低于表14.1.1的规定。</w:t>
            </w:r>
          </w:p>
        </w:tc>
        <w:tc>
          <w:tcPr>
            <w:tcW w:w="903" w:type="pct"/>
            <w:tcBorders>
              <w:top w:val="single" w:color="auto" w:sz="8" w:space="0"/>
              <w:left w:val="single" w:color="auto" w:sz="4" w:space="0"/>
              <w:bottom w:val="single" w:color="auto" w:sz="8" w:space="0"/>
              <w:right w:val="single" w:color="auto" w:sz="4" w:space="0"/>
            </w:tcBorders>
            <w:vAlign w:val="center"/>
          </w:tcPr>
          <w:p w14:paraId="686E1630">
            <w:pPr>
              <w:spacing w:line="280" w:lineRule="exact"/>
              <w:rPr>
                <w:rFonts w:ascii="宋体" w:hAnsi="宋体"/>
                <w:color w:val="auto"/>
              </w:rPr>
            </w:pPr>
            <w:r>
              <w:rPr>
                <w:rFonts w:hint="eastAsia" w:ascii="宋体" w:hAnsi="宋体"/>
                <w:color w:val="auto"/>
              </w:rPr>
              <w:t>设有空调</w:t>
            </w:r>
          </w:p>
        </w:tc>
        <w:tc>
          <w:tcPr>
            <w:tcW w:w="327" w:type="pct"/>
            <w:tcBorders>
              <w:top w:val="single" w:color="auto" w:sz="8" w:space="0"/>
              <w:left w:val="single" w:color="auto" w:sz="4" w:space="0"/>
              <w:bottom w:val="single" w:color="auto" w:sz="8" w:space="0"/>
              <w:right w:val="single" w:color="auto" w:sz="4" w:space="0"/>
            </w:tcBorders>
            <w:vAlign w:val="center"/>
          </w:tcPr>
          <w:p w14:paraId="11BB363E">
            <w:pPr>
              <w:spacing w:line="280" w:lineRule="exact"/>
              <w:jc w:val="center"/>
              <w:rPr>
                <w:rFonts w:ascii="宋体" w:hAnsi="宋体"/>
                <w:color w:val="auto"/>
              </w:rPr>
            </w:pPr>
            <w:r>
              <w:rPr>
                <w:rFonts w:hint="eastAsia" w:ascii="宋体" w:hAnsi="宋体"/>
                <w:color w:val="auto"/>
              </w:rPr>
              <w:t>合格</w:t>
            </w:r>
          </w:p>
        </w:tc>
      </w:tr>
      <w:tr w14:paraId="7C0B7F79">
        <w:tblPrEx>
          <w:tblCellMar>
            <w:top w:w="0" w:type="dxa"/>
            <w:left w:w="0" w:type="dxa"/>
            <w:bottom w:w="0" w:type="dxa"/>
            <w:right w:w="0" w:type="dxa"/>
          </w:tblCellMar>
        </w:tblPrEx>
        <w:trPr>
          <w:trHeight w:val="670" w:hRule="atLeast"/>
          <w:jc w:val="center"/>
        </w:trPr>
        <w:tc>
          <w:tcPr>
            <w:tcW w:w="366" w:type="pct"/>
            <w:tcBorders>
              <w:top w:val="single" w:color="auto" w:sz="8" w:space="0"/>
              <w:left w:val="single" w:color="auto" w:sz="4" w:space="0"/>
              <w:bottom w:val="single" w:color="auto" w:sz="8" w:space="0"/>
              <w:right w:val="single" w:color="auto" w:sz="8" w:space="0"/>
            </w:tcBorders>
            <w:vAlign w:val="center"/>
          </w:tcPr>
          <w:p w14:paraId="6938B8C1">
            <w:pPr>
              <w:spacing w:line="280" w:lineRule="exact"/>
              <w:jc w:val="center"/>
              <w:rPr>
                <w:rFonts w:ascii="宋体" w:hAnsi="宋体"/>
                <w:color w:val="auto"/>
              </w:rPr>
            </w:pPr>
            <w:r>
              <w:rPr>
                <w:rFonts w:ascii="宋体" w:hAnsi="宋体"/>
                <w:color w:val="auto"/>
              </w:rPr>
              <w:t>2</w:t>
            </w:r>
          </w:p>
        </w:tc>
        <w:tc>
          <w:tcPr>
            <w:tcW w:w="3402" w:type="pct"/>
            <w:tcBorders>
              <w:top w:val="single" w:color="auto" w:sz="8" w:space="0"/>
              <w:left w:val="single" w:color="auto" w:sz="8" w:space="0"/>
              <w:bottom w:val="single" w:color="auto" w:sz="8" w:space="0"/>
              <w:right w:val="single" w:color="auto" w:sz="4" w:space="0"/>
            </w:tcBorders>
            <w:vAlign w:val="center"/>
          </w:tcPr>
          <w:p w14:paraId="32063D77">
            <w:pPr>
              <w:spacing w:line="280" w:lineRule="exact"/>
              <w:rPr>
                <w:rFonts w:ascii="宋体" w:hAnsi="宋体"/>
                <w:color w:val="auto"/>
              </w:rPr>
            </w:pPr>
            <w:r>
              <w:rPr>
                <w:rFonts w:hint="eastAsia" w:ascii="宋体" w:hAnsi="宋体"/>
                <w:color w:val="auto"/>
              </w:rPr>
              <w:t>GB50156-</w:t>
            </w:r>
            <w:r>
              <w:rPr>
                <w:rFonts w:ascii="宋体" w:hAnsi="宋体"/>
                <w:color w:val="auto"/>
              </w:rPr>
              <w:t>14.1.2车加油加气加氢站的采暖宜利用城市、小区或邻近单位的热源。无利用条件时，可在汽车加油加气加氢站内设置锅炉房。</w:t>
            </w:r>
          </w:p>
        </w:tc>
        <w:tc>
          <w:tcPr>
            <w:tcW w:w="903" w:type="pct"/>
            <w:tcBorders>
              <w:top w:val="single" w:color="auto" w:sz="8" w:space="0"/>
              <w:left w:val="single" w:color="auto" w:sz="4" w:space="0"/>
              <w:bottom w:val="single" w:color="auto" w:sz="8" w:space="0"/>
              <w:right w:val="single" w:color="auto" w:sz="4" w:space="0"/>
            </w:tcBorders>
            <w:vAlign w:val="center"/>
          </w:tcPr>
          <w:p w14:paraId="3FF8DA41">
            <w:pPr>
              <w:spacing w:line="280" w:lineRule="exact"/>
              <w:rPr>
                <w:rFonts w:ascii="宋体" w:hAnsi="宋体"/>
                <w:color w:val="auto"/>
              </w:rPr>
            </w:pPr>
            <w:r>
              <w:rPr>
                <w:rFonts w:hint="eastAsia" w:ascii="宋体" w:hAnsi="宋体"/>
                <w:color w:val="auto"/>
              </w:rPr>
              <w:t>设有空调</w:t>
            </w:r>
          </w:p>
        </w:tc>
        <w:tc>
          <w:tcPr>
            <w:tcW w:w="327" w:type="pct"/>
            <w:tcBorders>
              <w:top w:val="single" w:color="auto" w:sz="8" w:space="0"/>
              <w:left w:val="single" w:color="auto" w:sz="4" w:space="0"/>
              <w:bottom w:val="single" w:color="auto" w:sz="8" w:space="0"/>
              <w:right w:val="single" w:color="auto" w:sz="4" w:space="0"/>
            </w:tcBorders>
            <w:vAlign w:val="center"/>
          </w:tcPr>
          <w:p w14:paraId="3850BAD8">
            <w:pPr>
              <w:spacing w:line="280" w:lineRule="exact"/>
              <w:jc w:val="center"/>
              <w:rPr>
                <w:rFonts w:ascii="宋体" w:hAnsi="宋体"/>
                <w:color w:val="auto"/>
              </w:rPr>
            </w:pPr>
            <w:r>
              <w:rPr>
                <w:rFonts w:hint="eastAsia" w:ascii="宋体" w:hAnsi="宋体"/>
                <w:color w:val="auto"/>
              </w:rPr>
              <w:t>合格</w:t>
            </w:r>
          </w:p>
        </w:tc>
      </w:tr>
      <w:tr w14:paraId="51A608D6">
        <w:tblPrEx>
          <w:tblCellMar>
            <w:top w:w="0" w:type="dxa"/>
            <w:left w:w="0" w:type="dxa"/>
            <w:bottom w:w="0" w:type="dxa"/>
            <w:right w:w="0" w:type="dxa"/>
          </w:tblCellMar>
        </w:tblPrEx>
        <w:trPr>
          <w:trHeight w:val="340" w:hRule="atLeast"/>
          <w:jc w:val="center"/>
        </w:trPr>
        <w:tc>
          <w:tcPr>
            <w:tcW w:w="366" w:type="pct"/>
            <w:tcBorders>
              <w:top w:val="single" w:color="auto" w:sz="8" w:space="0"/>
              <w:left w:val="single" w:color="auto" w:sz="4" w:space="0"/>
              <w:bottom w:val="single" w:color="auto" w:sz="6" w:space="0"/>
              <w:right w:val="single" w:color="auto" w:sz="8" w:space="0"/>
            </w:tcBorders>
            <w:vAlign w:val="center"/>
          </w:tcPr>
          <w:p w14:paraId="76C732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ascii="宋体" w:hAnsi="宋体"/>
                <w:color w:val="auto"/>
              </w:rPr>
              <w:t>3</w:t>
            </w:r>
          </w:p>
        </w:tc>
        <w:tc>
          <w:tcPr>
            <w:tcW w:w="3402" w:type="pct"/>
            <w:tcBorders>
              <w:top w:val="single" w:color="auto" w:sz="8" w:space="0"/>
              <w:left w:val="single" w:color="auto" w:sz="8" w:space="0"/>
              <w:bottom w:val="single" w:color="auto" w:sz="6" w:space="0"/>
              <w:right w:val="single" w:color="auto" w:sz="4" w:space="0"/>
            </w:tcBorders>
            <w:vAlign w:val="center"/>
          </w:tcPr>
          <w:p w14:paraId="31B663E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GB50156-</w:t>
            </w:r>
            <w:r>
              <w:rPr>
                <w:rFonts w:ascii="宋体" w:hAnsi="宋体"/>
                <w:color w:val="auto"/>
              </w:rPr>
              <w:t>14.1.4汽车加油加气加氢站内爆炸危险区域中的房间或箱体应采取通风措施，并应符合下列规定</w:t>
            </w:r>
            <w:r>
              <w:rPr>
                <w:rFonts w:hint="eastAsia" w:ascii="宋体" w:hAnsi="宋体"/>
                <w:color w:val="auto"/>
              </w:rPr>
              <w:t>：</w:t>
            </w:r>
          </w:p>
          <w:p w14:paraId="5D27522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1、采用强制通风时，通风设备的通风能力在工艺设备工作期间应按每小时换气12次计算，在工艺设备非工作期间应按每小时换气5次计算。通风设备应防爆，并应与可燃气体浓度报警器联锁。</w:t>
            </w:r>
          </w:p>
          <w:p w14:paraId="0F351EC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2、采用自然通风时，通风口总面积不应小于300c㎡/m（地面），通风口不应少于2个，且应靠近可燃气体积聚的部位设置。</w:t>
            </w:r>
          </w:p>
        </w:tc>
        <w:tc>
          <w:tcPr>
            <w:tcW w:w="903" w:type="pct"/>
            <w:tcBorders>
              <w:top w:val="single" w:color="auto" w:sz="8" w:space="0"/>
              <w:left w:val="single" w:color="auto" w:sz="4" w:space="0"/>
              <w:bottom w:val="single" w:color="auto" w:sz="6" w:space="0"/>
              <w:right w:val="single" w:color="auto" w:sz="4" w:space="0"/>
            </w:tcBorders>
            <w:vAlign w:val="center"/>
          </w:tcPr>
          <w:p w14:paraId="645CC78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不涉及</w:t>
            </w:r>
          </w:p>
        </w:tc>
        <w:tc>
          <w:tcPr>
            <w:tcW w:w="327" w:type="pct"/>
            <w:tcBorders>
              <w:top w:val="single" w:color="auto" w:sz="8" w:space="0"/>
              <w:left w:val="single" w:color="auto" w:sz="4" w:space="0"/>
              <w:bottom w:val="single" w:color="auto" w:sz="6" w:space="0"/>
              <w:right w:val="single" w:color="auto" w:sz="4" w:space="0"/>
            </w:tcBorders>
            <w:vAlign w:val="center"/>
          </w:tcPr>
          <w:p w14:paraId="6EEDF6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w:t>
            </w:r>
          </w:p>
        </w:tc>
      </w:tr>
      <w:tr w14:paraId="2C0D6915">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1D0F91A5">
            <w:pPr>
              <w:spacing w:line="280" w:lineRule="exact"/>
              <w:jc w:val="center"/>
              <w:rPr>
                <w:rFonts w:ascii="宋体" w:hAnsi="宋体"/>
                <w:color w:val="auto"/>
              </w:rPr>
            </w:pPr>
            <w:r>
              <w:rPr>
                <w:rFonts w:hint="eastAsia" w:ascii="宋体" w:hAnsi="宋体"/>
                <w:color w:val="auto"/>
              </w:rPr>
              <w:t>4</w:t>
            </w:r>
          </w:p>
        </w:tc>
        <w:tc>
          <w:tcPr>
            <w:tcW w:w="3402" w:type="pct"/>
            <w:tcBorders>
              <w:top w:val="single" w:color="auto" w:sz="6" w:space="0"/>
              <w:left w:val="single" w:color="auto" w:sz="8" w:space="0"/>
              <w:bottom w:val="single" w:color="auto" w:sz="6" w:space="0"/>
              <w:right w:val="single" w:color="auto" w:sz="4" w:space="0"/>
            </w:tcBorders>
            <w:vAlign w:val="center"/>
          </w:tcPr>
          <w:p w14:paraId="2EE77C24">
            <w:pPr>
              <w:spacing w:line="280" w:lineRule="exact"/>
              <w:rPr>
                <w:rFonts w:ascii="宋体" w:hAnsi="宋体"/>
                <w:color w:val="auto"/>
              </w:rPr>
            </w:pPr>
            <w:r>
              <w:rPr>
                <w:rFonts w:hint="eastAsia" w:ascii="宋体" w:hAnsi="宋体"/>
                <w:color w:val="auto"/>
              </w:rPr>
              <w:t>GB50156-</w:t>
            </w:r>
            <w:r>
              <w:rPr>
                <w:rFonts w:ascii="宋体" w:hAnsi="宋体"/>
                <w:color w:val="auto"/>
              </w:rPr>
              <w:t>14.1.5汽车加油加气加氢站室内外采暖管道宜直埋敷设，当采用管沟敷设时，管沟应充沙填实，进、出建筑物处应采取隔断措施。</w:t>
            </w:r>
          </w:p>
        </w:tc>
        <w:tc>
          <w:tcPr>
            <w:tcW w:w="903" w:type="pct"/>
            <w:tcBorders>
              <w:top w:val="single" w:color="auto" w:sz="6" w:space="0"/>
              <w:left w:val="single" w:color="auto" w:sz="4" w:space="0"/>
              <w:bottom w:val="single" w:color="auto" w:sz="6" w:space="0"/>
              <w:right w:val="single" w:color="auto" w:sz="4" w:space="0"/>
            </w:tcBorders>
            <w:vAlign w:val="center"/>
          </w:tcPr>
          <w:p w14:paraId="6CD70E3D">
            <w:pPr>
              <w:spacing w:line="280" w:lineRule="exact"/>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0F6821D0">
            <w:pPr>
              <w:spacing w:line="280" w:lineRule="exact"/>
              <w:jc w:val="center"/>
              <w:rPr>
                <w:rFonts w:ascii="宋体" w:hAnsi="宋体"/>
                <w:color w:val="auto"/>
              </w:rPr>
            </w:pPr>
            <w:r>
              <w:rPr>
                <w:rFonts w:hint="eastAsia" w:ascii="宋体" w:hAnsi="宋体"/>
                <w:color w:val="auto"/>
              </w:rPr>
              <w:t>-</w:t>
            </w:r>
          </w:p>
        </w:tc>
      </w:tr>
      <w:tr w14:paraId="68E6C21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77919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5</w:t>
            </w:r>
          </w:p>
        </w:tc>
        <w:tc>
          <w:tcPr>
            <w:tcW w:w="3402" w:type="pct"/>
            <w:tcBorders>
              <w:top w:val="single" w:color="auto" w:sz="6" w:space="0"/>
              <w:left w:val="single" w:color="auto" w:sz="8" w:space="0"/>
              <w:bottom w:val="single" w:color="auto" w:sz="6" w:space="0"/>
              <w:right w:val="single" w:color="auto" w:sz="4" w:space="0"/>
            </w:tcBorders>
            <w:vAlign w:val="center"/>
          </w:tcPr>
          <w:p w14:paraId="7173116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s="Times New Roman"/>
                <w:color w:val="auto"/>
              </w:rPr>
              <w:t>GB50229-11.6.1 地下变电站采暖、通风和空气调节设计应符合下列规定：</w:t>
            </w:r>
            <w:r>
              <w:rPr>
                <w:rFonts w:hint="eastAsia" w:ascii="宋体" w:hAnsi="宋体" w:cs="Times New Roman"/>
                <w:color w:val="auto"/>
              </w:rPr>
              <w:br w:type="textWrapping"/>
            </w:r>
            <w:r>
              <w:rPr>
                <w:rFonts w:hint="eastAsia" w:ascii="宋体" w:hAnsi="宋体" w:cs="Times New Roman"/>
                <w:color w:val="auto"/>
              </w:rPr>
              <w:t>    1 所有采暖区域严禁采用明火取暖；</w:t>
            </w:r>
            <w:r>
              <w:rPr>
                <w:rFonts w:hint="eastAsia" w:ascii="宋体" w:hAnsi="宋体" w:cs="Times New Roman"/>
                <w:color w:val="auto"/>
              </w:rPr>
              <w:br w:type="textWrapping"/>
            </w:r>
            <w:r>
              <w:rPr>
                <w:rFonts w:hint="eastAsia" w:ascii="宋体" w:hAnsi="宋体" w:cs="Times New Roman"/>
                <w:color w:val="auto"/>
              </w:rPr>
              <w:t>    2 电气配电装置室应设置火灾后排风设施，其他房间的排烟设计应符合国家标准《建筑设计防火规范》GB 50016的规定；</w:t>
            </w:r>
            <w:r>
              <w:rPr>
                <w:rFonts w:hint="eastAsia" w:ascii="宋体" w:hAnsi="宋体" w:cs="Times New Roman"/>
                <w:color w:val="auto"/>
              </w:rPr>
              <w:br w:type="textWrapping"/>
            </w:r>
            <w:r>
              <w:rPr>
                <w:rFonts w:hint="eastAsia" w:ascii="宋体" w:hAnsi="宋体" w:cs="Times New Roman"/>
                <w:color w:val="auto"/>
              </w:rPr>
              <w:t>    3 当火灾发生时，送排风系统、空调系统应能自动停止运行。当采用气体灭火系统时，穿过防护区的通风或空调风道上的阻断阀应能立即自动关闭。</w:t>
            </w:r>
            <w:r>
              <w:rPr>
                <w:rFonts w:hint="eastAsia" w:ascii="宋体" w:hAnsi="宋体" w:cs="Times New Roman"/>
                <w:color w:val="auto"/>
              </w:rPr>
              <w:br w:type="textWrapping"/>
            </w:r>
            <w:r>
              <w:rPr>
                <w:rFonts w:hint="eastAsia" w:ascii="宋体" w:hAnsi="宋体" w:cs="Times New Roman"/>
                <w:color w:val="auto"/>
              </w:rPr>
              <w:t>GB50229-11.6.2 阀厅应设置火灾后排风设施。</w:t>
            </w:r>
            <w:r>
              <w:rPr>
                <w:rFonts w:hint="eastAsia" w:ascii="宋体" w:hAnsi="宋体" w:cs="Times New Roman"/>
                <w:color w:val="auto"/>
              </w:rPr>
              <w:br w:type="textWrapping"/>
            </w:r>
            <w:r>
              <w:rPr>
                <w:rFonts w:hint="eastAsia" w:ascii="宋体" w:hAnsi="宋体" w:cs="Times New Roman"/>
                <w:color w:val="auto"/>
              </w:rPr>
              <w:t>GB50229-11.6.3 地下变电站的空气调节，地上变电站的采暖、通风和空气调节，应符合本标准第8章的有关规定。</w:t>
            </w:r>
          </w:p>
        </w:tc>
        <w:tc>
          <w:tcPr>
            <w:tcW w:w="903" w:type="pct"/>
            <w:tcBorders>
              <w:top w:val="single" w:color="auto" w:sz="6" w:space="0"/>
              <w:left w:val="single" w:color="auto" w:sz="4" w:space="0"/>
              <w:bottom w:val="single" w:color="auto" w:sz="6" w:space="0"/>
              <w:right w:val="single" w:color="auto" w:sz="4" w:space="0"/>
            </w:tcBorders>
            <w:vAlign w:val="center"/>
          </w:tcPr>
          <w:p w14:paraId="28E8B10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非地下变电站</w:t>
            </w:r>
          </w:p>
        </w:tc>
        <w:tc>
          <w:tcPr>
            <w:tcW w:w="327" w:type="pct"/>
            <w:tcBorders>
              <w:top w:val="single" w:color="auto" w:sz="6" w:space="0"/>
              <w:left w:val="single" w:color="auto" w:sz="4" w:space="0"/>
              <w:bottom w:val="single" w:color="auto" w:sz="6" w:space="0"/>
              <w:right w:val="single" w:color="auto" w:sz="4" w:space="0"/>
            </w:tcBorders>
            <w:vAlign w:val="center"/>
          </w:tcPr>
          <w:p w14:paraId="35B249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w:t>
            </w:r>
          </w:p>
        </w:tc>
      </w:tr>
      <w:tr w14:paraId="0644F838">
        <w:tblPrEx>
          <w:tblCellMar>
            <w:top w:w="0" w:type="dxa"/>
            <w:left w:w="0" w:type="dxa"/>
            <w:bottom w:w="0" w:type="dxa"/>
            <w:right w:w="0" w:type="dxa"/>
          </w:tblCellMar>
        </w:tblPrEx>
        <w:trPr>
          <w:trHeight w:val="340" w:hRule="atLeast"/>
          <w:jc w:val="center"/>
        </w:trPr>
        <w:tc>
          <w:tcPr>
            <w:tcW w:w="5000" w:type="pct"/>
            <w:gridSpan w:val="4"/>
            <w:tcBorders>
              <w:top w:val="single" w:color="auto" w:sz="6" w:space="0"/>
              <w:left w:val="single" w:color="auto" w:sz="4" w:space="0"/>
              <w:bottom w:val="single" w:color="auto" w:sz="6" w:space="0"/>
              <w:right w:val="single" w:color="auto" w:sz="4" w:space="0"/>
            </w:tcBorders>
            <w:vAlign w:val="center"/>
          </w:tcPr>
          <w:p w14:paraId="3C44DE85">
            <w:pPr>
              <w:spacing w:line="280" w:lineRule="exact"/>
              <w:rPr>
                <w:rFonts w:ascii="宋体" w:hAnsi="宋体"/>
                <w:b/>
                <w:color w:val="auto"/>
              </w:rPr>
            </w:pPr>
            <w:r>
              <w:rPr>
                <w:rFonts w:ascii="宋体" w:hAnsi="宋体"/>
                <w:b/>
                <w:color w:val="auto"/>
              </w:rPr>
              <w:t>建（构）筑物</w:t>
            </w:r>
          </w:p>
        </w:tc>
      </w:tr>
      <w:tr w14:paraId="52A9B390">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3695BEFB">
            <w:pPr>
              <w:spacing w:line="280" w:lineRule="exact"/>
              <w:jc w:val="center"/>
              <w:rPr>
                <w:rFonts w:ascii="宋体" w:hAnsi="宋体"/>
                <w:color w:val="auto"/>
              </w:rPr>
            </w:pPr>
            <w:r>
              <w:rPr>
                <w:rFonts w:hint="eastAsia" w:ascii="宋体" w:hAnsi="宋体"/>
                <w:color w:val="auto"/>
              </w:rPr>
              <w:t>1</w:t>
            </w:r>
          </w:p>
        </w:tc>
        <w:tc>
          <w:tcPr>
            <w:tcW w:w="3402" w:type="pct"/>
            <w:tcBorders>
              <w:top w:val="single" w:color="auto" w:sz="6" w:space="0"/>
              <w:left w:val="single" w:color="auto" w:sz="8" w:space="0"/>
              <w:bottom w:val="single" w:color="auto" w:sz="6" w:space="0"/>
              <w:right w:val="single" w:color="auto" w:sz="4" w:space="0"/>
            </w:tcBorders>
            <w:vAlign w:val="center"/>
          </w:tcPr>
          <w:p w14:paraId="502D6FF4">
            <w:pPr>
              <w:spacing w:line="280" w:lineRule="exact"/>
              <w:rPr>
                <w:rFonts w:ascii="宋体" w:hAnsi="宋体"/>
                <w:color w:val="auto"/>
              </w:rPr>
            </w:pPr>
            <w:r>
              <w:rPr>
                <w:rFonts w:hint="eastAsia" w:ascii="宋体" w:hAnsi="宋体"/>
                <w:color w:val="auto"/>
              </w:rPr>
              <w:t>GB50156-</w:t>
            </w:r>
            <w:r>
              <w:rPr>
                <w:rFonts w:ascii="宋体" w:hAnsi="宋体"/>
                <w:color w:val="auto"/>
              </w:rPr>
              <w:t>14.2.1作业区内的站房及其他附属建筑物的耐火等级不应低于二级。罩棚顶棚可采用无防火保护的钢结构。</w:t>
            </w:r>
          </w:p>
        </w:tc>
        <w:tc>
          <w:tcPr>
            <w:tcW w:w="903" w:type="pct"/>
            <w:tcBorders>
              <w:top w:val="single" w:color="auto" w:sz="6" w:space="0"/>
              <w:left w:val="single" w:color="auto" w:sz="4" w:space="0"/>
              <w:bottom w:val="single" w:color="auto" w:sz="6" w:space="0"/>
              <w:right w:val="single" w:color="auto" w:sz="4" w:space="0"/>
            </w:tcBorders>
            <w:vAlign w:val="center"/>
          </w:tcPr>
          <w:p w14:paraId="3CE8C7DC">
            <w:pPr>
              <w:spacing w:line="280" w:lineRule="exact"/>
              <w:rPr>
                <w:rFonts w:ascii="宋体" w:hAnsi="宋体"/>
                <w:color w:val="auto"/>
              </w:rPr>
            </w:pPr>
            <w:r>
              <w:rPr>
                <w:rFonts w:ascii="宋体" w:hAnsi="宋体"/>
                <w:color w:val="auto"/>
              </w:rPr>
              <w:t>站房及其他附属建筑物的耐火等级</w:t>
            </w:r>
            <w:r>
              <w:rPr>
                <w:rFonts w:hint="eastAsia" w:ascii="宋体" w:hAnsi="宋体"/>
                <w:color w:val="auto"/>
              </w:rPr>
              <w:t>为二级耐火</w:t>
            </w:r>
          </w:p>
        </w:tc>
        <w:tc>
          <w:tcPr>
            <w:tcW w:w="327" w:type="pct"/>
            <w:tcBorders>
              <w:top w:val="single" w:color="auto" w:sz="6" w:space="0"/>
              <w:left w:val="single" w:color="auto" w:sz="4" w:space="0"/>
              <w:bottom w:val="single" w:color="auto" w:sz="6" w:space="0"/>
              <w:right w:val="single" w:color="auto" w:sz="4" w:space="0"/>
            </w:tcBorders>
            <w:vAlign w:val="center"/>
          </w:tcPr>
          <w:p w14:paraId="1152FC50">
            <w:pPr>
              <w:spacing w:line="280" w:lineRule="exact"/>
              <w:jc w:val="center"/>
              <w:rPr>
                <w:rFonts w:ascii="宋体" w:hAnsi="宋体"/>
                <w:color w:val="auto"/>
              </w:rPr>
            </w:pPr>
            <w:r>
              <w:rPr>
                <w:rFonts w:ascii="宋体" w:hAnsi="宋体"/>
                <w:color w:val="auto"/>
              </w:rPr>
              <w:t>合格</w:t>
            </w:r>
          </w:p>
        </w:tc>
      </w:tr>
      <w:tr w14:paraId="08C5BEE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D99FC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2</w:t>
            </w:r>
          </w:p>
        </w:tc>
        <w:tc>
          <w:tcPr>
            <w:tcW w:w="3402" w:type="pct"/>
            <w:tcBorders>
              <w:top w:val="single" w:color="auto" w:sz="6" w:space="0"/>
              <w:left w:val="single" w:color="auto" w:sz="8" w:space="0"/>
              <w:bottom w:val="single" w:color="auto" w:sz="6" w:space="0"/>
              <w:right w:val="single" w:color="auto" w:sz="4" w:space="0"/>
            </w:tcBorders>
            <w:vAlign w:val="center"/>
          </w:tcPr>
          <w:p w14:paraId="2110A9F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GB50156-</w:t>
            </w:r>
            <w:r>
              <w:rPr>
                <w:rFonts w:ascii="宋体" w:hAnsi="宋体"/>
                <w:color w:val="auto"/>
              </w:rPr>
              <w:t>14.2.2汽车加油加气加氢场地宜设罩棚，罩棚的设计应符合下</w:t>
            </w:r>
            <w:r>
              <w:rPr>
                <w:rFonts w:hint="eastAsia" w:ascii="宋体" w:hAnsi="宋体"/>
                <w:color w:val="auto"/>
              </w:rPr>
              <w:t>列规定：</w:t>
            </w:r>
          </w:p>
          <w:p w14:paraId="35E7164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罩棚应采用不燃烧材料建造；</w:t>
            </w:r>
          </w:p>
          <w:p w14:paraId="0176660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进站口无限高措施时，罩棚的净高度不应小于4.5m；进站口有限高措施时，罩棚的净空高度不应小于限高高度；</w:t>
            </w:r>
          </w:p>
          <w:p w14:paraId="78C3CD5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罩棚遮盖加油机、加气机的平面投影距离不宜小于2m；</w:t>
            </w:r>
          </w:p>
          <w:p w14:paraId="321A6FA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罩棚的安全等级和可靠度设计应按现行国家标准《建筑结构可靠度设计统一标准》GB50068的有关规定执行；</w:t>
            </w:r>
          </w:p>
          <w:p w14:paraId="3973797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罩棚设计应计及活荷载、雪荷载、风荷载，其设计标准值应符合现行国家标准《建筑结构荷载规范》GB50009的有关规定；</w:t>
            </w:r>
          </w:p>
          <w:p w14:paraId="373DDB0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6罩棚的抗震设计应按现行国家标准《建筑抗震设计规范》</w:t>
            </w:r>
          </w:p>
          <w:p w14:paraId="3A0B56C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GB50011的有关规定执行；</w:t>
            </w:r>
          </w:p>
          <w:p w14:paraId="725FE37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7</w:t>
            </w:r>
            <w:r>
              <w:rPr>
                <w:rFonts w:hint="eastAsia" w:ascii="宋体" w:hAnsi="宋体"/>
                <w:color w:val="auto"/>
              </w:rPr>
              <w:t>、</w:t>
            </w:r>
            <w:r>
              <w:rPr>
                <w:rFonts w:ascii="宋体" w:hAnsi="宋体"/>
                <w:color w:val="auto"/>
              </w:rPr>
              <w:t>设置于CNG设备、LNG设备和氢气设备上方的罩棚应采用避免天然气和氢气积聚的结构形式；</w:t>
            </w:r>
          </w:p>
          <w:p w14:paraId="7424264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8</w:t>
            </w:r>
            <w:r>
              <w:rPr>
                <w:rFonts w:hint="eastAsia" w:ascii="宋体" w:hAnsi="宋体"/>
                <w:color w:val="auto"/>
              </w:rPr>
              <w:t>、</w:t>
            </w:r>
            <w:r>
              <w:rPr>
                <w:rFonts w:ascii="宋体" w:hAnsi="宋体"/>
                <w:color w:val="auto"/>
              </w:rPr>
              <w:t>罩棚柱应有防止车辆碰撞的技术措施。</w:t>
            </w:r>
          </w:p>
        </w:tc>
        <w:tc>
          <w:tcPr>
            <w:tcW w:w="903" w:type="pct"/>
            <w:tcBorders>
              <w:top w:val="single" w:color="auto" w:sz="6" w:space="0"/>
              <w:left w:val="single" w:color="auto" w:sz="4" w:space="0"/>
              <w:bottom w:val="single" w:color="auto" w:sz="6" w:space="0"/>
              <w:right w:val="single" w:color="auto" w:sz="4" w:space="0"/>
            </w:tcBorders>
            <w:vAlign w:val="center"/>
          </w:tcPr>
          <w:p w14:paraId="5280C92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罩棚采用不燃烧材料建造</w:t>
            </w:r>
            <w:r>
              <w:rPr>
                <w:rFonts w:hint="eastAsia" w:ascii="宋体" w:hAnsi="宋体"/>
                <w:color w:val="auto"/>
              </w:rPr>
              <w:t>，罩棚高</w:t>
            </w:r>
            <w:r>
              <w:rPr>
                <w:rFonts w:hint="eastAsia" w:ascii="宋体" w:hAnsi="宋体"/>
                <w:color w:val="auto"/>
                <w:lang w:val="en-US" w:eastAsia="zh-CN"/>
              </w:rPr>
              <w:t>6</w:t>
            </w:r>
            <w:r>
              <w:rPr>
                <w:rFonts w:hint="eastAsia" w:ascii="宋体" w:hAnsi="宋体"/>
                <w:color w:val="auto"/>
              </w:rPr>
              <w:t>米。</w:t>
            </w:r>
            <w:r>
              <w:rPr>
                <w:rFonts w:ascii="宋体" w:hAnsi="宋体"/>
                <w:color w:val="auto"/>
              </w:rPr>
              <w:t>罩棚遮盖加油机的平面投影距离</w:t>
            </w:r>
            <w:r>
              <w:rPr>
                <w:rFonts w:hint="eastAsia" w:ascii="宋体" w:hAnsi="宋体"/>
                <w:color w:val="auto"/>
                <w:lang w:val="en-US" w:eastAsia="zh-CN"/>
              </w:rPr>
              <w:t>4</w:t>
            </w:r>
            <w:r>
              <w:rPr>
                <w:rFonts w:ascii="宋体" w:hAnsi="宋体"/>
                <w:color w:val="auto"/>
              </w:rPr>
              <w:t>m</w:t>
            </w:r>
            <w:r>
              <w:rPr>
                <w:rFonts w:hint="eastAsia" w:ascii="宋体" w:hAnsi="宋体"/>
                <w:color w:val="auto"/>
              </w:rPr>
              <w:t>；</w:t>
            </w:r>
            <w:r>
              <w:rPr>
                <w:rFonts w:ascii="宋体" w:hAnsi="宋体"/>
                <w:color w:val="auto"/>
              </w:rPr>
              <w:t>罩棚柱有防止车辆碰撞的技术措施</w:t>
            </w:r>
            <w:r>
              <w:rPr>
                <w:rFonts w:hint="eastAsia" w:ascii="宋体" w:hAnsi="宋体"/>
                <w:color w:val="auto"/>
              </w:rPr>
              <w:t>；其他均按要求设置</w:t>
            </w:r>
          </w:p>
        </w:tc>
        <w:tc>
          <w:tcPr>
            <w:tcW w:w="327" w:type="pct"/>
            <w:tcBorders>
              <w:top w:val="single" w:color="auto" w:sz="6" w:space="0"/>
              <w:left w:val="single" w:color="auto" w:sz="4" w:space="0"/>
              <w:bottom w:val="single" w:color="auto" w:sz="6" w:space="0"/>
              <w:right w:val="single" w:color="auto" w:sz="4" w:space="0"/>
            </w:tcBorders>
            <w:vAlign w:val="center"/>
          </w:tcPr>
          <w:p w14:paraId="4CD9B6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ascii="宋体" w:hAnsi="宋体"/>
                <w:color w:val="auto"/>
              </w:rPr>
              <w:t>合格</w:t>
            </w:r>
          </w:p>
        </w:tc>
      </w:tr>
      <w:tr w14:paraId="3B075E77">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526F6066">
            <w:pPr>
              <w:spacing w:line="280" w:lineRule="exact"/>
              <w:jc w:val="center"/>
              <w:rPr>
                <w:rFonts w:ascii="宋体" w:hAnsi="宋体"/>
                <w:color w:val="auto"/>
              </w:rPr>
            </w:pPr>
            <w:r>
              <w:rPr>
                <w:rFonts w:hint="eastAsia" w:ascii="宋体" w:hAnsi="宋体"/>
                <w:color w:val="auto"/>
              </w:rPr>
              <w:t>3</w:t>
            </w:r>
          </w:p>
        </w:tc>
        <w:tc>
          <w:tcPr>
            <w:tcW w:w="3402" w:type="pct"/>
            <w:tcBorders>
              <w:top w:val="single" w:color="auto" w:sz="6" w:space="0"/>
              <w:left w:val="single" w:color="auto" w:sz="8" w:space="0"/>
              <w:bottom w:val="single" w:color="auto" w:sz="6" w:space="0"/>
              <w:right w:val="single" w:color="auto" w:sz="4" w:space="0"/>
            </w:tcBorders>
            <w:vAlign w:val="center"/>
          </w:tcPr>
          <w:p w14:paraId="34688A7B">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14.2.3加油岛、加气岛、加氢岛的设计应符合下列规定：</w:t>
            </w:r>
          </w:p>
          <w:p w14:paraId="7C035582">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加油岛、加气岛、加氢岛应高出停车位的地坪0.15m～0.20m；</w:t>
            </w:r>
          </w:p>
          <w:p w14:paraId="6A5BF73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加油岛、加气岛、加氢岛两端的宽度不应小于1.2m；</w:t>
            </w:r>
          </w:p>
          <w:p w14:paraId="6FADBE87">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加油岛、加气岛、加氢岛上的罩棚立柱边缘距岛端部不应小于0.6m；</w:t>
            </w:r>
          </w:p>
          <w:p w14:paraId="57704E2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靠近岛端部的加油机、加气机、加氢机等岛上的工艺设备应有防止车辆误碰撞的措施和警示标识。采用钢管防撞柱（栏）时，其钢管的直径不应小于100mm，高度不应</w:t>
            </w:r>
            <w:r>
              <w:rPr>
                <w:rFonts w:hint="eastAsia" w:ascii="宋体" w:hAnsi="宋体"/>
                <w:color w:val="auto"/>
              </w:rPr>
              <w:t>小</w:t>
            </w:r>
            <w:r>
              <w:rPr>
                <w:rFonts w:ascii="宋体" w:hAnsi="宋体"/>
                <w:color w:val="auto"/>
              </w:rPr>
              <w:t>于0.5m，并应设置牢固。</w:t>
            </w:r>
          </w:p>
        </w:tc>
        <w:tc>
          <w:tcPr>
            <w:tcW w:w="903" w:type="pct"/>
            <w:tcBorders>
              <w:top w:val="single" w:color="auto" w:sz="6" w:space="0"/>
              <w:left w:val="single" w:color="auto" w:sz="4" w:space="0"/>
              <w:bottom w:val="single" w:color="auto" w:sz="6" w:space="0"/>
              <w:right w:val="single" w:color="auto" w:sz="4" w:space="0"/>
            </w:tcBorders>
            <w:vAlign w:val="center"/>
          </w:tcPr>
          <w:p w14:paraId="65BBD8B3">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高出停车位的地坪0.20m</w:t>
            </w:r>
            <w:r>
              <w:rPr>
                <w:rFonts w:hint="eastAsia" w:ascii="宋体" w:hAnsi="宋体"/>
                <w:color w:val="auto"/>
              </w:rPr>
              <w:t>；</w:t>
            </w:r>
            <w:r>
              <w:rPr>
                <w:rFonts w:ascii="宋体" w:hAnsi="宋体"/>
                <w:color w:val="auto"/>
              </w:rPr>
              <w:t>两端的宽度1.2</w:t>
            </w:r>
            <w:r>
              <w:rPr>
                <w:rFonts w:hint="eastAsia" w:ascii="宋体" w:hAnsi="宋体"/>
                <w:color w:val="auto"/>
              </w:rPr>
              <w:t>m；</w:t>
            </w:r>
            <w:r>
              <w:rPr>
                <w:rFonts w:ascii="宋体" w:hAnsi="宋体"/>
                <w:color w:val="auto"/>
              </w:rPr>
              <w:t>罩棚立柱边缘距岛端部0.6m</w:t>
            </w:r>
            <w:r>
              <w:rPr>
                <w:rFonts w:hint="eastAsia" w:ascii="宋体" w:hAnsi="宋体"/>
                <w:color w:val="auto"/>
              </w:rPr>
              <w:t>；</w:t>
            </w:r>
            <w:r>
              <w:rPr>
                <w:rFonts w:ascii="宋体" w:hAnsi="宋体"/>
                <w:color w:val="auto"/>
              </w:rPr>
              <w:t>有防止车辆误碰撞的措施和警示标识</w:t>
            </w:r>
            <w:r>
              <w:rPr>
                <w:rFonts w:hint="eastAsia" w:ascii="宋体" w:hAnsi="宋体"/>
                <w:color w:val="auto"/>
              </w:rPr>
              <w:t>，</w:t>
            </w:r>
            <w:r>
              <w:rPr>
                <w:rFonts w:ascii="宋体" w:hAnsi="宋体"/>
                <w:color w:val="auto"/>
              </w:rPr>
              <w:t>高度0.</w:t>
            </w:r>
            <w:r>
              <w:rPr>
                <w:rFonts w:hint="eastAsia" w:ascii="宋体" w:hAnsi="宋体"/>
                <w:color w:val="auto"/>
              </w:rPr>
              <w:t>6</w:t>
            </w:r>
            <w:r>
              <w:rPr>
                <w:rFonts w:ascii="宋体" w:hAnsi="宋体"/>
                <w:color w:val="auto"/>
              </w:rPr>
              <w:t>m并设置牢固</w:t>
            </w:r>
          </w:p>
        </w:tc>
        <w:tc>
          <w:tcPr>
            <w:tcW w:w="327" w:type="pct"/>
            <w:tcBorders>
              <w:top w:val="single" w:color="auto" w:sz="6" w:space="0"/>
              <w:left w:val="single" w:color="auto" w:sz="4" w:space="0"/>
              <w:bottom w:val="single" w:color="auto" w:sz="6" w:space="0"/>
              <w:right w:val="single" w:color="auto" w:sz="4" w:space="0"/>
            </w:tcBorders>
            <w:vAlign w:val="center"/>
          </w:tcPr>
          <w:p w14:paraId="45EE35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53FB1506">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466D1A23">
            <w:pPr>
              <w:spacing w:line="280" w:lineRule="exact"/>
              <w:jc w:val="center"/>
              <w:rPr>
                <w:rFonts w:ascii="宋体" w:hAnsi="宋体"/>
                <w:color w:val="auto"/>
              </w:rPr>
            </w:pPr>
            <w:r>
              <w:rPr>
                <w:rFonts w:hint="eastAsia" w:ascii="宋体" w:hAnsi="宋体"/>
                <w:color w:val="auto"/>
              </w:rPr>
              <w:t>4</w:t>
            </w:r>
          </w:p>
        </w:tc>
        <w:tc>
          <w:tcPr>
            <w:tcW w:w="3402" w:type="pct"/>
            <w:tcBorders>
              <w:top w:val="single" w:color="auto" w:sz="6" w:space="0"/>
              <w:left w:val="single" w:color="auto" w:sz="8" w:space="0"/>
              <w:bottom w:val="single" w:color="auto" w:sz="6" w:space="0"/>
              <w:right w:val="single" w:color="auto" w:sz="4" w:space="0"/>
            </w:tcBorders>
            <w:vAlign w:val="center"/>
          </w:tcPr>
          <w:p w14:paraId="6A8C04E7">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14.2.4布置有可燃液体或可燃气体设备的建筑物的门、窗应向外开启，并应按现行国家标准《建筑设防火规范》GB50016的有关规定采取泄压措施。</w:t>
            </w:r>
          </w:p>
        </w:tc>
        <w:tc>
          <w:tcPr>
            <w:tcW w:w="903" w:type="pct"/>
            <w:tcBorders>
              <w:top w:val="single" w:color="auto" w:sz="6" w:space="0"/>
              <w:left w:val="single" w:color="auto" w:sz="4" w:space="0"/>
              <w:bottom w:val="single" w:color="auto" w:sz="6" w:space="0"/>
              <w:right w:val="single" w:color="auto" w:sz="4" w:space="0"/>
            </w:tcBorders>
            <w:vAlign w:val="center"/>
          </w:tcPr>
          <w:p w14:paraId="2801C92B">
            <w:pPr>
              <w:keepNext w:val="0"/>
              <w:keepLines w:val="0"/>
              <w:pageBreakBefore w:val="0"/>
              <w:widowControl w:val="0"/>
              <w:kinsoku/>
              <w:wordWrap/>
              <w:overflowPunct/>
              <w:topLinePunct w:val="0"/>
              <w:autoSpaceDE/>
              <w:autoSpaceDN/>
              <w:bidi w:val="0"/>
              <w:adjustRightInd/>
              <w:snapToGrid/>
              <w:spacing w:line="320" w:lineRule="exact"/>
              <w:ind w:firstLine="105" w:firstLineChars="50"/>
              <w:textAlignment w:val="auto"/>
              <w:rPr>
                <w:rFonts w:ascii="宋体" w:hAnsi="宋体"/>
                <w:color w:val="auto"/>
              </w:rPr>
            </w:pPr>
            <w:r>
              <w:rPr>
                <w:rFonts w:hint="eastAsia" w:ascii="宋体" w:hAnsi="宋体"/>
                <w:color w:val="auto"/>
              </w:rPr>
              <w:t>配电间门</w:t>
            </w:r>
            <w:r>
              <w:rPr>
                <w:rFonts w:ascii="宋体" w:hAnsi="宋体"/>
                <w:color w:val="auto"/>
              </w:rPr>
              <w:t>向外开启</w:t>
            </w:r>
          </w:p>
        </w:tc>
        <w:tc>
          <w:tcPr>
            <w:tcW w:w="327" w:type="pct"/>
            <w:tcBorders>
              <w:top w:val="single" w:color="auto" w:sz="6" w:space="0"/>
              <w:left w:val="single" w:color="auto" w:sz="4" w:space="0"/>
              <w:bottom w:val="single" w:color="auto" w:sz="6" w:space="0"/>
              <w:right w:val="single" w:color="auto" w:sz="4" w:space="0"/>
            </w:tcBorders>
            <w:vAlign w:val="center"/>
          </w:tcPr>
          <w:p w14:paraId="6BDAA8D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0922C5E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077E27AB">
            <w:pPr>
              <w:spacing w:line="280" w:lineRule="exact"/>
              <w:jc w:val="center"/>
              <w:rPr>
                <w:rFonts w:ascii="宋体" w:hAnsi="宋体"/>
                <w:color w:val="auto"/>
              </w:rPr>
            </w:pPr>
            <w:r>
              <w:rPr>
                <w:rFonts w:hint="eastAsia" w:ascii="宋体" w:hAnsi="宋体"/>
                <w:color w:val="auto"/>
              </w:rPr>
              <w:t>5</w:t>
            </w:r>
          </w:p>
        </w:tc>
        <w:tc>
          <w:tcPr>
            <w:tcW w:w="3402" w:type="pct"/>
            <w:tcBorders>
              <w:top w:val="single" w:color="auto" w:sz="6" w:space="0"/>
              <w:left w:val="single" w:color="auto" w:sz="8" w:space="0"/>
              <w:bottom w:val="single" w:color="auto" w:sz="6" w:space="0"/>
              <w:right w:val="single" w:color="auto" w:sz="4" w:space="0"/>
            </w:tcBorders>
            <w:vAlign w:val="center"/>
          </w:tcPr>
          <w:p w14:paraId="6C003219">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14.2.7汽车加油加气加氢站内的工艺设备不宜布置在封闭的房间或箱体内；工艺设备需要布置在封闭的房间或箱体内时，房间或箱体内应设置可燃气体检测报警器和强制通风设备，并应符合本标准第14.1.4条的规定。</w:t>
            </w:r>
          </w:p>
        </w:tc>
        <w:tc>
          <w:tcPr>
            <w:tcW w:w="903" w:type="pct"/>
            <w:tcBorders>
              <w:top w:val="single" w:color="auto" w:sz="6" w:space="0"/>
              <w:left w:val="single" w:color="auto" w:sz="4" w:space="0"/>
              <w:bottom w:val="single" w:color="auto" w:sz="6" w:space="0"/>
              <w:right w:val="single" w:color="auto" w:sz="4" w:space="0"/>
            </w:tcBorders>
            <w:vAlign w:val="center"/>
          </w:tcPr>
          <w:p w14:paraId="1AAB9F9B">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未</w:t>
            </w:r>
            <w:r>
              <w:rPr>
                <w:rFonts w:ascii="宋体" w:hAnsi="宋体"/>
                <w:color w:val="auto"/>
              </w:rPr>
              <w:t>布置在封闭的房间或箱体内</w:t>
            </w:r>
          </w:p>
        </w:tc>
        <w:tc>
          <w:tcPr>
            <w:tcW w:w="327" w:type="pct"/>
            <w:tcBorders>
              <w:top w:val="single" w:color="auto" w:sz="6" w:space="0"/>
              <w:left w:val="single" w:color="auto" w:sz="4" w:space="0"/>
              <w:bottom w:val="single" w:color="auto" w:sz="6" w:space="0"/>
              <w:right w:val="single" w:color="auto" w:sz="4" w:space="0"/>
            </w:tcBorders>
            <w:vAlign w:val="center"/>
          </w:tcPr>
          <w:p w14:paraId="49E2501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34F1FCDD">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4FF0A744">
            <w:pPr>
              <w:spacing w:line="280" w:lineRule="exact"/>
              <w:jc w:val="center"/>
              <w:rPr>
                <w:rFonts w:ascii="宋体" w:hAnsi="宋体"/>
                <w:color w:val="auto"/>
              </w:rPr>
            </w:pPr>
            <w:r>
              <w:rPr>
                <w:rFonts w:hint="eastAsia" w:ascii="宋体" w:hAnsi="宋体"/>
                <w:color w:val="auto"/>
              </w:rPr>
              <w:t>6</w:t>
            </w:r>
          </w:p>
        </w:tc>
        <w:tc>
          <w:tcPr>
            <w:tcW w:w="3402" w:type="pct"/>
            <w:tcBorders>
              <w:top w:val="single" w:color="auto" w:sz="6" w:space="0"/>
              <w:left w:val="single" w:color="auto" w:sz="8" w:space="0"/>
              <w:bottom w:val="single" w:color="auto" w:sz="6" w:space="0"/>
              <w:right w:val="single" w:color="auto" w:sz="4" w:space="0"/>
            </w:tcBorders>
            <w:vAlign w:val="center"/>
          </w:tcPr>
          <w:p w14:paraId="5509C49B">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14.2.9站房可由办公室、值班室、营业室、控制室、变</w:t>
            </w:r>
            <w:r>
              <w:rPr>
                <w:rFonts w:hint="eastAsia" w:ascii="宋体" w:hAnsi="宋体"/>
                <w:color w:val="auto"/>
              </w:rPr>
              <w:t>配发电间</w:t>
            </w:r>
            <w:r>
              <w:rPr>
                <w:rFonts w:ascii="宋体" w:hAnsi="宋体"/>
                <w:color w:val="auto"/>
              </w:rPr>
              <w:t>、卫生间和便利店等组成，站房内可设非明火餐厨设备。</w:t>
            </w:r>
          </w:p>
        </w:tc>
        <w:tc>
          <w:tcPr>
            <w:tcW w:w="903" w:type="pct"/>
            <w:tcBorders>
              <w:top w:val="single" w:color="auto" w:sz="6" w:space="0"/>
              <w:left w:val="single" w:color="auto" w:sz="4" w:space="0"/>
              <w:bottom w:val="single" w:color="auto" w:sz="6" w:space="0"/>
              <w:right w:val="single" w:color="auto" w:sz="4" w:space="0"/>
            </w:tcBorders>
            <w:vAlign w:val="center"/>
          </w:tcPr>
          <w:p w14:paraId="5A88A30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设有部分功能区域</w:t>
            </w:r>
          </w:p>
        </w:tc>
        <w:tc>
          <w:tcPr>
            <w:tcW w:w="327" w:type="pct"/>
            <w:tcBorders>
              <w:top w:val="single" w:color="auto" w:sz="6" w:space="0"/>
              <w:left w:val="single" w:color="auto" w:sz="4" w:space="0"/>
              <w:bottom w:val="single" w:color="auto" w:sz="6" w:space="0"/>
              <w:right w:val="single" w:color="auto" w:sz="4" w:space="0"/>
            </w:tcBorders>
            <w:vAlign w:val="center"/>
          </w:tcPr>
          <w:p w14:paraId="0F567BA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746F386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3B551A4">
            <w:pPr>
              <w:spacing w:line="280" w:lineRule="exact"/>
              <w:jc w:val="center"/>
              <w:rPr>
                <w:rFonts w:ascii="宋体" w:hAnsi="宋体"/>
                <w:color w:val="auto"/>
              </w:rPr>
            </w:pPr>
            <w:r>
              <w:rPr>
                <w:rFonts w:hint="eastAsia" w:ascii="宋体" w:hAnsi="宋体"/>
                <w:color w:val="auto"/>
              </w:rPr>
              <w:t>7</w:t>
            </w:r>
          </w:p>
        </w:tc>
        <w:tc>
          <w:tcPr>
            <w:tcW w:w="3402" w:type="pct"/>
            <w:tcBorders>
              <w:top w:val="single" w:color="auto" w:sz="6" w:space="0"/>
              <w:left w:val="single" w:color="auto" w:sz="8" w:space="0"/>
              <w:bottom w:val="single" w:color="auto" w:sz="6" w:space="0"/>
              <w:right w:val="single" w:color="auto" w:sz="4" w:space="0"/>
            </w:tcBorders>
            <w:vAlign w:val="center"/>
          </w:tcPr>
          <w:p w14:paraId="3893F05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14.2.10站房的一部分位于作业区内时，该站房的建筑面积不宜超过300</w:t>
            </w:r>
            <w:r>
              <w:rPr>
                <w:rFonts w:hint="eastAsia" w:ascii="宋体" w:hAnsi="宋体"/>
                <w:color w:val="auto"/>
              </w:rPr>
              <w:t>㎡</w:t>
            </w:r>
            <w:r>
              <w:rPr>
                <w:rFonts w:ascii="宋体" w:hAnsi="宋体"/>
                <w:color w:val="auto"/>
              </w:rPr>
              <w:t>，且该站房内不得有明火设备。</w:t>
            </w:r>
          </w:p>
        </w:tc>
        <w:tc>
          <w:tcPr>
            <w:tcW w:w="903" w:type="pct"/>
            <w:tcBorders>
              <w:top w:val="single" w:color="auto" w:sz="6" w:space="0"/>
              <w:left w:val="single" w:color="auto" w:sz="4" w:space="0"/>
              <w:bottom w:val="single" w:color="auto" w:sz="6" w:space="0"/>
              <w:right w:val="single" w:color="auto" w:sz="4" w:space="0"/>
            </w:tcBorders>
            <w:vAlign w:val="center"/>
          </w:tcPr>
          <w:p w14:paraId="253B8400">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站房</w:t>
            </w:r>
            <w:r>
              <w:rPr>
                <w:rFonts w:hint="eastAsia" w:ascii="宋体" w:hAnsi="宋体"/>
                <w:color w:val="auto"/>
              </w:rPr>
              <w:t>不在作业区内</w:t>
            </w:r>
          </w:p>
        </w:tc>
        <w:tc>
          <w:tcPr>
            <w:tcW w:w="327" w:type="pct"/>
            <w:tcBorders>
              <w:top w:val="single" w:color="auto" w:sz="6" w:space="0"/>
              <w:left w:val="single" w:color="auto" w:sz="4" w:space="0"/>
              <w:bottom w:val="single" w:color="auto" w:sz="6" w:space="0"/>
              <w:right w:val="single" w:color="auto" w:sz="4" w:space="0"/>
            </w:tcBorders>
            <w:vAlign w:val="center"/>
          </w:tcPr>
          <w:p w14:paraId="31E58AA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67AFA8D5">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2AD1F2F9">
            <w:pPr>
              <w:spacing w:line="280" w:lineRule="exact"/>
              <w:jc w:val="center"/>
              <w:rPr>
                <w:rFonts w:ascii="宋体" w:hAnsi="宋体"/>
                <w:color w:val="auto"/>
              </w:rPr>
            </w:pPr>
            <w:r>
              <w:rPr>
                <w:rFonts w:hint="eastAsia" w:ascii="宋体" w:hAnsi="宋体"/>
                <w:color w:val="auto"/>
              </w:rPr>
              <w:t>8</w:t>
            </w:r>
          </w:p>
        </w:tc>
        <w:tc>
          <w:tcPr>
            <w:tcW w:w="3402" w:type="pct"/>
            <w:tcBorders>
              <w:top w:val="single" w:color="auto" w:sz="6" w:space="0"/>
              <w:left w:val="single" w:color="auto" w:sz="8" w:space="0"/>
              <w:bottom w:val="single" w:color="auto" w:sz="6" w:space="0"/>
              <w:right w:val="single" w:color="auto" w:sz="4" w:space="0"/>
            </w:tcBorders>
            <w:vAlign w:val="center"/>
          </w:tcPr>
          <w:p w14:paraId="64409184">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14.2.11辅助服务区内建筑物的面积不应超过本标准附录B中三类保护物标准，消防设计应符合现行国家标准《建筑设计防火规范》GB50016的有关规定。</w:t>
            </w:r>
          </w:p>
        </w:tc>
        <w:tc>
          <w:tcPr>
            <w:tcW w:w="903" w:type="pct"/>
            <w:tcBorders>
              <w:top w:val="single" w:color="auto" w:sz="6" w:space="0"/>
              <w:left w:val="single" w:color="auto" w:sz="4" w:space="0"/>
              <w:bottom w:val="single" w:color="auto" w:sz="6" w:space="0"/>
              <w:right w:val="single" w:color="auto" w:sz="4" w:space="0"/>
            </w:tcBorders>
            <w:vAlign w:val="center"/>
          </w:tcPr>
          <w:p w14:paraId="3A647A4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未超过</w:t>
            </w:r>
          </w:p>
        </w:tc>
        <w:tc>
          <w:tcPr>
            <w:tcW w:w="327" w:type="pct"/>
            <w:tcBorders>
              <w:top w:val="single" w:color="auto" w:sz="6" w:space="0"/>
              <w:left w:val="single" w:color="auto" w:sz="4" w:space="0"/>
              <w:bottom w:val="single" w:color="auto" w:sz="6" w:space="0"/>
              <w:right w:val="single" w:color="auto" w:sz="4" w:space="0"/>
            </w:tcBorders>
            <w:vAlign w:val="center"/>
          </w:tcPr>
          <w:p w14:paraId="27BFE0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4B4A3388">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0D334C8D">
            <w:pPr>
              <w:spacing w:line="280" w:lineRule="exact"/>
              <w:jc w:val="center"/>
              <w:rPr>
                <w:rFonts w:ascii="宋体" w:hAnsi="宋体"/>
                <w:color w:val="auto"/>
              </w:rPr>
            </w:pPr>
            <w:r>
              <w:rPr>
                <w:rFonts w:hint="eastAsia" w:ascii="宋体" w:hAnsi="宋体"/>
                <w:color w:val="auto"/>
              </w:rPr>
              <w:t>9</w:t>
            </w:r>
          </w:p>
        </w:tc>
        <w:tc>
          <w:tcPr>
            <w:tcW w:w="3402" w:type="pct"/>
            <w:tcBorders>
              <w:top w:val="single" w:color="auto" w:sz="6" w:space="0"/>
              <w:left w:val="single" w:color="auto" w:sz="8" w:space="0"/>
              <w:bottom w:val="single" w:color="auto" w:sz="6" w:space="0"/>
              <w:right w:val="single" w:color="auto" w:sz="4" w:space="0"/>
            </w:tcBorders>
            <w:vAlign w:val="center"/>
          </w:tcPr>
          <w:p w14:paraId="54AA0341">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14.2.12站房可与设置在辅助服务区内的餐厅、汽车服务、锅炉房、厨房、员工宿舍、司机休息室等设施合建，但站房与餐厅、汽车服务、锅炉房、厨房、员工宿舍、司机休息室等设施之间应设置无门窗洞口，且耐火极限不低于3.00h的实体墙。</w:t>
            </w:r>
          </w:p>
        </w:tc>
        <w:tc>
          <w:tcPr>
            <w:tcW w:w="903" w:type="pct"/>
            <w:tcBorders>
              <w:top w:val="single" w:color="auto" w:sz="6" w:space="0"/>
              <w:left w:val="single" w:color="auto" w:sz="4" w:space="0"/>
              <w:bottom w:val="single" w:color="auto" w:sz="6" w:space="0"/>
              <w:right w:val="single" w:color="auto" w:sz="4" w:space="0"/>
            </w:tcBorders>
            <w:vAlign w:val="center"/>
          </w:tcPr>
          <w:p w14:paraId="638DF6F5">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68C0B67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6D1103CA">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240B8049">
            <w:pPr>
              <w:spacing w:line="280" w:lineRule="exact"/>
              <w:jc w:val="center"/>
              <w:rPr>
                <w:rFonts w:ascii="宋体" w:hAnsi="宋体"/>
                <w:color w:val="auto"/>
              </w:rPr>
            </w:pPr>
            <w:r>
              <w:rPr>
                <w:rFonts w:hint="eastAsia" w:ascii="宋体" w:hAnsi="宋体"/>
                <w:color w:val="auto"/>
              </w:rPr>
              <w:t>10</w:t>
            </w:r>
          </w:p>
        </w:tc>
        <w:tc>
          <w:tcPr>
            <w:tcW w:w="3402" w:type="pct"/>
            <w:tcBorders>
              <w:top w:val="single" w:color="auto" w:sz="6" w:space="0"/>
              <w:left w:val="single" w:color="auto" w:sz="8" w:space="0"/>
              <w:bottom w:val="single" w:color="auto" w:sz="6" w:space="0"/>
              <w:right w:val="single" w:color="auto" w:sz="4" w:space="0"/>
            </w:tcBorders>
            <w:vAlign w:val="center"/>
          </w:tcPr>
          <w:p w14:paraId="43B736C8">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14.2.13站房可设在站外民用建筑物内或与站外民用建筑物合建，并应符合下列规定：</w:t>
            </w:r>
          </w:p>
          <w:p w14:paraId="190D0DE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站房与民用建筑物之间不得有连接通道；</w:t>
            </w:r>
          </w:p>
          <w:p w14:paraId="2CDE0ED4">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站房应单独开设通向汽车加</w:t>
            </w:r>
            <w:r>
              <w:rPr>
                <w:rFonts w:hint="eastAsia" w:ascii="宋体" w:hAnsi="宋体"/>
                <w:color w:val="auto"/>
              </w:rPr>
              <w:t>油</w:t>
            </w:r>
            <w:r>
              <w:rPr>
                <w:rFonts w:ascii="宋体" w:hAnsi="宋体"/>
                <w:color w:val="auto"/>
              </w:rPr>
              <w:t>加气加氢站的出入口；</w:t>
            </w:r>
          </w:p>
          <w:p w14:paraId="267B545D">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民用建筑物不得有直接通向汽车加油加气加氢站的出入口。</w:t>
            </w:r>
          </w:p>
        </w:tc>
        <w:tc>
          <w:tcPr>
            <w:tcW w:w="903" w:type="pct"/>
            <w:tcBorders>
              <w:top w:val="single" w:color="auto" w:sz="6" w:space="0"/>
              <w:left w:val="single" w:color="auto" w:sz="4" w:space="0"/>
              <w:bottom w:val="single" w:color="auto" w:sz="6" w:space="0"/>
              <w:right w:val="single" w:color="auto" w:sz="4" w:space="0"/>
            </w:tcBorders>
            <w:vAlign w:val="center"/>
          </w:tcPr>
          <w:p w14:paraId="562475B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31B983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37191267">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02C142C4">
            <w:pPr>
              <w:spacing w:line="280" w:lineRule="exact"/>
              <w:jc w:val="center"/>
              <w:rPr>
                <w:rFonts w:ascii="宋体" w:hAnsi="宋体"/>
                <w:color w:val="auto"/>
              </w:rPr>
            </w:pPr>
            <w:r>
              <w:rPr>
                <w:rFonts w:hint="eastAsia" w:ascii="宋体" w:hAnsi="宋体"/>
                <w:color w:val="auto"/>
              </w:rPr>
              <w:t>11</w:t>
            </w:r>
          </w:p>
        </w:tc>
        <w:tc>
          <w:tcPr>
            <w:tcW w:w="3402" w:type="pct"/>
            <w:tcBorders>
              <w:top w:val="single" w:color="auto" w:sz="6" w:space="0"/>
              <w:left w:val="single" w:color="auto" w:sz="8" w:space="0"/>
              <w:bottom w:val="single" w:color="auto" w:sz="6" w:space="0"/>
              <w:right w:val="single" w:color="auto" w:sz="4" w:space="0"/>
            </w:tcBorders>
            <w:vAlign w:val="center"/>
          </w:tcPr>
          <w:p w14:paraId="163BB93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14.2.14站内的锅炉房、厨房等有明火设备的房间与工艺设备之间的距离符合表5.0.13的规定，但小于或等于25m时，朝向作业区的外墙应为无门窗洞口且耐火极限不低于3.00h的实体墙。</w:t>
            </w:r>
          </w:p>
        </w:tc>
        <w:tc>
          <w:tcPr>
            <w:tcW w:w="903" w:type="pct"/>
            <w:tcBorders>
              <w:top w:val="single" w:color="auto" w:sz="6" w:space="0"/>
              <w:left w:val="single" w:color="auto" w:sz="4" w:space="0"/>
              <w:bottom w:val="single" w:color="auto" w:sz="6" w:space="0"/>
              <w:right w:val="single" w:color="auto" w:sz="4" w:space="0"/>
            </w:tcBorders>
            <w:vAlign w:val="center"/>
          </w:tcPr>
          <w:p w14:paraId="73EF9ACF">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0673827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721159E8">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5D989353">
            <w:pPr>
              <w:spacing w:line="280" w:lineRule="exact"/>
              <w:jc w:val="center"/>
              <w:rPr>
                <w:rFonts w:ascii="宋体" w:hAnsi="宋体"/>
                <w:color w:val="auto"/>
              </w:rPr>
            </w:pPr>
            <w:r>
              <w:rPr>
                <w:rFonts w:hint="eastAsia" w:ascii="宋体" w:hAnsi="宋体"/>
                <w:color w:val="auto"/>
              </w:rPr>
              <w:t>12</w:t>
            </w:r>
          </w:p>
        </w:tc>
        <w:tc>
          <w:tcPr>
            <w:tcW w:w="3402" w:type="pct"/>
            <w:tcBorders>
              <w:top w:val="single" w:color="auto" w:sz="6" w:space="0"/>
              <w:left w:val="single" w:color="auto" w:sz="8" w:space="0"/>
              <w:bottom w:val="single" w:color="auto" w:sz="6" w:space="0"/>
              <w:right w:val="single" w:color="auto" w:sz="4" w:space="0"/>
            </w:tcBorders>
            <w:vAlign w:val="center"/>
          </w:tcPr>
          <w:p w14:paraId="1421A1E7">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14.2.16</w:t>
            </w:r>
            <w:r>
              <w:rPr>
                <w:rFonts w:hint="eastAsia" w:ascii="宋体" w:hAnsi="宋体"/>
                <w:color w:val="auto"/>
              </w:rPr>
              <w:t>埋</w:t>
            </w:r>
            <w:r>
              <w:rPr>
                <w:rFonts w:ascii="宋体" w:hAnsi="宋体"/>
                <w:color w:val="auto"/>
              </w:rPr>
              <w:t>地油罐和埋地LPG储罐的操作井、位于作业区的排水井应采取防渗漏措施，位于爆炸危险区域内的操作井和排水井应有防止产生火花的措施。</w:t>
            </w:r>
          </w:p>
        </w:tc>
        <w:tc>
          <w:tcPr>
            <w:tcW w:w="903" w:type="pct"/>
            <w:tcBorders>
              <w:top w:val="single" w:color="auto" w:sz="6" w:space="0"/>
              <w:left w:val="single" w:color="auto" w:sz="4" w:space="0"/>
              <w:bottom w:val="single" w:color="auto" w:sz="6" w:space="0"/>
              <w:right w:val="single" w:color="auto" w:sz="4" w:space="0"/>
            </w:tcBorders>
            <w:vAlign w:val="center"/>
          </w:tcPr>
          <w:p w14:paraId="3ADF54C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设有相关安全措施</w:t>
            </w:r>
          </w:p>
        </w:tc>
        <w:tc>
          <w:tcPr>
            <w:tcW w:w="327" w:type="pct"/>
            <w:tcBorders>
              <w:top w:val="single" w:color="auto" w:sz="6" w:space="0"/>
              <w:left w:val="single" w:color="auto" w:sz="4" w:space="0"/>
              <w:bottom w:val="single" w:color="auto" w:sz="6" w:space="0"/>
              <w:right w:val="single" w:color="auto" w:sz="4" w:space="0"/>
            </w:tcBorders>
            <w:vAlign w:val="center"/>
          </w:tcPr>
          <w:p w14:paraId="3734F65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33A72B75">
        <w:tblPrEx>
          <w:tblCellMar>
            <w:top w:w="0" w:type="dxa"/>
            <w:left w:w="0" w:type="dxa"/>
            <w:bottom w:w="0" w:type="dxa"/>
            <w:right w:w="0" w:type="dxa"/>
          </w:tblCellMar>
        </w:tblPrEx>
        <w:trPr>
          <w:trHeight w:val="340" w:hRule="atLeast"/>
          <w:jc w:val="center"/>
        </w:trPr>
        <w:tc>
          <w:tcPr>
            <w:tcW w:w="5000" w:type="pct"/>
            <w:gridSpan w:val="4"/>
            <w:tcBorders>
              <w:top w:val="single" w:color="auto" w:sz="6" w:space="0"/>
              <w:left w:val="single" w:color="auto" w:sz="4" w:space="0"/>
              <w:bottom w:val="single" w:color="auto" w:sz="6" w:space="0"/>
              <w:right w:val="single" w:color="auto" w:sz="4" w:space="0"/>
            </w:tcBorders>
            <w:vAlign w:val="center"/>
          </w:tcPr>
          <w:p w14:paraId="698F6691">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b/>
                <w:color w:val="auto"/>
              </w:rPr>
            </w:pPr>
            <w:r>
              <w:rPr>
                <w:rFonts w:hint="eastAsia" w:ascii="宋体" w:hAnsi="宋体"/>
                <w:b/>
                <w:color w:val="auto"/>
              </w:rPr>
              <w:t>绿化</w:t>
            </w:r>
          </w:p>
        </w:tc>
      </w:tr>
      <w:tr w14:paraId="0F98214D">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82A960E">
            <w:pPr>
              <w:spacing w:line="280" w:lineRule="exact"/>
              <w:jc w:val="center"/>
              <w:rPr>
                <w:rFonts w:ascii="宋体" w:hAnsi="宋体"/>
                <w:color w:val="auto"/>
              </w:rPr>
            </w:pPr>
            <w:r>
              <w:rPr>
                <w:rFonts w:hint="eastAsia" w:ascii="宋体" w:hAnsi="宋体"/>
                <w:color w:val="auto"/>
              </w:rPr>
              <w:t>1</w:t>
            </w:r>
          </w:p>
        </w:tc>
        <w:tc>
          <w:tcPr>
            <w:tcW w:w="3402" w:type="pct"/>
            <w:tcBorders>
              <w:top w:val="single" w:color="auto" w:sz="6" w:space="0"/>
              <w:left w:val="single" w:color="auto" w:sz="8" w:space="0"/>
              <w:bottom w:val="single" w:color="auto" w:sz="6" w:space="0"/>
              <w:right w:val="single" w:color="auto" w:sz="4" w:space="0"/>
            </w:tcBorders>
            <w:vAlign w:val="center"/>
          </w:tcPr>
          <w:p w14:paraId="701034A2">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14.3.1汽车加油加气加氢站作业区内不得种植油性植物。</w:t>
            </w:r>
          </w:p>
        </w:tc>
        <w:tc>
          <w:tcPr>
            <w:tcW w:w="903" w:type="pct"/>
            <w:tcBorders>
              <w:top w:val="single" w:color="auto" w:sz="6" w:space="0"/>
              <w:left w:val="single" w:color="auto" w:sz="4" w:space="0"/>
              <w:bottom w:val="single" w:color="auto" w:sz="6" w:space="0"/>
              <w:right w:val="single" w:color="auto" w:sz="4" w:space="0"/>
            </w:tcBorders>
            <w:vAlign w:val="center"/>
          </w:tcPr>
          <w:p w14:paraId="498B3523">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未种植</w:t>
            </w:r>
            <w:r>
              <w:rPr>
                <w:rFonts w:ascii="宋体" w:hAnsi="宋体"/>
                <w:color w:val="auto"/>
              </w:rPr>
              <w:t>油性植物</w:t>
            </w:r>
          </w:p>
        </w:tc>
        <w:tc>
          <w:tcPr>
            <w:tcW w:w="327" w:type="pct"/>
            <w:tcBorders>
              <w:top w:val="single" w:color="auto" w:sz="6" w:space="0"/>
              <w:left w:val="single" w:color="auto" w:sz="4" w:space="0"/>
              <w:bottom w:val="single" w:color="auto" w:sz="6" w:space="0"/>
              <w:right w:val="single" w:color="auto" w:sz="4" w:space="0"/>
            </w:tcBorders>
            <w:vAlign w:val="center"/>
          </w:tcPr>
          <w:p w14:paraId="3A12D89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bl>
    <w:p w14:paraId="666FCB21">
      <w:pPr>
        <w:spacing w:line="600" w:lineRule="exact"/>
        <w:ind w:firstLine="570"/>
        <w:rPr>
          <w:rFonts w:ascii="宋体" w:hAnsi="宋体"/>
          <w:color w:val="auto"/>
          <w:sz w:val="30"/>
          <w:szCs w:val="30"/>
        </w:rPr>
      </w:pPr>
      <w:r>
        <w:rPr>
          <w:rFonts w:ascii="宋体" w:hAnsi="宋体"/>
          <w:color w:val="auto"/>
          <w:sz w:val="28"/>
          <w:szCs w:val="28"/>
        </w:rPr>
        <w:t>评价结论：从上</w:t>
      </w:r>
      <w:r>
        <w:rPr>
          <w:rFonts w:hint="eastAsia" w:ascii="宋体" w:hAnsi="宋体"/>
          <w:color w:val="auto"/>
          <w:sz w:val="28"/>
          <w:szCs w:val="28"/>
        </w:rPr>
        <w:t>述检查</w:t>
      </w:r>
      <w:r>
        <w:rPr>
          <w:rFonts w:ascii="宋体" w:hAnsi="宋体"/>
          <w:color w:val="auto"/>
          <w:sz w:val="28"/>
          <w:szCs w:val="28"/>
        </w:rPr>
        <w:t>表可知，</w:t>
      </w:r>
      <w:r>
        <w:rPr>
          <w:rFonts w:hint="eastAsia" w:ascii="宋体" w:hAnsi="宋体"/>
          <w:color w:val="auto"/>
          <w:spacing w:val="-6"/>
          <w:sz w:val="28"/>
          <w:szCs w:val="28"/>
        </w:rPr>
        <w:t>均符合要求</w:t>
      </w:r>
      <w:r>
        <w:rPr>
          <w:rFonts w:hint="eastAsia" w:ascii="宋体" w:hAnsi="宋体"/>
          <w:color w:val="auto"/>
          <w:sz w:val="28"/>
          <w:szCs w:val="28"/>
        </w:rPr>
        <w:t>。</w:t>
      </w:r>
      <w:bookmarkStart w:id="185" w:name="_Toc32029"/>
      <w:bookmarkStart w:id="186" w:name="_Toc13874"/>
    </w:p>
    <w:p w14:paraId="74D9B514">
      <w:pPr>
        <w:pStyle w:val="3"/>
        <w:jc w:val="center"/>
        <w:rPr>
          <w:rFonts w:ascii="宋体" w:hAnsi="宋体"/>
          <w:color w:val="auto"/>
          <w:sz w:val="30"/>
          <w:szCs w:val="30"/>
        </w:rPr>
      </w:pPr>
      <w:bookmarkStart w:id="187" w:name="_Toc2196"/>
      <w:r>
        <w:rPr>
          <w:rFonts w:hint="eastAsia" w:ascii="宋体" w:hAnsi="宋体"/>
          <w:color w:val="auto"/>
          <w:sz w:val="30"/>
          <w:szCs w:val="30"/>
        </w:rPr>
        <w:t>5.10加油站作业安全规范评价</w:t>
      </w:r>
      <w:bookmarkEnd w:id="185"/>
      <w:bookmarkEnd w:id="186"/>
      <w:bookmarkEnd w:id="187"/>
    </w:p>
    <w:p w14:paraId="1AB8ADA3">
      <w:pPr>
        <w:spacing w:line="600" w:lineRule="exact"/>
        <w:ind w:firstLine="570"/>
        <w:rPr>
          <w:rFonts w:ascii="宋体" w:hAnsi="宋体" w:cs="Times New Roman"/>
          <w:color w:val="auto"/>
          <w:sz w:val="28"/>
          <w:szCs w:val="28"/>
        </w:rPr>
      </w:pPr>
      <w:r>
        <w:rPr>
          <w:rFonts w:hint="eastAsia" w:ascii="宋体" w:hAnsi="宋体" w:cs="Times New Roman"/>
          <w:color w:val="auto"/>
          <w:sz w:val="28"/>
          <w:szCs w:val="28"/>
        </w:rPr>
        <w:t>评价小组根据《加油站作业安全规范》（</w:t>
      </w:r>
      <w:r>
        <w:rPr>
          <w:rFonts w:ascii="宋体" w:hAnsi="宋体" w:cs="Times New Roman"/>
          <w:color w:val="auto"/>
          <w:sz w:val="28"/>
          <w:szCs w:val="28"/>
        </w:rPr>
        <w:t>AQ</w:t>
      </w:r>
      <w:r>
        <w:rPr>
          <w:rFonts w:hint="eastAsia" w:ascii="宋体" w:hAnsi="宋体" w:cs="Times New Roman"/>
          <w:color w:val="auto"/>
          <w:sz w:val="28"/>
          <w:szCs w:val="28"/>
        </w:rPr>
        <w:t xml:space="preserve"> </w:t>
      </w:r>
      <w:r>
        <w:rPr>
          <w:rFonts w:ascii="宋体" w:hAnsi="宋体" w:cs="Times New Roman"/>
          <w:color w:val="auto"/>
          <w:sz w:val="28"/>
          <w:szCs w:val="28"/>
        </w:rPr>
        <w:t>3010-20</w:t>
      </w:r>
      <w:r>
        <w:rPr>
          <w:rFonts w:hint="eastAsia" w:ascii="宋体" w:hAnsi="宋体" w:cs="Times New Roman"/>
          <w:color w:val="auto"/>
          <w:sz w:val="28"/>
          <w:szCs w:val="28"/>
        </w:rPr>
        <w:t>22）制作的检查表对该加油站作业安全规范进行检查。</w:t>
      </w:r>
    </w:p>
    <w:p w14:paraId="4F1162EA">
      <w:pPr>
        <w:spacing w:line="600" w:lineRule="exact"/>
        <w:ind w:firstLine="570"/>
        <w:jc w:val="center"/>
        <w:rPr>
          <w:rFonts w:ascii="宋体" w:hAnsi="宋体" w:cs="Times New Roman"/>
          <w:color w:val="auto"/>
          <w:sz w:val="28"/>
          <w:szCs w:val="28"/>
        </w:rPr>
      </w:pPr>
      <w:r>
        <w:rPr>
          <w:rFonts w:hint="eastAsia" w:ascii="宋体" w:hAnsi="宋体" w:cs="Times New Roman"/>
          <w:color w:val="auto"/>
          <w:sz w:val="28"/>
          <w:szCs w:val="28"/>
        </w:rPr>
        <w:t>表5-3  加油站作业安全规范检查表</w:t>
      </w:r>
    </w:p>
    <w:tbl>
      <w:tblPr>
        <w:tblStyle w:val="25"/>
        <w:tblW w:w="9200" w:type="dxa"/>
        <w:jc w:val="center"/>
        <w:tblLayout w:type="fixed"/>
        <w:tblCellMar>
          <w:top w:w="0" w:type="dxa"/>
          <w:left w:w="0" w:type="dxa"/>
          <w:bottom w:w="0" w:type="dxa"/>
          <w:right w:w="0" w:type="dxa"/>
        </w:tblCellMar>
      </w:tblPr>
      <w:tblGrid>
        <w:gridCol w:w="565"/>
        <w:gridCol w:w="6310"/>
        <w:gridCol w:w="1535"/>
        <w:gridCol w:w="790"/>
      </w:tblGrid>
      <w:tr w14:paraId="0A1358CC">
        <w:tblPrEx>
          <w:tblCellMar>
            <w:top w:w="0" w:type="dxa"/>
            <w:left w:w="0" w:type="dxa"/>
            <w:bottom w:w="0" w:type="dxa"/>
            <w:right w:w="0" w:type="dxa"/>
          </w:tblCellMar>
        </w:tblPrEx>
        <w:trPr>
          <w:trHeight w:val="360" w:hRule="atLeast"/>
          <w:jc w:val="center"/>
        </w:trPr>
        <w:tc>
          <w:tcPr>
            <w:tcW w:w="9200" w:type="dxa"/>
            <w:gridSpan w:val="4"/>
            <w:tcBorders>
              <w:top w:val="single" w:color="auto" w:sz="4" w:space="0"/>
              <w:left w:val="single" w:color="auto" w:sz="4" w:space="0"/>
              <w:bottom w:val="single" w:color="auto" w:sz="8" w:space="0"/>
              <w:right w:val="single" w:color="auto" w:sz="4" w:space="0"/>
            </w:tcBorders>
            <w:vAlign w:val="center"/>
          </w:tcPr>
          <w:p w14:paraId="08584ECD">
            <w:pPr>
              <w:pStyle w:val="61"/>
              <w:spacing w:line="240" w:lineRule="auto"/>
              <w:rPr>
                <w:rFonts w:ascii="宋体" w:hAnsi="宋体" w:cs="宋体"/>
                <w:color w:val="auto"/>
              </w:rPr>
            </w:pPr>
            <w:r>
              <w:rPr>
                <w:rFonts w:hint="eastAsia" w:ascii="宋体" w:hAnsi="宋体" w:cs="宋体"/>
                <w:color w:val="auto"/>
              </w:rPr>
              <w:t>一、卸油作业</w:t>
            </w:r>
          </w:p>
        </w:tc>
      </w:tr>
      <w:tr w14:paraId="0E4BB81C">
        <w:tblPrEx>
          <w:tblCellMar>
            <w:top w:w="0" w:type="dxa"/>
            <w:left w:w="0" w:type="dxa"/>
            <w:bottom w:w="0" w:type="dxa"/>
            <w:right w:w="0" w:type="dxa"/>
          </w:tblCellMar>
        </w:tblPrEx>
        <w:trPr>
          <w:trHeight w:val="373"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5719550">
            <w:pPr>
              <w:pStyle w:val="61"/>
              <w:spacing w:line="240" w:lineRule="auto"/>
              <w:rPr>
                <w:rFonts w:ascii="宋体" w:hAnsi="宋体" w:cs="宋体"/>
                <w:color w:val="auto"/>
              </w:rPr>
            </w:pPr>
            <w:r>
              <w:rPr>
                <w:rFonts w:hint="eastAsia" w:ascii="宋体" w:hAnsi="宋体" w:cs="宋体"/>
                <w:color w:val="auto"/>
              </w:rPr>
              <w:t>序号</w:t>
            </w:r>
          </w:p>
        </w:tc>
        <w:tc>
          <w:tcPr>
            <w:tcW w:w="6310" w:type="dxa"/>
            <w:tcBorders>
              <w:top w:val="single" w:color="auto" w:sz="8" w:space="0"/>
              <w:left w:val="single" w:color="auto" w:sz="8" w:space="0"/>
              <w:bottom w:val="single" w:color="auto" w:sz="8" w:space="0"/>
              <w:right w:val="single" w:color="auto" w:sz="4" w:space="0"/>
            </w:tcBorders>
            <w:vAlign w:val="center"/>
          </w:tcPr>
          <w:p w14:paraId="6F1F7C52">
            <w:pPr>
              <w:pStyle w:val="61"/>
              <w:spacing w:line="240" w:lineRule="auto"/>
              <w:rPr>
                <w:rFonts w:ascii="宋体" w:hAnsi="宋体" w:cs="宋体"/>
                <w:color w:val="auto"/>
              </w:rPr>
            </w:pPr>
            <w:r>
              <w:rPr>
                <w:rFonts w:hint="eastAsia" w:ascii="宋体" w:hAnsi="宋体" w:cs="宋体"/>
                <w:color w:val="auto"/>
              </w:rPr>
              <w:t>检查内容</w:t>
            </w:r>
          </w:p>
        </w:tc>
        <w:tc>
          <w:tcPr>
            <w:tcW w:w="1535" w:type="dxa"/>
            <w:tcBorders>
              <w:top w:val="single" w:color="auto" w:sz="4" w:space="0"/>
              <w:left w:val="nil"/>
              <w:bottom w:val="single" w:color="auto" w:sz="4" w:space="0"/>
              <w:right w:val="single" w:color="auto" w:sz="4" w:space="0"/>
            </w:tcBorders>
            <w:vAlign w:val="center"/>
          </w:tcPr>
          <w:p w14:paraId="067276D7">
            <w:pPr>
              <w:pStyle w:val="61"/>
              <w:spacing w:line="240" w:lineRule="auto"/>
              <w:rPr>
                <w:rFonts w:ascii="宋体" w:hAnsi="宋体" w:cs="宋体"/>
                <w:color w:val="auto"/>
              </w:rPr>
            </w:pPr>
            <w:r>
              <w:rPr>
                <w:rFonts w:hint="eastAsia" w:ascii="宋体" w:hAnsi="宋体" w:cs="宋体"/>
                <w:color w:val="auto"/>
              </w:rPr>
              <w:t>检查记录</w:t>
            </w:r>
          </w:p>
        </w:tc>
        <w:tc>
          <w:tcPr>
            <w:tcW w:w="790" w:type="dxa"/>
            <w:tcBorders>
              <w:top w:val="single" w:color="auto" w:sz="4" w:space="0"/>
              <w:left w:val="nil"/>
              <w:bottom w:val="single" w:color="auto" w:sz="4" w:space="0"/>
              <w:right w:val="single" w:color="auto" w:sz="4" w:space="0"/>
            </w:tcBorders>
            <w:vAlign w:val="center"/>
          </w:tcPr>
          <w:p w14:paraId="73D0A8C2">
            <w:pPr>
              <w:pStyle w:val="61"/>
              <w:spacing w:line="240" w:lineRule="auto"/>
              <w:rPr>
                <w:rFonts w:ascii="宋体" w:hAnsi="宋体" w:cs="宋体"/>
                <w:color w:val="auto"/>
              </w:rPr>
            </w:pPr>
            <w:r>
              <w:rPr>
                <w:rFonts w:hint="eastAsia" w:ascii="宋体" w:hAnsi="宋体" w:cs="宋体"/>
                <w:color w:val="auto"/>
              </w:rPr>
              <w:t>结论</w:t>
            </w:r>
          </w:p>
        </w:tc>
      </w:tr>
      <w:tr w14:paraId="175548B4">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470C6FE">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45B3D05E">
            <w:pPr>
              <w:pStyle w:val="61"/>
              <w:spacing w:line="240" w:lineRule="auto"/>
              <w:rPr>
                <w:rFonts w:ascii="宋体" w:hAnsi="宋体" w:cs="宋体"/>
                <w:color w:val="auto"/>
              </w:rPr>
            </w:pPr>
            <w:r>
              <w:rPr>
                <w:rFonts w:hint="eastAsia" w:ascii="宋体" w:hAnsi="宋体" w:cs="宋体"/>
                <w:color w:val="auto"/>
              </w:rPr>
              <w:t>基本要求</w:t>
            </w:r>
          </w:p>
        </w:tc>
        <w:tc>
          <w:tcPr>
            <w:tcW w:w="1535" w:type="dxa"/>
            <w:tcBorders>
              <w:top w:val="single" w:color="auto" w:sz="4" w:space="0"/>
              <w:left w:val="nil"/>
              <w:bottom w:val="single" w:color="auto" w:sz="4" w:space="0"/>
              <w:right w:val="single" w:color="auto" w:sz="4" w:space="0"/>
            </w:tcBorders>
            <w:vAlign w:val="center"/>
          </w:tcPr>
          <w:p w14:paraId="286FC091">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5A983A0A">
            <w:pPr>
              <w:pStyle w:val="61"/>
              <w:spacing w:line="240" w:lineRule="auto"/>
              <w:rPr>
                <w:rFonts w:ascii="宋体" w:hAnsi="宋体" w:cs="宋体"/>
                <w:color w:val="auto"/>
              </w:rPr>
            </w:pPr>
          </w:p>
        </w:tc>
      </w:tr>
      <w:tr w14:paraId="3C70155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09A8105">
            <w:pPr>
              <w:pStyle w:val="61"/>
              <w:spacing w:line="240" w:lineRule="auto"/>
              <w:rPr>
                <w:rFonts w:ascii="宋体" w:hAnsi="宋体" w:cs="宋体"/>
                <w:color w:val="auto"/>
              </w:rPr>
            </w:pPr>
            <w:r>
              <w:rPr>
                <w:rFonts w:hint="eastAsia" w:ascii="宋体" w:hAnsi="宋体" w:cs="宋体"/>
                <w:color w:val="auto"/>
              </w:rPr>
              <w:t>1.1</w:t>
            </w:r>
          </w:p>
        </w:tc>
        <w:tc>
          <w:tcPr>
            <w:tcW w:w="6310" w:type="dxa"/>
            <w:tcBorders>
              <w:top w:val="single" w:color="auto" w:sz="8" w:space="0"/>
              <w:left w:val="single" w:color="auto" w:sz="8" w:space="0"/>
              <w:bottom w:val="single" w:color="auto" w:sz="8" w:space="0"/>
              <w:right w:val="single" w:color="auto" w:sz="4" w:space="0"/>
            </w:tcBorders>
            <w:vAlign w:val="center"/>
          </w:tcPr>
          <w:p w14:paraId="5398E255">
            <w:pPr>
              <w:pStyle w:val="61"/>
              <w:spacing w:line="240" w:lineRule="auto"/>
              <w:jc w:val="left"/>
              <w:rPr>
                <w:rFonts w:ascii="宋体" w:hAnsi="宋体" w:cs="宋体"/>
                <w:color w:val="auto"/>
              </w:rPr>
            </w:pPr>
            <w:r>
              <w:rPr>
                <w:rFonts w:hint="eastAsia" w:ascii="宋体" w:hAnsi="宋体" w:cs="宋体"/>
                <w:color w:val="auto"/>
              </w:rPr>
              <w:t>应具备密闭卸油的条件。</w:t>
            </w:r>
          </w:p>
        </w:tc>
        <w:tc>
          <w:tcPr>
            <w:tcW w:w="1535" w:type="dxa"/>
            <w:tcBorders>
              <w:top w:val="single" w:color="auto" w:sz="4" w:space="0"/>
              <w:left w:val="nil"/>
              <w:bottom w:val="single" w:color="auto" w:sz="4" w:space="0"/>
              <w:right w:val="single" w:color="auto" w:sz="4" w:space="0"/>
            </w:tcBorders>
            <w:vAlign w:val="center"/>
          </w:tcPr>
          <w:p w14:paraId="77D66701">
            <w:pPr>
              <w:pStyle w:val="61"/>
              <w:spacing w:line="240" w:lineRule="auto"/>
              <w:rPr>
                <w:rFonts w:ascii="宋体" w:hAnsi="宋体" w:cs="宋体"/>
                <w:color w:val="auto"/>
              </w:rPr>
            </w:pPr>
            <w:r>
              <w:rPr>
                <w:rFonts w:hint="eastAsia" w:ascii="宋体" w:hAnsi="宋体" w:cs="宋体"/>
                <w:color w:val="auto"/>
              </w:rPr>
              <w:t>具备</w:t>
            </w:r>
          </w:p>
        </w:tc>
        <w:tc>
          <w:tcPr>
            <w:tcW w:w="790" w:type="dxa"/>
            <w:tcBorders>
              <w:top w:val="single" w:color="auto" w:sz="4" w:space="0"/>
              <w:left w:val="nil"/>
              <w:bottom w:val="single" w:color="auto" w:sz="4" w:space="0"/>
              <w:right w:val="single" w:color="auto" w:sz="4" w:space="0"/>
            </w:tcBorders>
            <w:vAlign w:val="center"/>
          </w:tcPr>
          <w:p w14:paraId="5991491A">
            <w:pPr>
              <w:pStyle w:val="61"/>
              <w:spacing w:line="240" w:lineRule="auto"/>
              <w:rPr>
                <w:rFonts w:ascii="宋体" w:hAnsi="宋体" w:cs="宋体"/>
                <w:color w:val="auto"/>
              </w:rPr>
            </w:pPr>
            <w:r>
              <w:rPr>
                <w:rFonts w:hint="eastAsia" w:ascii="宋体" w:hAnsi="宋体" w:cs="宋体"/>
                <w:color w:val="auto"/>
              </w:rPr>
              <w:t>符合</w:t>
            </w:r>
          </w:p>
        </w:tc>
      </w:tr>
      <w:tr w14:paraId="2EDA706F">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80B1F4D">
            <w:pPr>
              <w:pStyle w:val="61"/>
              <w:spacing w:line="240" w:lineRule="auto"/>
              <w:rPr>
                <w:rFonts w:ascii="宋体" w:hAnsi="宋体" w:cs="宋体"/>
                <w:color w:val="auto"/>
              </w:rPr>
            </w:pPr>
            <w:r>
              <w:rPr>
                <w:rFonts w:hint="eastAsia" w:ascii="宋体" w:hAnsi="宋体" w:cs="宋体"/>
                <w:color w:val="auto"/>
              </w:rPr>
              <w:t>1.2</w:t>
            </w:r>
          </w:p>
        </w:tc>
        <w:tc>
          <w:tcPr>
            <w:tcW w:w="6310" w:type="dxa"/>
            <w:tcBorders>
              <w:top w:val="single" w:color="auto" w:sz="8" w:space="0"/>
              <w:left w:val="single" w:color="auto" w:sz="8" w:space="0"/>
              <w:bottom w:val="single" w:color="auto" w:sz="8" w:space="0"/>
              <w:right w:val="single" w:color="auto" w:sz="4" w:space="0"/>
            </w:tcBorders>
            <w:vAlign w:val="center"/>
          </w:tcPr>
          <w:p w14:paraId="361ED3E1">
            <w:pPr>
              <w:pStyle w:val="61"/>
              <w:spacing w:line="240" w:lineRule="auto"/>
              <w:jc w:val="left"/>
              <w:rPr>
                <w:rFonts w:ascii="宋体" w:hAnsi="宋体" w:cs="宋体"/>
                <w:color w:val="auto"/>
              </w:rPr>
            </w:pPr>
            <w:r>
              <w:rPr>
                <w:rFonts w:hint="eastAsia" w:ascii="宋体" w:hAnsi="宋体" w:cs="宋体"/>
                <w:color w:val="auto"/>
              </w:rPr>
              <w:t>防雷防静电接地设施完好。</w:t>
            </w:r>
          </w:p>
        </w:tc>
        <w:tc>
          <w:tcPr>
            <w:tcW w:w="1535" w:type="dxa"/>
            <w:tcBorders>
              <w:top w:val="single" w:color="auto" w:sz="4" w:space="0"/>
              <w:left w:val="nil"/>
              <w:bottom w:val="single" w:color="auto" w:sz="4" w:space="0"/>
              <w:right w:val="single" w:color="auto" w:sz="4" w:space="0"/>
            </w:tcBorders>
            <w:vAlign w:val="center"/>
          </w:tcPr>
          <w:p w14:paraId="2C0951E2">
            <w:pPr>
              <w:pStyle w:val="61"/>
              <w:spacing w:line="240" w:lineRule="auto"/>
              <w:rPr>
                <w:rFonts w:ascii="宋体" w:hAnsi="宋体" w:cs="宋体"/>
                <w:color w:val="auto"/>
              </w:rPr>
            </w:pPr>
            <w:r>
              <w:rPr>
                <w:rFonts w:hint="eastAsia" w:ascii="宋体" w:hAnsi="宋体" w:cs="宋体"/>
                <w:color w:val="auto"/>
              </w:rPr>
              <w:t>经检测完好</w:t>
            </w:r>
          </w:p>
        </w:tc>
        <w:tc>
          <w:tcPr>
            <w:tcW w:w="790" w:type="dxa"/>
            <w:tcBorders>
              <w:top w:val="single" w:color="auto" w:sz="4" w:space="0"/>
              <w:left w:val="nil"/>
              <w:bottom w:val="single" w:color="auto" w:sz="4" w:space="0"/>
              <w:right w:val="single" w:color="auto" w:sz="4" w:space="0"/>
            </w:tcBorders>
            <w:vAlign w:val="center"/>
          </w:tcPr>
          <w:p w14:paraId="409C2DFC">
            <w:pPr>
              <w:pStyle w:val="61"/>
              <w:spacing w:line="240" w:lineRule="auto"/>
              <w:rPr>
                <w:rFonts w:ascii="宋体" w:hAnsi="宋体" w:cs="宋体"/>
                <w:color w:val="auto"/>
              </w:rPr>
            </w:pPr>
            <w:r>
              <w:rPr>
                <w:rFonts w:hint="eastAsia" w:ascii="宋体" w:hAnsi="宋体" w:cs="宋体"/>
                <w:color w:val="auto"/>
              </w:rPr>
              <w:t>符合</w:t>
            </w:r>
          </w:p>
        </w:tc>
      </w:tr>
      <w:tr w14:paraId="26B82A68">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3E265C6">
            <w:pPr>
              <w:pStyle w:val="61"/>
              <w:spacing w:line="240" w:lineRule="auto"/>
              <w:rPr>
                <w:rFonts w:ascii="宋体" w:hAnsi="宋体" w:cs="宋体"/>
                <w:color w:val="auto"/>
              </w:rPr>
            </w:pPr>
            <w:r>
              <w:rPr>
                <w:rFonts w:hint="eastAsia" w:ascii="宋体" w:hAnsi="宋体" w:cs="宋体"/>
                <w:color w:val="auto"/>
              </w:rPr>
              <w:t>1.3</w:t>
            </w:r>
          </w:p>
        </w:tc>
        <w:tc>
          <w:tcPr>
            <w:tcW w:w="6310" w:type="dxa"/>
            <w:tcBorders>
              <w:top w:val="single" w:color="auto" w:sz="8" w:space="0"/>
              <w:left w:val="single" w:color="auto" w:sz="8" w:space="0"/>
              <w:bottom w:val="single" w:color="auto" w:sz="8" w:space="0"/>
              <w:right w:val="single" w:color="auto" w:sz="4" w:space="0"/>
            </w:tcBorders>
            <w:vAlign w:val="center"/>
          </w:tcPr>
          <w:p w14:paraId="780AD573">
            <w:pPr>
              <w:pStyle w:val="61"/>
              <w:spacing w:line="240" w:lineRule="auto"/>
              <w:jc w:val="left"/>
              <w:rPr>
                <w:rFonts w:ascii="宋体" w:hAnsi="宋体" w:cs="宋体"/>
                <w:color w:val="auto"/>
              </w:rPr>
            </w:pPr>
            <w:r>
              <w:rPr>
                <w:rFonts w:hint="eastAsia" w:ascii="宋体" w:hAnsi="宋体" w:cs="宋体"/>
                <w:color w:val="auto"/>
              </w:rPr>
              <w:t>油罐车排气管应安装阻火帽。</w:t>
            </w:r>
          </w:p>
        </w:tc>
        <w:tc>
          <w:tcPr>
            <w:tcW w:w="1535" w:type="dxa"/>
            <w:tcBorders>
              <w:top w:val="single" w:color="auto" w:sz="4" w:space="0"/>
              <w:left w:val="nil"/>
              <w:bottom w:val="single" w:color="auto" w:sz="4" w:space="0"/>
              <w:right w:val="single" w:color="auto" w:sz="4" w:space="0"/>
            </w:tcBorders>
            <w:vAlign w:val="center"/>
          </w:tcPr>
          <w:p w14:paraId="6A57C4D3">
            <w:pPr>
              <w:pStyle w:val="61"/>
              <w:spacing w:line="240" w:lineRule="auto"/>
              <w:rPr>
                <w:rFonts w:ascii="宋体" w:hAnsi="宋体" w:cs="宋体"/>
                <w:color w:val="auto"/>
              </w:rPr>
            </w:pPr>
            <w:r>
              <w:rPr>
                <w:rFonts w:hint="eastAsia" w:ascii="宋体" w:hAnsi="宋体" w:cs="宋体"/>
                <w:color w:val="auto"/>
              </w:rPr>
              <w:t>油罐车装有阻火器</w:t>
            </w:r>
          </w:p>
        </w:tc>
        <w:tc>
          <w:tcPr>
            <w:tcW w:w="790" w:type="dxa"/>
            <w:tcBorders>
              <w:top w:val="single" w:color="auto" w:sz="4" w:space="0"/>
              <w:left w:val="nil"/>
              <w:bottom w:val="single" w:color="auto" w:sz="4" w:space="0"/>
              <w:right w:val="single" w:color="auto" w:sz="4" w:space="0"/>
            </w:tcBorders>
            <w:vAlign w:val="center"/>
          </w:tcPr>
          <w:p w14:paraId="3C72CCCC">
            <w:pPr>
              <w:pStyle w:val="61"/>
              <w:spacing w:line="240" w:lineRule="auto"/>
              <w:rPr>
                <w:rFonts w:ascii="宋体" w:hAnsi="宋体" w:cs="宋体"/>
                <w:color w:val="auto"/>
              </w:rPr>
            </w:pPr>
            <w:r>
              <w:rPr>
                <w:rFonts w:hint="eastAsia" w:ascii="宋体" w:hAnsi="宋体" w:cs="宋体"/>
                <w:color w:val="auto"/>
              </w:rPr>
              <w:t>符合</w:t>
            </w:r>
          </w:p>
        </w:tc>
      </w:tr>
      <w:tr w14:paraId="77D93F2C">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6276DD3">
            <w:pPr>
              <w:pStyle w:val="61"/>
              <w:spacing w:line="240" w:lineRule="auto"/>
              <w:rPr>
                <w:rFonts w:ascii="宋体" w:hAnsi="宋体" w:cs="宋体"/>
                <w:color w:val="auto"/>
              </w:rPr>
            </w:pPr>
            <w:r>
              <w:rPr>
                <w:rFonts w:hint="eastAsia" w:ascii="宋体" w:hAnsi="宋体" w:cs="宋体"/>
                <w:color w:val="auto"/>
              </w:rPr>
              <w:t>1.4</w:t>
            </w:r>
          </w:p>
        </w:tc>
        <w:tc>
          <w:tcPr>
            <w:tcW w:w="6310" w:type="dxa"/>
            <w:tcBorders>
              <w:top w:val="single" w:color="auto" w:sz="8" w:space="0"/>
              <w:left w:val="single" w:color="auto" w:sz="8" w:space="0"/>
              <w:bottom w:val="single" w:color="auto" w:sz="8" w:space="0"/>
              <w:right w:val="single" w:color="auto" w:sz="4" w:space="0"/>
            </w:tcBorders>
            <w:vAlign w:val="center"/>
          </w:tcPr>
          <w:p w14:paraId="18BD7B7D">
            <w:pPr>
              <w:pStyle w:val="61"/>
              <w:spacing w:line="240" w:lineRule="auto"/>
              <w:jc w:val="left"/>
              <w:rPr>
                <w:rFonts w:ascii="宋体" w:hAnsi="宋体" w:cs="宋体"/>
                <w:color w:val="auto"/>
              </w:rPr>
            </w:pPr>
            <w:r>
              <w:rPr>
                <w:rFonts w:hint="eastAsia" w:ascii="宋体" w:hAnsi="宋体" w:cs="宋体"/>
                <w:color w:val="auto"/>
              </w:rPr>
              <w:t>卸油作业现场应至少配备2具手提式干粉灭火器和2块灭火毯等应急救援物资。</w:t>
            </w:r>
          </w:p>
        </w:tc>
        <w:tc>
          <w:tcPr>
            <w:tcW w:w="1535" w:type="dxa"/>
            <w:tcBorders>
              <w:top w:val="single" w:color="auto" w:sz="4" w:space="0"/>
              <w:left w:val="nil"/>
              <w:bottom w:val="single" w:color="auto" w:sz="4" w:space="0"/>
              <w:right w:val="single" w:color="auto" w:sz="4" w:space="0"/>
            </w:tcBorders>
            <w:vAlign w:val="center"/>
          </w:tcPr>
          <w:p w14:paraId="29AC7BAB">
            <w:pPr>
              <w:pStyle w:val="61"/>
              <w:spacing w:line="240" w:lineRule="auto"/>
              <w:rPr>
                <w:rFonts w:ascii="宋体" w:hAnsi="宋体" w:cs="宋体"/>
                <w:color w:val="auto"/>
              </w:rPr>
            </w:pPr>
            <w:r>
              <w:rPr>
                <w:rFonts w:hint="eastAsia" w:ascii="宋体" w:hAnsi="宋体" w:cs="宋体"/>
                <w:color w:val="auto"/>
              </w:rPr>
              <w:t>应急救援物资配备齐全</w:t>
            </w:r>
          </w:p>
        </w:tc>
        <w:tc>
          <w:tcPr>
            <w:tcW w:w="790" w:type="dxa"/>
            <w:tcBorders>
              <w:top w:val="single" w:color="auto" w:sz="4" w:space="0"/>
              <w:left w:val="nil"/>
              <w:bottom w:val="single" w:color="auto" w:sz="4" w:space="0"/>
              <w:right w:val="single" w:color="auto" w:sz="4" w:space="0"/>
            </w:tcBorders>
            <w:vAlign w:val="center"/>
          </w:tcPr>
          <w:p w14:paraId="137873C4">
            <w:pPr>
              <w:pStyle w:val="61"/>
              <w:spacing w:line="240" w:lineRule="auto"/>
              <w:rPr>
                <w:rFonts w:ascii="宋体" w:hAnsi="宋体" w:cs="宋体"/>
                <w:color w:val="auto"/>
              </w:rPr>
            </w:pPr>
            <w:r>
              <w:rPr>
                <w:rFonts w:hint="eastAsia" w:ascii="宋体" w:hAnsi="宋体" w:cs="宋体"/>
                <w:color w:val="auto"/>
              </w:rPr>
              <w:t>符合</w:t>
            </w:r>
          </w:p>
        </w:tc>
      </w:tr>
      <w:tr w14:paraId="251BEB8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15C5A9E">
            <w:pPr>
              <w:pStyle w:val="61"/>
              <w:spacing w:line="240" w:lineRule="auto"/>
              <w:rPr>
                <w:rFonts w:ascii="宋体" w:hAnsi="宋体" w:cs="宋体"/>
                <w:color w:val="auto"/>
              </w:rPr>
            </w:pPr>
            <w:r>
              <w:rPr>
                <w:rFonts w:hint="eastAsia" w:ascii="宋体" w:hAnsi="宋体" w:cs="宋体"/>
                <w:color w:val="auto"/>
              </w:rPr>
              <w:t>1.5</w:t>
            </w:r>
          </w:p>
        </w:tc>
        <w:tc>
          <w:tcPr>
            <w:tcW w:w="6310" w:type="dxa"/>
            <w:tcBorders>
              <w:top w:val="single" w:color="auto" w:sz="8" w:space="0"/>
              <w:left w:val="single" w:color="auto" w:sz="8" w:space="0"/>
              <w:bottom w:val="single" w:color="auto" w:sz="8" w:space="0"/>
              <w:right w:val="single" w:color="auto" w:sz="4" w:space="0"/>
            </w:tcBorders>
            <w:vAlign w:val="center"/>
          </w:tcPr>
          <w:p w14:paraId="5CF1D41B">
            <w:pPr>
              <w:pStyle w:val="61"/>
              <w:spacing w:line="240" w:lineRule="auto"/>
              <w:jc w:val="left"/>
              <w:rPr>
                <w:rFonts w:ascii="宋体" w:hAnsi="宋体" w:cs="宋体"/>
                <w:color w:val="auto"/>
              </w:rPr>
            </w:pPr>
            <w:r>
              <w:rPr>
                <w:rFonts w:hint="eastAsia" w:ascii="宋体" w:hAnsi="宋体" w:cs="宋体"/>
                <w:color w:val="auto"/>
              </w:rPr>
              <w:t>油罐车宜采用液位差自流方式卸油。</w:t>
            </w:r>
          </w:p>
        </w:tc>
        <w:tc>
          <w:tcPr>
            <w:tcW w:w="1535" w:type="dxa"/>
            <w:tcBorders>
              <w:top w:val="single" w:color="auto" w:sz="4" w:space="0"/>
              <w:left w:val="nil"/>
              <w:bottom w:val="single" w:color="auto" w:sz="4" w:space="0"/>
              <w:right w:val="single" w:color="auto" w:sz="4" w:space="0"/>
            </w:tcBorders>
            <w:vAlign w:val="center"/>
          </w:tcPr>
          <w:p w14:paraId="1EE436BF">
            <w:pPr>
              <w:pStyle w:val="61"/>
              <w:spacing w:line="240" w:lineRule="auto"/>
              <w:rPr>
                <w:rFonts w:ascii="宋体" w:hAnsi="宋体" w:cs="宋体"/>
                <w:color w:val="auto"/>
              </w:rPr>
            </w:pPr>
            <w:r>
              <w:rPr>
                <w:rFonts w:hint="eastAsia" w:ascii="宋体" w:hAnsi="宋体" w:cs="宋体"/>
                <w:color w:val="auto"/>
              </w:rPr>
              <w:t>埋地罐以液位差自流方式卸油</w:t>
            </w:r>
          </w:p>
        </w:tc>
        <w:tc>
          <w:tcPr>
            <w:tcW w:w="790" w:type="dxa"/>
            <w:tcBorders>
              <w:top w:val="single" w:color="auto" w:sz="4" w:space="0"/>
              <w:left w:val="nil"/>
              <w:bottom w:val="single" w:color="auto" w:sz="4" w:space="0"/>
              <w:right w:val="single" w:color="auto" w:sz="4" w:space="0"/>
            </w:tcBorders>
            <w:vAlign w:val="center"/>
          </w:tcPr>
          <w:p w14:paraId="2923F554">
            <w:pPr>
              <w:pStyle w:val="61"/>
              <w:spacing w:line="240" w:lineRule="auto"/>
              <w:rPr>
                <w:rFonts w:ascii="宋体" w:hAnsi="宋体" w:cs="宋体"/>
                <w:color w:val="auto"/>
              </w:rPr>
            </w:pPr>
            <w:r>
              <w:rPr>
                <w:rFonts w:hint="eastAsia" w:ascii="宋体" w:hAnsi="宋体" w:cs="宋体"/>
                <w:color w:val="auto"/>
              </w:rPr>
              <w:t>符合</w:t>
            </w:r>
          </w:p>
        </w:tc>
      </w:tr>
      <w:tr w14:paraId="42B8B6CA">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BA5CC70">
            <w:pPr>
              <w:pStyle w:val="61"/>
              <w:spacing w:line="240" w:lineRule="auto"/>
              <w:rPr>
                <w:rFonts w:ascii="宋体" w:hAnsi="宋体" w:cs="宋体"/>
                <w:color w:val="auto"/>
              </w:rPr>
            </w:pPr>
            <w:r>
              <w:rPr>
                <w:rFonts w:hint="eastAsia" w:ascii="宋体" w:hAnsi="宋体" w:cs="宋体"/>
                <w:color w:val="auto"/>
              </w:rPr>
              <w:t>1.6</w:t>
            </w:r>
          </w:p>
        </w:tc>
        <w:tc>
          <w:tcPr>
            <w:tcW w:w="6310" w:type="dxa"/>
            <w:tcBorders>
              <w:top w:val="single" w:color="auto" w:sz="8" w:space="0"/>
              <w:left w:val="single" w:color="auto" w:sz="8" w:space="0"/>
              <w:bottom w:val="single" w:color="auto" w:sz="8" w:space="0"/>
              <w:right w:val="single" w:color="auto" w:sz="4" w:space="0"/>
            </w:tcBorders>
            <w:vAlign w:val="center"/>
          </w:tcPr>
          <w:p w14:paraId="6F0E7286">
            <w:pPr>
              <w:pStyle w:val="61"/>
              <w:spacing w:line="240" w:lineRule="auto"/>
              <w:jc w:val="left"/>
              <w:rPr>
                <w:rFonts w:ascii="宋体" w:hAnsi="宋体" w:cs="宋体"/>
                <w:color w:val="auto"/>
              </w:rPr>
            </w:pPr>
            <w:r>
              <w:rPr>
                <w:rFonts w:hint="eastAsia" w:ascii="宋体" w:hAnsi="宋体" w:cs="宋体"/>
                <w:color w:val="auto"/>
              </w:rPr>
              <w:t>卸油作业区的辅助设施应具有防静电措施；进入卸油区作业的人员，应先通过具有报警功能的人体静电释放装置消除静电。</w:t>
            </w:r>
          </w:p>
        </w:tc>
        <w:tc>
          <w:tcPr>
            <w:tcW w:w="1535" w:type="dxa"/>
            <w:tcBorders>
              <w:top w:val="single" w:color="auto" w:sz="4" w:space="0"/>
              <w:left w:val="nil"/>
              <w:bottom w:val="single" w:color="auto" w:sz="4" w:space="0"/>
              <w:right w:val="single" w:color="auto" w:sz="4" w:space="0"/>
            </w:tcBorders>
            <w:vAlign w:val="center"/>
          </w:tcPr>
          <w:p w14:paraId="26ECCB7A">
            <w:pPr>
              <w:pStyle w:val="61"/>
              <w:spacing w:line="240" w:lineRule="auto"/>
              <w:jc w:val="both"/>
              <w:rPr>
                <w:rFonts w:ascii="宋体" w:hAnsi="宋体" w:cs="宋体"/>
                <w:color w:val="auto"/>
              </w:rPr>
            </w:pPr>
            <w:r>
              <w:rPr>
                <w:rFonts w:hint="eastAsia" w:ascii="宋体" w:hAnsi="宋体" w:cs="宋体"/>
                <w:color w:val="auto"/>
              </w:rPr>
              <w:t>设有防静电接地跨接和人体静电释放装置</w:t>
            </w:r>
          </w:p>
        </w:tc>
        <w:tc>
          <w:tcPr>
            <w:tcW w:w="790" w:type="dxa"/>
            <w:tcBorders>
              <w:top w:val="single" w:color="auto" w:sz="4" w:space="0"/>
              <w:left w:val="nil"/>
              <w:bottom w:val="single" w:color="auto" w:sz="4" w:space="0"/>
              <w:right w:val="single" w:color="auto" w:sz="4" w:space="0"/>
            </w:tcBorders>
            <w:vAlign w:val="center"/>
          </w:tcPr>
          <w:p w14:paraId="65B742C7">
            <w:pPr>
              <w:pStyle w:val="61"/>
              <w:spacing w:line="240" w:lineRule="auto"/>
              <w:rPr>
                <w:rFonts w:ascii="宋体" w:hAnsi="宋体" w:cs="宋体"/>
                <w:color w:val="auto"/>
              </w:rPr>
            </w:pPr>
            <w:r>
              <w:rPr>
                <w:rFonts w:hint="eastAsia" w:ascii="宋体" w:hAnsi="宋体" w:cs="宋体"/>
                <w:color w:val="auto"/>
              </w:rPr>
              <w:t>符合</w:t>
            </w:r>
          </w:p>
        </w:tc>
      </w:tr>
      <w:tr w14:paraId="03E3CE9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8662EA0">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1240ACC8">
            <w:pPr>
              <w:pStyle w:val="61"/>
              <w:spacing w:line="240" w:lineRule="auto"/>
              <w:rPr>
                <w:rFonts w:ascii="宋体" w:hAnsi="宋体" w:cs="宋体"/>
                <w:color w:val="auto"/>
              </w:rPr>
            </w:pPr>
            <w:r>
              <w:rPr>
                <w:rFonts w:hint="eastAsia" w:ascii="宋体" w:hAnsi="宋体" w:cs="宋体"/>
                <w:color w:val="auto"/>
              </w:rPr>
              <w:t>卸油</w:t>
            </w:r>
          </w:p>
        </w:tc>
        <w:tc>
          <w:tcPr>
            <w:tcW w:w="1535" w:type="dxa"/>
            <w:tcBorders>
              <w:top w:val="single" w:color="auto" w:sz="4" w:space="0"/>
              <w:left w:val="nil"/>
              <w:bottom w:val="single" w:color="auto" w:sz="4" w:space="0"/>
              <w:right w:val="single" w:color="auto" w:sz="4" w:space="0"/>
            </w:tcBorders>
            <w:vAlign w:val="center"/>
          </w:tcPr>
          <w:p w14:paraId="04364BD3">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6C4E97A9">
            <w:pPr>
              <w:pStyle w:val="61"/>
              <w:spacing w:line="240" w:lineRule="auto"/>
              <w:rPr>
                <w:rFonts w:ascii="宋体" w:hAnsi="宋体" w:cs="宋体"/>
                <w:color w:val="auto"/>
              </w:rPr>
            </w:pPr>
          </w:p>
        </w:tc>
      </w:tr>
      <w:tr w14:paraId="54AC7CE8">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849CAB7">
            <w:pPr>
              <w:pStyle w:val="61"/>
              <w:spacing w:line="240" w:lineRule="auto"/>
              <w:rPr>
                <w:rFonts w:ascii="宋体" w:hAnsi="宋体" w:cs="宋体"/>
                <w:color w:val="auto"/>
              </w:rPr>
            </w:pPr>
            <w:r>
              <w:rPr>
                <w:rFonts w:hint="eastAsia" w:ascii="宋体" w:hAnsi="宋体" w:cs="宋体"/>
                <w:color w:val="auto"/>
              </w:rPr>
              <w:t>2.1</w:t>
            </w:r>
          </w:p>
        </w:tc>
        <w:tc>
          <w:tcPr>
            <w:tcW w:w="6310" w:type="dxa"/>
            <w:tcBorders>
              <w:top w:val="single" w:color="auto" w:sz="8" w:space="0"/>
              <w:left w:val="single" w:color="auto" w:sz="8" w:space="0"/>
              <w:bottom w:val="single" w:color="auto" w:sz="8" w:space="0"/>
              <w:right w:val="single" w:color="auto" w:sz="4" w:space="0"/>
            </w:tcBorders>
            <w:vAlign w:val="center"/>
          </w:tcPr>
          <w:p w14:paraId="340EAA55">
            <w:pPr>
              <w:pStyle w:val="61"/>
              <w:spacing w:line="240" w:lineRule="auto"/>
              <w:jc w:val="left"/>
              <w:rPr>
                <w:rFonts w:ascii="宋体" w:hAnsi="宋体" w:cs="宋体"/>
                <w:color w:val="auto"/>
              </w:rPr>
            </w:pPr>
            <w:r>
              <w:rPr>
                <w:rFonts w:hint="eastAsia" w:ascii="宋体" w:hAnsi="宋体" w:cs="宋体"/>
                <w:color w:val="auto"/>
              </w:rPr>
              <w:t>加油站人员应在确认油罐车无油品滴漏后，方可引导油罐车进入卸油作业区，油罐车在站内车速不应大于5km/h。</w:t>
            </w:r>
          </w:p>
        </w:tc>
        <w:tc>
          <w:tcPr>
            <w:tcW w:w="1535" w:type="dxa"/>
            <w:tcBorders>
              <w:top w:val="single" w:color="auto" w:sz="4" w:space="0"/>
              <w:left w:val="nil"/>
              <w:bottom w:val="single" w:color="auto" w:sz="4" w:space="0"/>
              <w:right w:val="single" w:color="auto" w:sz="4" w:space="0"/>
            </w:tcBorders>
            <w:vAlign w:val="center"/>
          </w:tcPr>
          <w:p w14:paraId="7FFBD5A9">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A365B01">
            <w:pPr>
              <w:pStyle w:val="61"/>
              <w:spacing w:line="240" w:lineRule="auto"/>
              <w:rPr>
                <w:rFonts w:ascii="宋体" w:hAnsi="宋体" w:cs="宋体"/>
                <w:color w:val="auto"/>
              </w:rPr>
            </w:pPr>
            <w:r>
              <w:rPr>
                <w:rFonts w:hint="eastAsia" w:ascii="宋体" w:hAnsi="宋体" w:cs="宋体"/>
                <w:color w:val="auto"/>
              </w:rPr>
              <w:t>符合</w:t>
            </w:r>
          </w:p>
        </w:tc>
      </w:tr>
      <w:tr w14:paraId="769896E9">
        <w:tblPrEx>
          <w:tblCellMar>
            <w:top w:w="0" w:type="dxa"/>
            <w:left w:w="0" w:type="dxa"/>
            <w:bottom w:w="0" w:type="dxa"/>
            <w:right w:w="0" w:type="dxa"/>
          </w:tblCellMar>
        </w:tblPrEx>
        <w:trPr>
          <w:trHeight w:val="177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9CA7BF8">
            <w:pPr>
              <w:pStyle w:val="61"/>
              <w:spacing w:line="240" w:lineRule="auto"/>
              <w:rPr>
                <w:rFonts w:ascii="宋体" w:hAnsi="宋体" w:cs="宋体"/>
                <w:color w:val="auto"/>
              </w:rPr>
            </w:pPr>
            <w:r>
              <w:rPr>
                <w:rFonts w:hint="eastAsia" w:ascii="宋体" w:hAnsi="宋体" w:cs="宋体"/>
                <w:color w:val="auto"/>
              </w:rPr>
              <w:t>2.2</w:t>
            </w:r>
          </w:p>
        </w:tc>
        <w:tc>
          <w:tcPr>
            <w:tcW w:w="6310" w:type="dxa"/>
            <w:tcBorders>
              <w:top w:val="single" w:color="auto" w:sz="8" w:space="0"/>
              <w:left w:val="single" w:color="auto" w:sz="8" w:space="0"/>
              <w:bottom w:val="single" w:color="auto" w:sz="8" w:space="0"/>
              <w:right w:val="single" w:color="auto" w:sz="4" w:space="0"/>
            </w:tcBorders>
            <w:vAlign w:val="center"/>
          </w:tcPr>
          <w:p w14:paraId="19BAF7B3">
            <w:pPr>
              <w:pStyle w:val="61"/>
              <w:spacing w:line="240" w:lineRule="auto"/>
              <w:jc w:val="left"/>
              <w:rPr>
                <w:rFonts w:ascii="宋体" w:hAnsi="宋体" w:cs="宋体"/>
                <w:color w:val="auto"/>
              </w:rPr>
            </w:pPr>
            <w:r>
              <w:rPr>
                <w:rFonts w:hint="eastAsia" w:ascii="宋体" w:hAnsi="宋体" w:cs="宋体"/>
                <w:color w:val="auto"/>
              </w:rPr>
              <w:t>油罐车停于卸油停车位，熄火并拉上手刹，车轮处宜放置与最大允许总质量和车轮尺寸相匹配的轮挡，车钥匙宜放</w:t>
            </w:r>
            <w:r>
              <w:rPr>
                <w:rFonts w:hint="eastAsia" w:ascii="宋体" w:hAnsi="宋体" w:cs="宋体"/>
                <w:color w:val="auto"/>
                <w:lang w:eastAsia="zh-CN"/>
              </w:rPr>
              <w:t>置在</w:t>
            </w:r>
            <w:r>
              <w:rPr>
                <w:rFonts w:hint="eastAsia" w:ascii="宋体" w:hAnsi="宋体" w:cs="宋体"/>
                <w:color w:val="auto"/>
              </w:rPr>
              <w:t>指定位置管控。</w:t>
            </w:r>
          </w:p>
        </w:tc>
        <w:tc>
          <w:tcPr>
            <w:tcW w:w="1535" w:type="dxa"/>
            <w:tcBorders>
              <w:top w:val="single" w:color="auto" w:sz="4" w:space="0"/>
              <w:left w:val="nil"/>
              <w:bottom w:val="single" w:color="auto" w:sz="4" w:space="0"/>
              <w:right w:val="single" w:color="auto" w:sz="4" w:space="0"/>
            </w:tcBorders>
            <w:vAlign w:val="center"/>
          </w:tcPr>
          <w:p w14:paraId="4A198322">
            <w:pPr>
              <w:pStyle w:val="61"/>
              <w:spacing w:line="240" w:lineRule="auto"/>
              <w:jc w:val="both"/>
              <w:rPr>
                <w:rFonts w:ascii="宋体" w:hAnsi="宋体" w:cs="宋体"/>
                <w:color w:val="auto"/>
              </w:rPr>
            </w:pPr>
            <w:r>
              <w:rPr>
                <w:rFonts w:hint="eastAsia" w:ascii="宋体" w:hAnsi="宋体" w:cs="宋体"/>
                <w:color w:val="auto"/>
              </w:rPr>
              <w:t>卸车停车区域标志，配有防止溜车的轮挡，车钥匙放在站房收银台</w:t>
            </w:r>
          </w:p>
        </w:tc>
        <w:tc>
          <w:tcPr>
            <w:tcW w:w="790" w:type="dxa"/>
            <w:tcBorders>
              <w:top w:val="single" w:color="auto" w:sz="4" w:space="0"/>
              <w:left w:val="nil"/>
              <w:bottom w:val="single" w:color="auto" w:sz="4" w:space="0"/>
              <w:right w:val="single" w:color="auto" w:sz="4" w:space="0"/>
            </w:tcBorders>
            <w:vAlign w:val="center"/>
          </w:tcPr>
          <w:p w14:paraId="156A407D">
            <w:pPr>
              <w:pStyle w:val="61"/>
              <w:spacing w:line="240" w:lineRule="auto"/>
              <w:rPr>
                <w:rFonts w:ascii="宋体" w:hAnsi="宋体" w:cs="宋体"/>
                <w:color w:val="auto"/>
              </w:rPr>
            </w:pPr>
            <w:r>
              <w:rPr>
                <w:rFonts w:hint="eastAsia" w:ascii="宋体" w:hAnsi="宋体" w:cs="宋体"/>
                <w:color w:val="auto"/>
              </w:rPr>
              <w:t>符合</w:t>
            </w:r>
          </w:p>
        </w:tc>
      </w:tr>
      <w:tr w14:paraId="08A9545C">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CEA1C48">
            <w:pPr>
              <w:pStyle w:val="61"/>
              <w:spacing w:line="240" w:lineRule="auto"/>
              <w:rPr>
                <w:rFonts w:ascii="宋体" w:hAnsi="宋体" w:cs="宋体"/>
                <w:color w:val="auto"/>
              </w:rPr>
            </w:pPr>
            <w:r>
              <w:rPr>
                <w:rFonts w:hint="eastAsia" w:ascii="宋体" w:hAnsi="宋体" w:cs="宋体"/>
                <w:color w:val="auto"/>
              </w:rPr>
              <w:t>2.3</w:t>
            </w:r>
          </w:p>
        </w:tc>
        <w:tc>
          <w:tcPr>
            <w:tcW w:w="6310" w:type="dxa"/>
            <w:tcBorders>
              <w:top w:val="single" w:color="auto" w:sz="8" w:space="0"/>
              <w:left w:val="single" w:color="auto" w:sz="8" w:space="0"/>
              <w:bottom w:val="single" w:color="auto" w:sz="8" w:space="0"/>
              <w:right w:val="single" w:color="auto" w:sz="4" w:space="0"/>
            </w:tcBorders>
            <w:vAlign w:val="center"/>
          </w:tcPr>
          <w:p w14:paraId="3CFBFAE5">
            <w:pPr>
              <w:pStyle w:val="61"/>
              <w:spacing w:line="240" w:lineRule="auto"/>
              <w:jc w:val="left"/>
              <w:rPr>
                <w:rFonts w:ascii="宋体" w:hAnsi="宋体" w:cs="宋体"/>
                <w:color w:val="auto"/>
              </w:rPr>
            </w:pPr>
            <w:r>
              <w:rPr>
                <w:rFonts w:hint="eastAsia" w:ascii="宋体" w:hAnsi="宋体" w:cs="宋体"/>
                <w:color w:val="auto"/>
              </w:rPr>
              <w:t>卸油人员应将防静电跨接线连接到油罐车专用接地端，并确认接触良好。</w:t>
            </w:r>
          </w:p>
        </w:tc>
        <w:tc>
          <w:tcPr>
            <w:tcW w:w="1535" w:type="dxa"/>
            <w:tcBorders>
              <w:top w:val="single" w:color="auto" w:sz="4" w:space="0"/>
              <w:left w:val="nil"/>
              <w:bottom w:val="single" w:color="auto" w:sz="4" w:space="0"/>
              <w:right w:val="single" w:color="auto" w:sz="4" w:space="0"/>
            </w:tcBorders>
            <w:vAlign w:val="center"/>
          </w:tcPr>
          <w:p w14:paraId="14D620CE">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43D2432">
            <w:pPr>
              <w:pStyle w:val="61"/>
              <w:spacing w:line="240" w:lineRule="auto"/>
              <w:rPr>
                <w:rFonts w:ascii="宋体" w:hAnsi="宋体" w:cs="宋体"/>
                <w:color w:val="auto"/>
              </w:rPr>
            </w:pPr>
            <w:r>
              <w:rPr>
                <w:rFonts w:hint="eastAsia" w:ascii="宋体" w:hAnsi="宋体" w:cs="宋体"/>
                <w:color w:val="auto"/>
              </w:rPr>
              <w:t>符合</w:t>
            </w:r>
          </w:p>
        </w:tc>
      </w:tr>
      <w:tr w14:paraId="215F607B">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ED38E57">
            <w:pPr>
              <w:pStyle w:val="61"/>
              <w:spacing w:line="240" w:lineRule="auto"/>
              <w:rPr>
                <w:rFonts w:ascii="宋体" w:hAnsi="宋体" w:cs="宋体"/>
                <w:color w:val="auto"/>
              </w:rPr>
            </w:pPr>
            <w:r>
              <w:rPr>
                <w:rFonts w:hint="eastAsia" w:ascii="宋体" w:hAnsi="宋体" w:cs="宋体"/>
                <w:color w:val="auto"/>
              </w:rPr>
              <w:t>2.4</w:t>
            </w:r>
          </w:p>
        </w:tc>
        <w:tc>
          <w:tcPr>
            <w:tcW w:w="6310" w:type="dxa"/>
            <w:tcBorders>
              <w:top w:val="single" w:color="auto" w:sz="8" w:space="0"/>
              <w:left w:val="single" w:color="auto" w:sz="8" w:space="0"/>
              <w:bottom w:val="single" w:color="auto" w:sz="8" w:space="0"/>
              <w:right w:val="single" w:color="auto" w:sz="4" w:space="0"/>
            </w:tcBorders>
            <w:vAlign w:val="center"/>
          </w:tcPr>
          <w:p w14:paraId="1776E004">
            <w:pPr>
              <w:pStyle w:val="61"/>
              <w:spacing w:line="240" w:lineRule="auto"/>
              <w:jc w:val="left"/>
              <w:rPr>
                <w:rFonts w:ascii="宋体" w:hAnsi="宋体" w:cs="宋体"/>
                <w:color w:val="auto"/>
              </w:rPr>
            </w:pPr>
            <w:r>
              <w:rPr>
                <w:rFonts w:hint="eastAsia" w:ascii="宋体" w:hAnsi="宋体" w:cs="宋体"/>
                <w:color w:val="auto"/>
              </w:rPr>
              <w:t>卸油作业现场应设置隔离警示标识。</w:t>
            </w:r>
          </w:p>
        </w:tc>
        <w:tc>
          <w:tcPr>
            <w:tcW w:w="1535" w:type="dxa"/>
            <w:tcBorders>
              <w:top w:val="single" w:color="auto" w:sz="4" w:space="0"/>
              <w:left w:val="nil"/>
              <w:bottom w:val="single" w:color="auto" w:sz="4" w:space="0"/>
              <w:right w:val="single" w:color="auto" w:sz="4" w:space="0"/>
            </w:tcBorders>
            <w:vAlign w:val="center"/>
          </w:tcPr>
          <w:p w14:paraId="0AD8F9B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723699B">
            <w:pPr>
              <w:pStyle w:val="61"/>
              <w:spacing w:line="240" w:lineRule="auto"/>
              <w:rPr>
                <w:rFonts w:ascii="宋体" w:hAnsi="宋体" w:cs="宋体"/>
                <w:color w:val="auto"/>
              </w:rPr>
            </w:pPr>
            <w:r>
              <w:rPr>
                <w:rFonts w:hint="eastAsia" w:ascii="宋体" w:hAnsi="宋体" w:cs="宋体"/>
                <w:color w:val="auto"/>
              </w:rPr>
              <w:t>符合</w:t>
            </w:r>
          </w:p>
        </w:tc>
      </w:tr>
      <w:tr w14:paraId="738DBBC5">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CC32755">
            <w:pPr>
              <w:pStyle w:val="61"/>
              <w:spacing w:line="240" w:lineRule="auto"/>
              <w:rPr>
                <w:rFonts w:ascii="宋体" w:hAnsi="宋体" w:cs="宋体"/>
                <w:color w:val="auto"/>
              </w:rPr>
            </w:pPr>
            <w:r>
              <w:rPr>
                <w:rFonts w:hint="eastAsia" w:ascii="宋体" w:hAnsi="宋体" w:cs="宋体"/>
                <w:color w:val="auto"/>
              </w:rPr>
              <w:t>2.5</w:t>
            </w:r>
          </w:p>
        </w:tc>
        <w:tc>
          <w:tcPr>
            <w:tcW w:w="6310" w:type="dxa"/>
            <w:tcBorders>
              <w:top w:val="single" w:color="auto" w:sz="8" w:space="0"/>
              <w:left w:val="single" w:color="auto" w:sz="8" w:space="0"/>
              <w:bottom w:val="single" w:color="auto" w:sz="8" w:space="0"/>
              <w:right w:val="single" w:color="auto" w:sz="4" w:space="0"/>
            </w:tcBorders>
            <w:vAlign w:val="center"/>
          </w:tcPr>
          <w:p w14:paraId="62240191">
            <w:pPr>
              <w:pStyle w:val="61"/>
              <w:spacing w:line="240" w:lineRule="auto"/>
              <w:jc w:val="left"/>
              <w:rPr>
                <w:rFonts w:ascii="宋体" w:hAnsi="宋体" w:cs="宋体"/>
                <w:color w:val="auto"/>
              </w:rPr>
            </w:pPr>
            <w:r>
              <w:rPr>
                <w:rFonts w:hint="eastAsia" w:ascii="宋体" w:hAnsi="宋体" w:cs="宋体"/>
                <w:color w:val="auto"/>
              </w:rPr>
              <w:t>手提式灭火器宜摆放在距卸油口2 m～3m 处。</w:t>
            </w:r>
          </w:p>
        </w:tc>
        <w:tc>
          <w:tcPr>
            <w:tcW w:w="1535" w:type="dxa"/>
            <w:tcBorders>
              <w:top w:val="single" w:color="auto" w:sz="4" w:space="0"/>
              <w:left w:val="nil"/>
              <w:bottom w:val="single" w:color="auto" w:sz="4" w:space="0"/>
              <w:right w:val="single" w:color="auto" w:sz="4" w:space="0"/>
            </w:tcBorders>
            <w:vAlign w:val="center"/>
          </w:tcPr>
          <w:p w14:paraId="3C44E8E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83747C1">
            <w:pPr>
              <w:pStyle w:val="61"/>
              <w:spacing w:line="240" w:lineRule="auto"/>
              <w:rPr>
                <w:rFonts w:ascii="宋体" w:hAnsi="宋体" w:cs="宋体"/>
                <w:color w:val="auto"/>
              </w:rPr>
            </w:pPr>
            <w:r>
              <w:rPr>
                <w:rFonts w:hint="eastAsia" w:ascii="宋体" w:hAnsi="宋体" w:cs="宋体"/>
                <w:color w:val="auto"/>
              </w:rPr>
              <w:t>符合</w:t>
            </w:r>
          </w:p>
        </w:tc>
      </w:tr>
      <w:tr w14:paraId="0119270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F4FFC1A">
            <w:pPr>
              <w:pStyle w:val="61"/>
              <w:spacing w:line="240" w:lineRule="auto"/>
              <w:rPr>
                <w:rFonts w:ascii="宋体" w:hAnsi="宋体" w:cs="宋体"/>
                <w:color w:val="auto"/>
              </w:rPr>
            </w:pPr>
            <w:r>
              <w:rPr>
                <w:rFonts w:hint="eastAsia" w:ascii="宋体" w:hAnsi="宋体" w:cs="宋体"/>
                <w:color w:val="auto"/>
              </w:rPr>
              <w:t>2.6</w:t>
            </w:r>
          </w:p>
        </w:tc>
        <w:tc>
          <w:tcPr>
            <w:tcW w:w="6310" w:type="dxa"/>
            <w:tcBorders>
              <w:top w:val="single" w:color="auto" w:sz="8" w:space="0"/>
              <w:left w:val="single" w:color="auto" w:sz="8" w:space="0"/>
              <w:bottom w:val="single" w:color="auto" w:sz="8" w:space="0"/>
              <w:right w:val="single" w:color="auto" w:sz="4" w:space="0"/>
            </w:tcBorders>
            <w:vAlign w:val="center"/>
          </w:tcPr>
          <w:p w14:paraId="50E6D571">
            <w:pPr>
              <w:pStyle w:val="61"/>
              <w:spacing w:line="240" w:lineRule="auto"/>
              <w:jc w:val="left"/>
              <w:rPr>
                <w:rFonts w:ascii="宋体" w:hAnsi="宋体" w:cs="宋体"/>
                <w:color w:val="auto"/>
              </w:rPr>
            </w:pPr>
            <w:r>
              <w:rPr>
                <w:rFonts w:hint="eastAsia" w:ascii="宋体" w:hAnsi="宋体" w:cs="宋体"/>
                <w:color w:val="auto"/>
              </w:rPr>
              <w:t>应在油罐车静置进行静电释放5min 后，方可进行计量、取样和卸油等相关作业。</w:t>
            </w:r>
          </w:p>
        </w:tc>
        <w:tc>
          <w:tcPr>
            <w:tcW w:w="1535" w:type="dxa"/>
            <w:tcBorders>
              <w:top w:val="single" w:color="auto" w:sz="4" w:space="0"/>
              <w:left w:val="nil"/>
              <w:bottom w:val="single" w:color="auto" w:sz="4" w:space="0"/>
              <w:right w:val="single" w:color="auto" w:sz="4" w:space="0"/>
            </w:tcBorders>
            <w:vAlign w:val="center"/>
          </w:tcPr>
          <w:p w14:paraId="21E6488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DA30A24">
            <w:pPr>
              <w:pStyle w:val="61"/>
              <w:spacing w:line="240" w:lineRule="auto"/>
              <w:rPr>
                <w:rFonts w:ascii="宋体" w:hAnsi="宋体" w:cs="宋体"/>
                <w:color w:val="auto"/>
              </w:rPr>
            </w:pPr>
            <w:r>
              <w:rPr>
                <w:rFonts w:hint="eastAsia" w:ascii="宋体" w:hAnsi="宋体" w:cs="宋体"/>
                <w:color w:val="auto"/>
              </w:rPr>
              <w:t>符合</w:t>
            </w:r>
          </w:p>
        </w:tc>
      </w:tr>
      <w:tr w14:paraId="7357EAA4">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7C6DAB5">
            <w:pPr>
              <w:pStyle w:val="61"/>
              <w:spacing w:line="240" w:lineRule="auto"/>
              <w:rPr>
                <w:rFonts w:ascii="宋体" w:hAnsi="宋体" w:cs="宋体"/>
                <w:color w:val="auto"/>
              </w:rPr>
            </w:pPr>
            <w:r>
              <w:rPr>
                <w:rFonts w:hint="eastAsia" w:ascii="宋体" w:hAnsi="宋体" w:cs="宋体"/>
                <w:color w:val="auto"/>
              </w:rPr>
              <w:t>2.7</w:t>
            </w:r>
          </w:p>
        </w:tc>
        <w:tc>
          <w:tcPr>
            <w:tcW w:w="6310" w:type="dxa"/>
            <w:tcBorders>
              <w:top w:val="single" w:color="auto" w:sz="8" w:space="0"/>
              <w:left w:val="single" w:color="auto" w:sz="8" w:space="0"/>
              <w:bottom w:val="single" w:color="auto" w:sz="8" w:space="0"/>
              <w:right w:val="single" w:color="auto" w:sz="4" w:space="0"/>
            </w:tcBorders>
            <w:vAlign w:val="center"/>
          </w:tcPr>
          <w:p w14:paraId="44773FA8">
            <w:pPr>
              <w:pStyle w:val="61"/>
              <w:spacing w:line="240" w:lineRule="auto"/>
              <w:jc w:val="left"/>
              <w:rPr>
                <w:rFonts w:ascii="宋体" w:hAnsi="宋体" w:cs="宋体"/>
                <w:color w:val="auto"/>
              </w:rPr>
            </w:pPr>
            <w:r>
              <w:rPr>
                <w:rFonts w:hint="eastAsia" w:ascii="宋体" w:hAnsi="宋体" w:cs="宋体"/>
                <w:color w:val="auto"/>
              </w:rPr>
              <w:t>检查确认油罐计量孔密闭良好，汽油罐通气管上阀门应处于关闭状态，安装呼吸阀的通气管上 阀门应处于开启状态。</w:t>
            </w:r>
          </w:p>
        </w:tc>
        <w:tc>
          <w:tcPr>
            <w:tcW w:w="1535" w:type="dxa"/>
            <w:tcBorders>
              <w:top w:val="single" w:color="auto" w:sz="4" w:space="0"/>
              <w:left w:val="nil"/>
              <w:bottom w:val="single" w:color="auto" w:sz="4" w:space="0"/>
              <w:right w:val="single" w:color="auto" w:sz="4" w:space="0"/>
            </w:tcBorders>
            <w:vAlign w:val="center"/>
          </w:tcPr>
          <w:p w14:paraId="65ED38A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140D6B8">
            <w:pPr>
              <w:pStyle w:val="61"/>
              <w:spacing w:line="240" w:lineRule="auto"/>
              <w:rPr>
                <w:rFonts w:ascii="宋体" w:hAnsi="宋体" w:cs="宋体"/>
                <w:color w:val="auto"/>
              </w:rPr>
            </w:pPr>
            <w:r>
              <w:rPr>
                <w:rFonts w:hint="eastAsia" w:ascii="宋体" w:hAnsi="宋体" w:cs="宋体"/>
                <w:color w:val="auto"/>
              </w:rPr>
              <w:t>符合</w:t>
            </w:r>
          </w:p>
        </w:tc>
      </w:tr>
      <w:tr w14:paraId="2E25235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EC96A94">
            <w:pPr>
              <w:pStyle w:val="61"/>
              <w:spacing w:line="240" w:lineRule="auto"/>
              <w:rPr>
                <w:rFonts w:ascii="宋体" w:hAnsi="宋体" w:cs="宋体"/>
                <w:color w:val="auto"/>
              </w:rPr>
            </w:pPr>
            <w:r>
              <w:rPr>
                <w:rFonts w:hint="eastAsia" w:ascii="宋体" w:hAnsi="宋体" w:cs="宋体"/>
                <w:color w:val="auto"/>
              </w:rPr>
              <w:t>2.8</w:t>
            </w:r>
          </w:p>
        </w:tc>
        <w:tc>
          <w:tcPr>
            <w:tcW w:w="6310" w:type="dxa"/>
            <w:tcBorders>
              <w:top w:val="single" w:color="auto" w:sz="8" w:space="0"/>
              <w:left w:val="single" w:color="auto" w:sz="8" w:space="0"/>
              <w:bottom w:val="single" w:color="auto" w:sz="8" w:space="0"/>
              <w:right w:val="single" w:color="auto" w:sz="4" w:space="0"/>
            </w:tcBorders>
            <w:vAlign w:val="center"/>
          </w:tcPr>
          <w:p w14:paraId="0528BFD6">
            <w:pPr>
              <w:pStyle w:val="61"/>
              <w:spacing w:line="240" w:lineRule="auto"/>
              <w:jc w:val="left"/>
              <w:rPr>
                <w:rFonts w:ascii="宋体" w:hAnsi="宋体" w:cs="宋体"/>
                <w:color w:val="auto"/>
              </w:rPr>
            </w:pPr>
            <w:r>
              <w:rPr>
                <w:rFonts w:hint="eastAsia" w:ascii="宋体" w:hAnsi="宋体" w:cs="宋体"/>
                <w:color w:val="auto"/>
              </w:rPr>
              <w:t xml:space="preserve">卸油前，应计量油罐的存油量，确认有足够的剩余容量，并核对罐车单据与油罐中油品的名称、牌号是否一致。 </w:t>
            </w:r>
          </w:p>
        </w:tc>
        <w:tc>
          <w:tcPr>
            <w:tcW w:w="1535" w:type="dxa"/>
            <w:tcBorders>
              <w:top w:val="single" w:color="auto" w:sz="4" w:space="0"/>
              <w:left w:val="nil"/>
              <w:bottom w:val="single" w:color="auto" w:sz="4" w:space="0"/>
              <w:right w:val="single" w:color="auto" w:sz="4" w:space="0"/>
            </w:tcBorders>
            <w:vAlign w:val="center"/>
          </w:tcPr>
          <w:p w14:paraId="156DC58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B4CBF06">
            <w:pPr>
              <w:pStyle w:val="61"/>
              <w:spacing w:line="240" w:lineRule="auto"/>
              <w:rPr>
                <w:rFonts w:ascii="宋体" w:hAnsi="宋体" w:cs="宋体"/>
                <w:color w:val="auto"/>
              </w:rPr>
            </w:pPr>
            <w:r>
              <w:rPr>
                <w:rFonts w:hint="eastAsia" w:ascii="宋体" w:hAnsi="宋体" w:cs="宋体"/>
                <w:color w:val="auto"/>
              </w:rPr>
              <w:t>符合</w:t>
            </w:r>
          </w:p>
        </w:tc>
      </w:tr>
      <w:tr w14:paraId="2B9D8CF1">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0418D76">
            <w:pPr>
              <w:pStyle w:val="61"/>
              <w:spacing w:line="240" w:lineRule="auto"/>
              <w:rPr>
                <w:rFonts w:ascii="宋体" w:hAnsi="宋体" w:cs="宋体"/>
                <w:color w:val="auto"/>
              </w:rPr>
            </w:pPr>
            <w:r>
              <w:rPr>
                <w:rFonts w:hint="eastAsia" w:ascii="宋体" w:hAnsi="宋体" w:cs="宋体"/>
                <w:color w:val="auto"/>
              </w:rPr>
              <w:t>2.9</w:t>
            </w:r>
          </w:p>
        </w:tc>
        <w:tc>
          <w:tcPr>
            <w:tcW w:w="6310" w:type="dxa"/>
            <w:tcBorders>
              <w:top w:val="single" w:color="auto" w:sz="8" w:space="0"/>
              <w:left w:val="single" w:color="auto" w:sz="8" w:space="0"/>
              <w:bottom w:val="single" w:color="auto" w:sz="8" w:space="0"/>
              <w:right w:val="single" w:color="auto" w:sz="4" w:space="0"/>
            </w:tcBorders>
            <w:vAlign w:val="center"/>
          </w:tcPr>
          <w:p w14:paraId="05AE9B5C">
            <w:pPr>
              <w:pStyle w:val="61"/>
              <w:spacing w:line="240" w:lineRule="auto"/>
              <w:jc w:val="left"/>
              <w:rPr>
                <w:rFonts w:ascii="宋体" w:hAnsi="宋体" w:cs="宋体"/>
                <w:color w:val="auto"/>
              </w:rPr>
            </w:pPr>
            <w:r>
              <w:rPr>
                <w:rFonts w:hint="eastAsia" w:ascii="宋体" w:hAnsi="宋体" w:cs="宋体"/>
                <w:color w:val="auto"/>
              </w:rPr>
              <w:t>对油罐车进行人工取样时，人员应戴安全帽，应选用铝或铜等不发火花、不易积聚静电的器具； 油样可通过卸油口回罐，不应从计量孔倒入。若人员在油罐车罐顶上取样，还应采取防坠落措施，并有专人监护。</w:t>
            </w:r>
          </w:p>
        </w:tc>
        <w:tc>
          <w:tcPr>
            <w:tcW w:w="1535" w:type="dxa"/>
            <w:tcBorders>
              <w:top w:val="single" w:color="auto" w:sz="4" w:space="0"/>
              <w:left w:val="nil"/>
              <w:bottom w:val="single" w:color="auto" w:sz="4" w:space="0"/>
              <w:right w:val="single" w:color="auto" w:sz="4" w:space="0"/>
            </w:tcBorders>
            <w:vAlign w:val="center"/>
          </w:tcPr>
          <w:p w14:paraId="344744B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78817F1">
            <w:pPr>
              <w:pStyle w:val="61"/>
              <w:spacing w:line="240" w:lineRule="auto"/>
              <w:rPr>
                <w:rFonts w:ascii="宋体" w:hAnsi="宋体" w:cs="宋体"/>
                <w:color w:val="auto"/>
              </w:rPr>
            </w:pPr>
            <w:r>
              <w:rPr>
                <w:rFonts w:hint="eastAsia" w:ascii="宋体" w:hAnsi="宋体" w:cs="宋体"/>
                <w:color w:val="auto"/>
              </w:rPr>
              <w:t>符合</w:t>
            </w:r>
          </w:p>
        </w:tc>
      </w:tr>
      <w:tr w14:paraId="5FC23131">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C4204E2">
            <w:pPr>
              <w:pStyle w:val="61"/>
              <w:spacing w:line="240" w:lineRule="auto"/>
              <w:rPr>
                <w:rFonts w:ascii="宋体" w:hAnsi="宋体" w:cs="宋体"/>
                <w:color w:val="auto"/>
              </w:rPr>
            </w:pPr>
            <w:r>
              <w:rPr>
                <w:rFonts w:hint="eastAsia" w:ascii="宋体" w:hAnsi="宋体" w:cs="宋体"/>
                <w:color w:val="auto"/>
              </w:rPr>
              <w:t>2.10</w:t>
            </w:r>
          </w:p>
        </w:tc>
        <w:tc>
          <w:tcPr>
            <w:tcW w:w="6310" w:type="dxa"/>
            <w:tcBorders>
              <w:top w:val="single" w:color="auto" w:sz="8" w:space="0"/>
              <w:left w:val="single" w:color="auto" w:sz="8" w:space="0"/>
              <w:bottom w:val="single" w:color="auto" w:sz="8" w:space="0"/>
              <w:right w:val="single" w:color="auto" w:sz="4" w:space="0"/>
            </w:tcBorders>
            <w:vAlign w:val="center"/>
          </w:tcPr>
          <w:p w14:paraId="40897438">
            <w:pPr>
              <w:pStyle w:val="61"/>
              <w:spacing w:line="240" w:lineRule="auto"/>
              <w:jc w:val="left"/>
              <w:rPr>
                <w:rFonts w:ascii="宋体" w:hAnsi="宋体" w:cs="宋体"/>
                <w:color w:val="auto"/>
              </w:rPr>
            </w:pPr>
            <w:r>
              <w:rPr>
                <w:rFonts w:hint="eastAsia" w:ascii="宋体" w:hAnsi="宋体" w:cs="宋体"/>
                <w:color w:val="auto"/>
              </w:rPr>
              <w:t>卸油人员应按工艺流程将卸油软管和汽油油气回收软管与油罐车和埋地油罐紧密连接，保持卸油软管自然弯曲。</w:t>
            </w:r>
          </w:p>
        </w:tc>
        <w:tc>
          <w:tcPr>
            <w:tcW w:w="1535" w:type="dxa"/>
            <w:tcBorders>
              <w:top w:val="single" w:color="auto" w:sz="4" w:space="0"/>
              <w:left w:val="nil"/>
              <w:bottom w:val="single" w:color="auto" w:sz="4" w:space="0"/>
              <w:right w:val="single" w:color="auto" w:sz="4" w:space="0"/>
            </w:tcBorders>
            <w:vAlign w:val="center"/>
          </w:tcPr>
          <w:p w14:paraId="2F0B2E8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B06A589">
            <w:pPr>
              <w:pStyle w:val="61"/>
              <w:spacing w:line="240" w:lineRule="auto"/>
              <w:rPr>
                <w:rFonts w:ascii="宋体" w:hAnsi="宋体" w:cs="宋体"/>
                <w:color w:val="auto"/>
              </w:rPr>
            </w:pPr>
            <w:r>
              <w:rPr>
                <w:rFonts w:hint="eastAsia" w:ascii="宋体" w:hAnsi="宋体" w:cs="宋体"/>
                <w:color w:val="auto"/>
              </w:rPr>
              <w:t>符合</w:t>
            </w:r>
          </w:p>
        </w:tc>
      </w:tr>
      <w:tr w14:paraId="523B1C38">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0EC7EB8">
            <w:pPr>
              <w:pStyle w:val="61"/>
              <w:spacing w:line="240" w:lineRule="auto"/>
              <w:rPr>
                <w:rFonts w:ascii="宋体" w:hAnsi="宋体" w:cs="宋体"/>
                <w:color w:val="auto"/>
              </w:rPr>
            </w:pPr>
            <w:r>
              <w:rPr>
                <w:rFonts w:hint="eastAsia" w:ascii="宋体" w:hAnsi="宋体" w:cs="宋体"/>
                <w:color w:val="auto"/>
              </w:rPr>
              <w:t>2.11</w:t>
            </w:r>
          </w:p>
        </w:tc>
        <w:tc>
          <w:tcPr>
            <w:tcW w:w="6310" w:type="dxa"/>
            <w:tcBorders>
              <w:top w:val="single" w:color="auto" w:sz="8" w:space="0"/>
              <w:left w:val="single" w:color="auto" w:sz="8" w:space="0"/>
              <w:bottom w:val="single" w:color="auto" w:sz="8" w:space="0"/>
              <w:right w:val="single" w:color="auto" w:sz="4" w:space="0"/>
            </w:tcBorders>
            <w:vAlign w:val="center"/>
          </w:tcPr>
          <w:p w14:paraId="7CE275E3">
            <w:pPr>
              <w:pStyle w:val="61"/>
              <w:spacing w:line="240" w:lineRule="auto"/>
              <w:jc w:val="left"/>
              <w:rPr>
                <w:rFonts w:ascii="宋体" w:hAnsi="宋体" w:cs="宋体"/>
                <w:color w:val="auto"/>
              </w:rPr>
            </w:pPr>
            <w:r>
              <w:rPr>
                <w:rFonts w:hint="eastAsia" w:ascii="宋体" w:hAnsi="宋体" w:cs="宋体"/>
                <w:color w:val="auto"/>
              </w:rPr>
              <w:t>经双方检查确认具备开阀卸油条件后，将卸油口对应油罐进油阀门打开</w:t>
            </w:r>
            <w:r>
              <w:rPr>
                <w:rFonts w:hint="eastAsia" w:ascii="宋体" w:hAnsi="宋体" w:cs="宋体"/>
                <w:color w:val="auto"/>
                <w:lang w:eastAsia="zh-CN"/>
              </w:rPr>
              <w:t>（</w:t>
            </w:r>
            <w:r>
              <w:rPr>
                <w:rFonts w:hint="eastAsia" w:ascii="宋体" w:hAnsi="宋体" w:cs="宋体"/>
                <w:color w:val="auto"/>
              </w:rPr>
              <w:t>卸汽油时先打开气路 阀门</w:t>
            </w:r>
            <w:r>
              <w:rPr>
                <w:rFonts w:hint="eastAsia" w:ascii="宋体" w:hAnsi="宋体" w:cs="宋体"/>
                <w:color w:val="auto"/>
                <w:lang w:eastAsia="zh-CN"/>
              </w:rPr>
              <w:t>），</w:t>
            </w:r>
            <w:r>
              <w:rPr>
                <w:rFonts w:hint="eastAsia" w:ascii="宋体" w:hAnsi="宋体" w:cs="宋体"/>
                <w:color w:val="auto"/>
              </w:rPr>
              <w:t>再缓慢开启油罐车卸油阀门。通过采取调节阀门开度等措施控制卸油流速不大于4.5 m/s。</w:t>
            </w:r>
          </w:p>
        </w:tc>
        <w:tc>
          <w:tcPr>
            <w:tcW w:w="1535" w:type="dxa"/>
            <w:tcBorders>
              <w:top w:val="single" w:color="auto" w:sz="4" w:space="0"/>
              <w:left w:val="nil"/>
              <w:bottom w:val="single" w:color="auto" w:sz="4" w:space="0"/>
              <w:right w:val="single" w:color="auto" w:sz="4" w:space="0"/>
            </w:tcBorders>
            <w:vAlign w:val="center"/>
          </w:tcPr>
          <w:p w14:paraId="0D8120A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A39C04E">
            <w:pPr>
              <w:pStyle w:val="61"/>
              <w:spacing w:line="240" w:lineRule="auto"/>
              <w:rPr>
                <w:rFonts w:ascii="宋体" w:hAnsi="宋体" w:cs="宋体"/>
                <w:color w:val="auto"/>
              </w:rPr>
            </w:pPr>
            <w:r>
              <w:rPr>
                <w:rFonts w:hint="eastAsia" w:ascii="宋体" w:hAnsi="宋体" w:cs="宋体"/>
                <w:color w:val="auto"/>
              </w:rPr>
              <w:t>符合</w:t>
            </w:r>
          </w:p>
        </w:tc>
      </w:tr>
      <w:tr w14:paraId="53B1E46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8D36619">
            <w:pPr>
              <w:pStyle w:val="61"/>
              <w:spacing w:line="240" w:lineRule="auto"/>
              <w:rPr>
                <w:rFonts w:ascii="宋体" w:hAnsi="宋体" w:cs="宋体"/>
                <w:color w:val="auto"/>
              </w:rPr>
            </w:pPr>
            <w:r>
              <w:rPr>
                <w:rFonts w:hint="eastAsia" w:ascii="宋体" w:hAnsi="宋体" w:cs="宋体"/>
                <w:color w:val="auto"/>
              </w:rPr>
              <w:t>2.12</w:t>
            </w:r>
          </w:p>
        </w:tc>
        <w:tc>
          <w:tcPr>
            <w:tcW w:w="6310" w:type="dxa"/>
            <w:tcBorders>
              <w:top w:val="single" w:color="auto" w:sz="8" w:space="0"/>
              <w:left w:val="single" w:color="auto" w:sz="8" w:space="0"/>
              <w:bottom w:val="single" w:color="auto" w:sz="8" w:space="0"/>
              <w:right w:val="single" w:color="auto" w:sz="4" w:space="0"/>
            </w:tcBorders>
            <w:vAlign w:val="center"/>
          </w:tcPr>
          <w:p w14:paraId="38CCD341">
            <w:pPr>
              <w:pStyle w:val="61"/>
              <w:spacing w:line="240" w:lineRule="auto"/>
              <w:jc w:val="left"/>
              <w:rPr>
                <w:rFonts w:ascii="宋体" w:hAnsi="宋体" w:cs="宋体"/>
                <w:color w:val="auto"/>
              </w:rPr>
            </w:pPr>
            <w:r>
              <w:rPr>
                <w:rFonts w:hint="eastAsia" w:ascii="宋体" w:hAnsi="宋体" w:cs="宋体"/>
                <w:color w:val="auto"/>
              </w:rPr>
              <w:t>卸油作业过程中应有专人监护，油罐车驾驶员和押运员不应同时离开作业现场。无人监护时，应停止作业。</w:t>
            </w:r>
          </w:p>
        </w:tc>
        <w:tc>
          <w:tcPr>
            <w:tcW w:w="1535" w:type="dxa"/>
            <w:tcBorders>
              <w:top w:val="single" w:color="auto" w:sz="4" w:space="0"/>
              <w:left w:val="nil"/>
              <w:bottom w:val="single" w:color="auto" w:sz="4" w:space="0"/>
              <w:right w:val="single" w:color="auto" w:sz="4" w:space="0"/>
            </w:tcBorders>
            <w:vAlign w:val="center"/>
          </w:tcPr>
          <w:p w14:paraId="6DE5C922">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E028EA7">
            <w:pPr>
              <w:pStyle w:val="61"/>
              <w:spacing w:line="240" w:lineRule="auto"/>
              <w:rPr>
                <w:rFonts w:ascii="宋体" w:hAnsi="宋体" w:cs="宋体"/>
                <w:color w:val="auto"/>
              </w:rPr>
            </w:pPr>
            <w:r>
              <w:rPr>
                <w:rFonts w:hint="eastAsia" w:ascii="宋体" w:hAnsi="宋体" w:cs="宋体"/>
                <w:color w:val="auto"/>
              </w:rPr>
              <w:t>符合</w:t>
            </w:r>
          </w:p>
        </w:tc>
      </w:tr>
      <w:tr w14:paraId="7BBC6BBF">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752F6AE">
            <w:pPr>
              <w:pStyle w:val="61"/>
              <w:spacing w:line="240" w:lineRule="auto"/>
              <w:rPr>
                <w:rFonts w:ascii="宋体" w:hAnsi="宋体" w:cs="宋体"/>
                <w:color w:val="auto"/>
              </w:rPr>
            </w:pPr>
            <w:r>
              <w:rPr>
                <w:rFonts w:hint="eastAsia" w:ascii="宋体" w:hAnsi="宋体" w:cs="宋体"/>
                <w:color w:val="auto"/>
              </w:rPr>
              <w:t>2.13</w:t>
            </w:r>
          </w:p>
        </w:tc>
        <w:tc>
          <w:tcPr>
            <w:tcW w:w="6310" w:type="dxa"/>
            <w:tcBorders>
              <w:top w:val="single" w:color="auto" w:sz="8" w:space="0"/>
              <w:left w:val="single" w:color="auto" w:sz="8" w:space="0"/>
              <w:bottom w:val="single" w:color="auto" w:sz="8" w:space="0"/>
              <w:right w:val="single" w:color="auto" w:sz="4" w:space="0"/>
            </w:tcBorders>
            <w:vAlign w:val="center"/>
          </w:tcPr>
          <w:p w14:paraId="0643892B">
            <w:pPr>
              <w:pStyle w:val="61"/>
              <w:spacing w:line="240" w:lineRule="auto"/>
              <w:jc w:val="left"/>
              <w:rPr>
                <w:rFonts w:ascii="宋体" w:hAnsi="宋体" w:cs="宋体"/>
                <w:color w:val="auto"/>
              </w:rPr>
            </w:pPr>
            <w:r>
              <w:rPr>
                <w:rFonts w:hint="eastAsia" w:ascii="宋体" w:hAnsi="宋体" w:cs="宋体"/>
                <w:color w:val="auto"/>
              </w:rPr>
              <w:t>卸油作业过程中，不应开启计量孔，不应修理、擦洗油罐车，不应鸣笛；使用器具时要轻拿轻放；与该罐连接且无</w:t>
            </w:r>
            <w:r>
              <w:rPr>
                <w:rFonts w:hint="eastAsia" w:ascii="宋体" w:hAnsi="宋体" w:cs="宋体"/>
                <w:color w:val="auto"/>
                <w:lang w:eastAsia="zh-CN"/>
              </w:rPr>
              <w:t>防水</w:t>
            </w:r>
            <w:r>
              <w:rPr>
                <w:rFonts w:hint="eastAsia" w:ascii="宋体" w:hAnsi="宋体" w:cs="宋体"/>
                <w:color w:val="auto"/>
              </w:rPr>
              <w:t>措施的加油机应停止加油作业。</w:t>
            </w:r>
          </w:p>
        </w:tc>
        <w:tc>
          <w:tcPr>
            <w:tcW w:w="1535" w:type="dxa"/>
            <w:tcBorders>
              <w:top w:val="single" w:color="auto" w:sz="4" w:space="0"/>
              <w:left w:val="nil"/>
              <w:bottom w:val="single" w:color="auto" w:sz="4" w:space="0"/>
              <w:right w:val="single" w:color="auto" w:sz="4" w:space="0"/>
            </w:tcBorders>
            <w:vAlign w:val="center"/>
          </w:tcPr>
          <w:p w14:paraId="74FCF04D">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760DD9C">
            <w:pPr>
              <w:pStyle w:val="61"/>
              <w:spacing w:line="240" w:lineRule="auto"/>
              <w:rPr>
                <w:rFonts w:ascii="宋体" w:hAnsi="宋体" w:cs="宋体"/>
                <w:color w:val="auto"/>
              </w:rPr>
            </w:pPr>
            <w:r>
              <w:rPr>
                <w:rFonts w:hint="eastAsia" w:ascii="宋体" w:hAnsi="宋体" w:cs="宋体"/>
                <w:color w:val="auto"/>
              </w:rPr>
              <w:t>符合</w:t>
            </w:r>
          </w:p>
        </w:tc>
      </w:tr>
      <w:tr w14:paraId="22D78718">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D4B8AF8">
            <w:pPr>
              <w:pStyle w:val="61"/>
              <w:spacing w:line="240" w:lineRule="auto"/>
              <w:rPr>
                <w:rFonts w:ascii="宋体" w:hAnsi="宋体" w:cs="宋体"/>
                <w:color w:val="auto"/>
              </w:rPr>
            </w:pPr>
            <w:r>
              <w:rPr>
                <w:rFonts w:hint="eastAsia" w:ascii="宋体" w:hAnsi="宋体" w:cs="宋体"/>
                <w:color w:val="auto"/>
              </w:rPr>
              <w:t>2.14</w:t>
            </w:r>
          </w:p>
        </w:tc>
        <w:tc>
          <w:tcPr>
            <w:tcW w:w="6310" w:type="dxa"/>
            <w:tcBorders>
              <w:top w:val="single" w:color="auto" w:sz="8" w:space="0"/>
              <w:left w:val="single" w:color="auto" w:sz="8" w:space="0"/>
              <w:bottom w:val="single" w:color="auto" w:sz="8" w:space="0"/>
              <w:right w:val="single" w:color="auto" w:sz="4" w:space="0"/>
            </w:tcBorders>
            <w:vAlign w:val="center"/>
          </w:tcPr>
          <w:p w14:paraId="4D23821E">
            <w:pPr>
              <w:pStyle w:val="61"/>
              <w:spacing w:line="240" w:lineRule="auto"/>
              <w:jc w:val="left"/>
              <w:rPr>
                <w:rFonts w:ascii="宋体" w:hAnsi="宋体" w:cs="宋体"/>
                <w:color w:val="auto"/>
              </w:rPr>
            </w:pPr>
            <w:r>
              <w:rPr>
                <w:rFonts w:hint="eastAsia" w:ascii="宋体" w:hAnsi="宋体" w:cs="宋体"/>
                <w:color w:val="auto"/>
              </w:rPr>
              <w:t>卸油时若发生油料溅溢或其他影响卸油安全情况时，应立即停止作业并及时处理。若发生事故，应立即停止作业，并按应急预案进行应急处置。</w:t>
            </w:r>
          </w:p>
        </w:tc>
        <w:tc>
          <w:tcPr>
            <w:tcW w:w="1535" w:type="dxa"/>
            <w:tcBorders>
              <w:top w:val="single" w:color="auto" w:sz="4" w:space="0"/>
              <w:left w:val="nil"/>
              <w:bottom w:val="single" w:color="auto" w:sz="4" w:space="0"/>
              <w:right w:val="single" w:color="auto" w:sz="4" w:space="0"/>
            </w:tcBorders>
            <w:vAlign w:val="center"/>
          </w:tcPr>
          <w:p w14:paraId="3ACD10C9">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4B59499">
            <w:pPr>
              <w:pStyle w:val="61"/>
              <w:spacing w:line="240" w:lineRule="auto"/>
              <w:rPr>
                <w:rFonts w:ascii="宋体" w:hAnsi="宋体" w:cs="宋体"/>
                <w:color w:val="auto"/>
              </w:rPr>
            </w:pPr>
            <w:r>
              <w:rPr>
                <w:rFonts w:hint="eastAsia" w:ascii="宋体" w:hAnsi="宋体" w:cs="宋体"/>
                <w:color w:val="auto"/>
              </w:rPr>
              <w:t>符合</w:t>
            </w:r>
          </w:p>
        </w:tc>
      </w:tr>
      <w:tr w14:paraId="43509F54">
        <w:tblPrEx>
          <w:tblCellMar>
            <w:top w:w="0" w:type="dxa"/>
            <w:left w:w="0" w:type="dxa"/>
            <w:bottom w:w="0" w:type="dxa"/>
            <w:right w:w="0" w:type="dxa"/>
          </w:tblCellMar>
        </w:tblPrEx>
        <w:trPr>
          <w:trHeight w:val="177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9F722C4">
            <w:pPr>
              <w:pStyle w:val="61"/>
              <w:spacing w:line="240" w:lineRule="auto"/>
              <w:rPr>
                <w:rFonts w:ascii="宋体" w:hAnsi="宋体" w:cs="宋体"/>
                <w:color w:val="auto"/>
              </w:rPr>
            </w:pPr>
            <w:r>
              <w:rPr>
                <w:rFonts w:hint="eastAsia" w:ascii="宋体" w:hAnsi="宋体" w:cs="宋体"/>
                <w:color w:val="auto"/>
              </w:rPr>
              <w:t>2.15</w:t>
            </w:r>
          </w:p>
        </w:tc>
        <w:tc>
          <w:tcPr>
            <w:tcW w:w="6310" w:type="dxa"/>
            <w:tcBorders>
              <w:top w:val="single" w:color="auto" w:sz="8" w:space="0"/>
              <w:left w:val="single" w:color="auto" w:sz="8" w:space="0"/>
              <w:bottom w:val="single" w:color="auto" w:sz="8" w:space="0"/>
              <w:right w:val="single" w:color="auto" w:sz="4" w:space="0"/>
            </w:tcBorders>
            <w:vAlign w:val="center"/>
          </w:tcPr>
          <w:p w14:paraId="54ACADFC">
            <w:pPr>
              <w:rPr>
                <w:rFonts w:ascii="宋体" w:hAnsi="宋体" w:cs="宋体"/>
                <w:color w:val="auto"/>
              </w:rPr>
            </w:pPr>
            <w:r>
              <w:rPr>
                <w:rFonts w:hint="eastAsia" w:ascii="宋体" w:hAnsi="宋体" w:cs="宋体"/>
                <w:color w:val="auto"/>
              </w:rPr>
              <w:t>卸至软管内无油后，应做好以下工作：</w:t>
            </w:r>
          </w:p>
          <w:p w14:paraId="160BBAD8">
            <w:pPr>
              <w:rPr>
                <w:rFonts w:ascii="宋体" w:hAnsi="宋体" w:cs="宋体"/>
                <w:color w:val="auto"/>
              </w:rPr>
            </w:pPr>
            <w:r>
              <w:rPr>
                <w:rFonts w:hint="eastAsia" w:ascii="宋体" w:hAnsi="宋体" w:cs="宋体"/>
                <w:color w:val="auto"/>
                <w:lang w:eastAsia="zh-CN"/>
              </w:rPr>
              <w:t>a）</w:t>
            </w:r>
            <w:r>
              <w:rPr>
                <w:rFonts w:hint="eastAsia" w:ascii="宋体" w:hAnsi="宋体" w:cs="宋体"/>
                <w:color w:val="auto"/>
              </w:rPr>
              <w:t>关闭软管两端阀门；</w:t>
            </w:r>
          </w:p>
          <w:p w14:paraId="546AC536">
            <w:pPr>
              <w:rPr>
                <w:rFonts w:ascii="宋体" w:hAnsi="宋体" w:cs="宋体"/>
                <w:color w:val="auto"/>
              </w:rPr>
            </w:pPr>
            <w:r>
              <w:rPr>
                <w:rFonts w:hint="eastAsia" w:ascii="宋体" w:hAnsi="宋体" w:cs="宋体"/>
                <w:color w:val="auto"/>
                <w:lang w:eastAsia="zh-CN"/>
              </w:rPr>
              <w:t>b）</w:t>
            </w:r>
            <w:r>
              <w:rPr>
                <w:rFonts w:hint="eastAsia" w:ascii="宋体" w:hAnsi="宋体" w:cs="宋体"/>
                <w:color w:val="auto"/>
              </w:rPr>
              <w:t>拆除软管，将卸油接口的密封盖盖紧并加锁；</w:t>
            </w:r>
          </w:p>
          <w:p w14:paraId="4F202364">
            <w:pPr>
              <w:pStyle w:val="61"/>
              <w:spacing w:line="240" w:lineRule="auto"/>
              <w:jc w:val="left"/>
              <w:rPr>
                <w:rFonts w:ascii="宋体" w:hAnsi="宋体" w:cs="宋体"/>
                <w:color w:val="auto"/>
              </w:rPr>
            </w:pPr>
            <w:r>
              <w:rPr>
                <w:rFonts w:hint="eastAsia" w:ascii="宋体" w:hAnsi="宋体" w:cs="宋体"/>
                <w:color w:val="auto"/>
                <w:lang w:eastAsia="zh-CN"/>
              </w:rPr>
              <w:t>c）</w:t>
            </w:r>
            <w:r>
              <w:rPr>
                <w:rFonts w:hint="eastAsia" w:ascii="宋体" w:hAnsi="宋体" w:cs="宋体"/>
                <w:color w:val="auto"/>
              </w:rPr>
              <w:t>收回卸油软管和防静电跨接线，收存软管时不应抛摔，以防接头变形。</w:t>
            </w:r>
          </w:p>
        </w:tc>
        <w:tc>
          <w:tcPr>
            <w:tcW w:w="1535" w:type="dxa"/>
            <w:tcBorders>
              <w:top w:val="single" w:color="auto" w:sz="4" w:space="0"/>
              <w:left w:val="nil"/>
              <w:bottom w:val="single" w:color="auto" w:sz="4" w:space="0"/>
              <w:right w:val="single" w:color="auto" w:sz="4" w:space="0"/>
            </w:tcBorders>
            <w:vAlign w:val="center"/>
          </w:tcPr>
          <w:p w14:paraId="22A2401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F204A1B">
            <w:pPr>
              <w:pStyle w:val="61"/>
              <w:spacing w:line="240" w:lineRule="auto"/>
              <w:rPr>
                <w:rFonts w:ascii="宋体" w:hAnsi="宋体" w:cs="宋体"/>
                <w:color w:val="auto"/>
              </w:rPr>
            </w:pPr>
            <w:r>
              <w:rPr>
                <w:rFonts w:hint="eastAsia" w:ascii="宋体" w:hAnsi="宋体" w:cs="宋体"/>
                <w:color w:val="auto"/>
              </w:rPr>
              <w:t>符合</w:t>
            </w:r>
          </w:p>
        </w:tc>
      </w:tr>
      <w:tr w14:paraId="3C26DB0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8C276B3">
            <w:pPr>
              <w:pStyle w:val="61"/>
              <w:spacing w:line="240" w:lineRule="auto"/>
              <w:rPr>
                <w:rFonts w:ascii="宋体" w:hAnsi="宋体" w:cs="宋体"/>
                <w:color w:val="auto"/>
              </w:rPr>
            </w:pPr>
            <w:r>
              <w:rPr>
                <w:rFonts w:hint="eastAsia" w:ascii="宋体" w:hAnsi="宋体" w:cs="宋体"/>
                <w:color w:val="auto"/>
              </w:rPr>
              <w:t>2.16</w:t>
            </w:r>
          </w:p>
        </w:tc>
        <w:tc>
          <w:tcPr>
            <w:tcW w:w="6310" w:type="dxa"/>
            <w:tcBorders>
              <w:top w:val="single" w:color="auto" w:sz="8" w:space="0"/>
              <w:left w:val="single" w:color="auto" w:sz="8" w:space="0"/>
              <w:bottom w:val="single" w:color="auto" w:sz="8" w:space="0"/>
              <w:right w:val="single" w:color="auto" w:sz="4" w:space="0"/>
            </w:tcBorders>
            <w:vAlign w:val="center"/>
          </w:tcPr>
          <w:p w14:paraId="5F23C476">
            <w:pPr>
              <w:pStyle w:val="61"/>
              <w:spacing w:line="240" w:lineRule="auto"/>
              <w:jc w:val="left"/>
              <w:rPr>
                <w:rFonts w:ascii="宋体" w:hAnsi="宋体" w:cs="宋体"/>
                <w:color w:val="auto"/>
              </w:rPr>
            </w:pPr>
            <w:r>
              <w:rPr>
                <w:rFonts w:hint="eastAsia" w:ascii="宋体" w:hAnsi="宋体" w:cs="宋体"/>
                <w:color w:val="auto"/>
              </w:rPr>
              <w:t>卸油结束后，卸油员应全面检查并确认状态正常，方可引导油罐车启动车辆、离站，并清理卸油现场，将应急器材放回原位。</w:t>
            </w:r>
          </w:p>
        </w:tc>
        <w:tc>
          <w:tcPr>
            <w:tcW w:w="1535" w:type="dxa"/>
            <w:tcBorders>
              <w:top w:val="single" w:color="auto" w:sz="4" w:space="0"/>
              <w:left w:val="nil"/>
              <w:bottom w:val="single" w:color="auto" w:sz="4" w:space="0"/>
              <w:right w:val="single" w:color="auto" w:sz="4" w:space="0"/>
            </w:tcBorders>
            <w:vAlign w:val="center"/>
          </w:tcPr>
          <w:p w14:paraId="08CA9B7C">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35680C9">
            <w:pPr>
              <w:pStyle w:val="61"/>
              <w:spacing w:line="240" w:lineRule="auto"/>
              <w:rPr>
                <w:rFonts w:ascii="宋体" w:hAnsi="宋体" w:cs="宋体"/>
                <w:color w:val="auto"/>
              </w:rPr>
            </w:pPr>
            <w:r>
              <w:rPr>
                <w:rFonts w:hint="eastAsia" w:ascii="宋体" w:hAnsi="宋体" w:cs="宋体"/>
                <w:color w:val="auto"/>
              </w:rPr>
              <w:t>符合</w:t>
            </w:r>
          </w:p>
        </w:tc>
      </w:tr>
      <w:tr w14:paraId="463B78EE">
        <w:tblPrEx>
          <w:tblCellMar>
            <w:top w:w="0" w:type="dxa"/>
            <w:left w:w="0" w:type="dxa"/>
            <w:bottom w:w="0" w:type="dxa"/>
            <w:right w:w="0" w:type="dxa"/>
          </w:tblCellMar>
        </w:tblPrEx>
        <w:trPr>
          <w:trHeight w:val="371" w:hRule="atLeast"/>
          <w:jc w:val="center"/>
        </w:trPr>
        <w:tc>
          <w:tcPr>
            <w:tcW w:w="9200" w:type="dxa"/>
            <w:gridSpan w:val="4"/>
            <w:tcBorders>
              <w:top w:val="single" w:color="auto" w:sz="8" w:space="0"/>
              <w:left w:val="single" w:color="auto" w:sz="4" w:space="0"/>
              <w:bottom w:val="single" w:color="auto" w:sz="8" w:space="0"/>
              <w:right w:val="single" w:color="auto" w:sz="4" w:space="0"/>
            </w:tcBorders>
            <w:vAlign w:val="center"/>
          </w:tcPr>
          <w:p w14:paraId="55F017E5">
            <w:pPr>
              <w:pStyle w:val="61"/>
              <w:spacing w:line="240" w:lineRule="auto"/>
              <w:rPr>
                <w:rFonts w:ascii="宋体" w:hAnsi="宋体" w:cs="宋体"/>
                <w:color w:val="auto"/>
              </w:rPr>
            </w:pPr>
            <w:r>
              <w:rPr>
                <w:rFonts w:hint="eastAsia" w:ascii="宋体" w:hAnsi="宋体" w:cs="宋体"/>
                <w:color w:val="auto"/>
              </w:rPr>
              <w:t>二、加油作业</w:t>
            </w:r>
          </w:p>
        </w:tc>
      </w:tr>
      <w:tr w14:paraId="1FFB1BFA">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B7D9B9C">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0265B56B">
            <w:pPr>
              <w:pStyle w:val="61"/>
              <w:spacing w:line="240" w:lineRule="auto"/>
              <w:rPr>
                <w:rFonts w:ascii="宋体" w:hAnsi="宋体" w:cs="宋体"/>
                <w:color w:val="auto"/>
              </w:rPr>
            </w:pPr>
            <w:r>
              <w:rPr>
                <w:rFonts w:hint="eastAsia" w:ascii="宋体" w:hAnsi="宋体" w:cs="宋体"/>
                <w:color w:val="auto"/>
              </w:rPr>
              <w:t>基本要求</w:t>
            </w:r>
          </w:p>
        </w:tc>
        <w:tc>
          <w:tcPr>
            <w:tcW w:w="1535" w:type="dxa"/>
            <w:tcBorders>
              <w:top w:val="single" w:color="auto" w:sz="4" w:space="0"/>
              <w:left w:val="nil"/>
              <w:bottom w:val="single" w:color="auto" w:sz="4" w:space="0"/>
              <w:right w:val="single" w:color="auto" w:sz="4" w:space="0"/>
            </w:tcBorders>
            <w:vAlign w:val="center"/>
          </w:tcPr>
          <w:p w14:paraId="6D2DB4B7">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7E4D32FD">
            <w:pPr>
              <w:pStyle w:val="61"/>
              <w:spacing w:line="240" w:lineRule="auto"/>
              <w:rPr>
                <w:rFonts w:ascii="宋体" w:hAnsi="宋体" w:cs="宋体"/>
                <w:color w:val="auto"/>
              </w:rPr>
            </w:pPr>
          </w:p>
        </w:tc>
      </w:tr>
      <w:tr w14:paraId="6246CEAC">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21648B0">
            <w:pPr>
              <w:pStyle w:val="61"/>
              <w:spacing w:line="240" w:lineRule="auto"/>
              <w:rPr>
                <w:rFonts w:ascii="宋体" w:hAnsi="宋体" w:cs="宋体"/>
                <w:color w:val="auto"/>
              </w:rPr>
            </w:pPr>
            <w:r>
              <w:rPr>
                <w:rFonts w:hint="eastAsia" w:ascii="宋体" w:hAnsi="宋体" w:cs="宋体"/>
                <w:color w:val="auto"/>
              </w:rPr>
              <w:t>1.1</w:t>
            </w:r>
          </w:p>
        </w:tc>
        <w:tc>
          <w:tcPr>
            <w:tcW w:w="6310" w:type="dxa"/>
            <w:tcBorders>
              <w:top w:val="single" w:color="auto" w:sz="8" w:space="0"/>
              <w:left w:val="single" w:color="auto" w:sz="8" w:space="0"/>
              <w:bottom w:val="single" w:color="auto" w:sz="8" w:space="0"/>
              <w:right w:val="single" w:color="auto" w:sz="4" w:space="0"/>
            </w:tcBorders>
            <w:vAlign w:val="center"/>
          </w:tcPr>
          <w:p w14:paraId="1EACC082">
            <w:pPr>
              <w:rPr>
                <w:rFonts w:ascii="宋体" w:hAnsi="宋体" w:cs="宋体"/>
                <w:color w:val="auto"/>
              </w:rPr>
            </w:pPr>
            <w:r>
              <w:rPr>
                <w:rFonts w:hint="eastAsia" w:ascii="宋体" w:hAnsi="宋体" w:cs="宋体"/>
                <w:color w:val="auto"/>
              </w:rPr>
              <w:t>加油机附近应按GB 50156的要求配备灭火器和灭火毯。加油机爆炸危险区域内不应放置可燃性物品。</w:t>
            </w:r>
          </w:p>
        </w:tc>
        <w:tc>
          <w:tcPr>
            <w:tcW w:w="1535" w:type="dxa"/>
            <w:tcBorders>
              <w:top w:val="single" w:color="auto" w:sz="4" w:space="0"/>
              <w:left w:val="nil"/>
              <w:bottom w:val="single" w:color="auto" w:sz="4" w:space="0"/>
              <w:right w:val="single" w:color="auto" w:sz="4" w:space="0"/>
            </w:tcBorders>
            <w:vAlign w:val="center"/>
          </w:tcPr>
          <w:p w14:paraId="489FE9FB">
            <w:pPr>
              <w:pStyle w:val="61"/>
              <w:spacing w:line="240" w:lineRule="auto"/>
              <w:rPr>
                <w:rFonts w:ascii="宋体" w:hAnsi="宋体" w:cs="宋体"/>
                <w:color w:val="auto"/>
              </w:rPr>
            </w:pPr>
            <w:r>
              <w:rPr>
                <w:rFonts w:hint="eastAsia" w:ascii="宋体" w:hAnsi="宋体" w:cs="宋体"/>
                <w:color w:val="auto"/>
              </w:rPr>
              <w:t>配备灭火器和灭火毯，加油机爆炸危险区域内未放置可燃物</w:t>
            </w:r>
          </w:p>
        </w:tc>
        <w:tc>
          <w:tcPr>
            <w:tcW w:w="790" w:type="dxa"/>
            <w:tcBorders>
              <w:top w:val="single" w:color="auto" w:sz="4" w:space="0"/>
              <w:left w:val="nil"/>
              <w:bottom w:val="single" w:color="auto" w:sz="4" w:space="0"/>
              <w:right w:val="single" w:color="auto" w:sz="4" w:space="0"/>
            </w:tcBorders>
            <w:vAlign w:val="center"/>
          </w:tcPr>
          <w:p w14:paraId="579E3394">
            <w:pPr>
              <w:pStyle w:val="61"/>
              <w:spacing w:line="240" w:lineRule="auto"/>
              <w:rPr>
                <w:rFonts w:ascii="宋体" w:hAnsi="宋体" w:cs="宋体"/>
                <w:color w:val="auto"/>
              </w:rPr>
            </w:pPr>
            <w:r>
              <w:rPr>
                <w:rFonts w:hint="eastAsia" w:ascii="宋体" w:hAnsi="宋体" w:cs="宋体"/>
                <w:color w:val="auto"/>
              </w:rPr>
              <w:t>符合</w:t>
            </w:r>
          </w:p>
        </w:tc>
      </w:tr>
      <w:tr w14:paraId="5D3D41C9">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F847265">
            <w:pPr>
              <w:pStyle w:val="61"/>
              <w:spacing w:line="240" w:lineRule="auto"/>
              <w:rPr>
                <w:rFonts w:ascii="宋体" w:hAnsi="宋体" w:cs="宋体"/>
                <w:color w:val="auto"/>
              </w:rPr>
            </w:pPr>
            <w:r>
              <w:rPr>
                <w:rFonts w:hint="eastAsia" w:ascii="宋体" w:hAnsi="宋体" w:cs="宋体"/>
                <w:color w:val="auto"/>
              </w:rPr>
              <w:t>1.2</w:t>
            </w:r>
          </w:p>
        </w:tc>
        <w:tc>
          <w:tcPr>
            <w:tcW w:w="6310" w:type="dxa"/>
            <w:tcBorders>
              <w:top w:val="single" w:color="auto" w:sz="8" w:space="0"/>
              <w:left w:val="single" w:color="auto" w:sz="8" w:space="0"/>
              <w:bottom w:val="single" w:color="auto" w:sz="8" w:space="0"/>
              <w:right w:val="single" w:color="auto" w:sz="4" w:space="0"/>
            </w:tcBorders>
            <w:vAlign w:val="center"/>
          </w:tcPr>
          <w:p w14:paraId="21F43A4B">
            <w:pPr>
              <w:pStyle w:val="61"/>
              <w:spacing w:line="240" w:lineRule="auto"/>
              <w:jc w:val="left"/>
              <w:rPr>
                <w:rFonts w:ascii="宋体" w:hAnsi="宋体" w:cs="宋体"/>
                <w:color w:val="auto"/>
              </w:rPr>
            </w:pPr>
            <w:r>
              <w:rPr>
                <w:rFonts w:hint="eastAsia" w:ascii="宋体" w:hAnsi="宋体" w:cs="宋体"/>
                <w:color w:val="auto"/>
              </w:rPr>
              <w:t>不应在加油作业区外进行加油作业。不应向未采取防止静电积聚措施的绝缘性容器进行散装加注。客户不应操作非自助加油机。</w:t>
            </w:r>
          </w:p>
        </w:tc>
        <w:tc>
          <w:tcPr>
            <w:tcW w:w="1535" w:type="dxa"/>
            <w:tcBorders>
              <w:top w:val="single" w:color="auto" w:sz="4" w:space="0"/>
              <w:left w:val="nil"/>
              <w:bottom w:val="single" w:color="auto" w:sz="4" w:space="0"/>
              <w:right w:val="single" w:color="auto" w:sz="4" w:space="0"/>
            </w:tcBorders>
            <w:vAlign w:val="center"/>
          </w:tcPr>
          <w:p w14:paraId="50C4B3D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D95590B">
            <w:pPr>
              <w:pStyle w:val="61"/>
              <w:spacing w:line="240" w:lineRule="auto"/>
              <w:rPr>
                <w:rFonts w:ascii="宋体" w:hAnsi="宋体" w:cs="宋体"/>
                <w:color w:val="auto"/>
              </w:rPr>
            </w:pPr>
            <w:r>
              <w:rPr>
                <w:rFonts w:hint="eastAsia" w:ascii="宋体" w:hAnsi="宋体" w:cs="宋体"/>
                <w:color w:val="auto"/>
              </w:rPr>
              <w:t>符合</w:t>
            </w:r>
          </w:p>
        </w:tc>
      </w:tr>
      <w:tr w14:paraId="586316BF">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04322C8">
            <w:pPr>
              <w:pStyle w:val="61"/>
              <w:spacing w:line="240" w:lineRule="auto"/>
              <w:rPr>
                <w:rFonts w:ascii="宋体" w:hAnsi="宋体" w:cs="宋体"/>
                <w:color w:val="auto"/>
              </w:rPr>
            </w:pPr>
            <w:r>
              <w:rPr>
                <w:rFonts w:hint="eastAsia" w:ascii="宋体" w:hAnsi="宋体" w:cs="宋体"/>
                <w:color w:val="auto"/>
              </w:rPr>
              <w:t>1.3</w:t>
            </w:r>
          </w:p>
        </w:tc>
        <w:tc>
          <w:tcPr>
            <w:tcW w:w="6310" w:type="dxa"/>
            <w:tcBorders>
              <w:top w:val="single" w:color="auto" w:sz="8" w:space="0"/>
              <w:left w:val="single" w:color="auto" w:sz="8" w:space="0"/>
              <w:bottom w:val="single" w:color="auto" w:sz="8" w:space="0"/>
              <w:right w:val="single" w:color="auto" w:sz="4" w:space="0"/>
            </w:tcBorders>
            <w:vAlign w:val="center"/>
          </w:tcPr>
          <w:p w14:paraId="19700A25">
            <w:pPr>
              <w:pStyle w:val="61"/>
              <w:spacing w:line="240" w:lineRule="auto"/>
              <w:jc w:val="left"/>
              <w:rPr>
                <w:rFonts w:ascii="宋体" w:hAnsi="宋体" w:cs="宋体"/>
                <w:color w:val="auto"/>
              </w:rPr>
            </w:pPr>
            <w:r>
              <w:rPr>
                <w:rFonts w:hint="eastAsia" w:ascii="宋体" w:hAnsi="宋体" w:cs="宋体"/>
                <w:color w:val="auto"/>
              </w:rPr>
              <w:t>具有自助加油功能的加油站应在营业室内设置紧急切断系统，在事故状态下迅速切断油泵电源，紧急切断系统应为故障安全型；加油站应通过加油机音频提示客户进行加油操作。自助加油机处宜 采取静电检测等技术措施，提示客户在靠近油箱口前先消除人体静电。</w:t>
            </w:r>
          </w:p>
        </w:tc>
        <w:tc>
          <w:tcPr>
            <w:tcW w:w="1535" w:type="dxa"/>
            <w:tcBorders>
              <w:top w:val="single" w:color="auto" w:sz="4" w:space="0"/>
              <w:left w:val="nil"/>
              <w:bottom w:val="single" w:color="auto" w:sz="4" w:space="0"/>
              <w:right w:val="single" w:color="auto" w:sz="4" w:space="0"/>
            </w:tcBorders>
            <w:vAlign w:val="center"/>
          </w:tcPr>
          <w:p w14:paraId="326B0F8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54501AA">
            <w:pPr>
              <w:pStyle w:val="61"/>
              <w:spacing w:line="240" w:lineRule="auto"/>
              <w:rPr>
                <w:rFonts w:ascii="宋体" w:hAnsi="宋体" w:cs="宋体"/>
                <w:color w:val="auto"/>
              </w:rPr>
            </w:pPr>
            <w:r>
              <w:rPr>
                <w:rFonts w:hint="eastAsia" w:ascii="宋体" w:hAnsi="宋体" w:cs="宋体"/>
                <w:color w:val="auto"/>
              </w:rPr>
              <w:t>符合</w:t>
            </w:r>
          </w:p>
        </w:tc>
      </w:tr>
      <w:tr w14:paraId="2B6F5849">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C0602A2">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2D0D81D8">
            <w:pPr>
              <w:pStyle w:val="61"/>
              <w:spacing w:line="240" w:lineRule="auto"/>
              <w:rPr>
                <w:rFonts w:ascii="宋体" w:hAnsi="宋体" w:cs="宋体"/>
                <w:color w:val="auto"/>
              </w:rPr>
            </w:pPr>
            <w:r>
              <w:rPr>
                <w:rFonts w:hint="eastAsia" w:ascii="宋体" w:hAnsi="宋体" w:cs="宋体"/>
                <w:color w:val="auto"/>
              </w:rPr>
              <w:t>加油</w:t>
            </w:r>
          </w:p>
        </w:tc>
        <w:tc>
          <w:tcPr>
            <w:tcW w:w="1535" w:type="dxa"/>
            <w:tcBorders>
              <w:top w:val="single" w:color="auto" w:sz="4" w:space="0"/>
              <w:left w:val="nil"/>
              <w:bottom w:val="single" w:color="auto" w:sz="4" w:space="0"/>
              <w:right w:val="single" w:color="auto" w:sz="4" w:space="0"/>
            </w:tcBorders>
            <w:vAlign w:val="center"/>
          </w:tcPr>
          <w:p w14:paraId="30407F8D">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63D67CAE">
            <w:pPr>
              <w:pStyle w:val="61"/>
              <w:spacing w:line="240" w:lineRule="auto"/>
              <w:rPr>
                <w:rFonts w:ascii="宋体" w:hAnsi="宋体" w:cs="宋体"/>
                <w:color w:val="auto"/>
              </w:rPr>
            </w:pPr>
          </w:p>
        </w:tc>
      </w:tr>
      <w:tr w14:paraId="1ADE2A0E">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5FC93B2">
            <w:pPr>
              <w:pStyle w:val="61"/>
              <w:spacing w:line="240" w:lineRule="auto"/>
              <w:rPr>
                <w:rFonts w:ascii="宋体" w:hAnsi="宋体" w:cs="宋体"/>
                <w:color w:val="auto"/>
              </w:rPr>
            </w:pPr>
            <w:r>
              <w:rPr>
                <w:rFonts w:hint="eastAsia" w:ascii="宋体" w:hAnsi="宋体" w:cs="宋体"/>
                <w:color w:val="auto"/>
              </w:rPr>
              <w:t>2.1</w:t>
            </w:r>
          </w:p>
        </w:tc>
        <w:tc>
          <w:tcPr>
            <w:tcW w:w="6310" w:type="dxa"/>
            <w:tcBorders>
              <w:top w:val="single" w:color="auto" w:sz="8" w:space="0"/>
              <w:left w:val="single" w:color="auto" w:sz="8" w:space="0"/>
              <w:bottom w:val="single" w:color="auto" w:sz="8" w:space="0"/>
              <w:right w:val="single" w:color="auto" w:sz="4" w:space="0"/>
            </w:tcBorders>
            <w:vAlign w:val="center"/>
          </w:tcPr>
          <w:p w14:paraId="3ADA7040">
            <w:pPr>
              <w:pStyle w:val="61"/>
              <w:spacing w:line="240" w:lineRule="auto"/>
              <w:jc w:val="left"/>
              <w:rPr>
                <w:rFonts w:ascii="宋体" w:hAnsi="宋体" w:cs="宋体"/>
                <w:color w:val="auto"/>
              </w:rPr>
            </w:pPr>
            <w:r>
              <w:rPr>
                <w:rFonts w:hint="eastAsia" w:ascii="宋体" w:hAnsi="宋体" w:cs="宋体"/>
                <w:color w:val="auto"/>
              </w:rPr>
              <w:t>车辆驶入非自助加油站时，加油员宜主动引导车辆进入加油位置</w:t>
            </w:r>
          </w:p>
        </w:tc>
        <w:tc>
          <w:tcPr>
            <w:tcW w:w="1535" w:type="dxa"/>
            <w:tcBorders>
              <w:top w:val="single" w:color="auto" w:sz="4" w:space="0"/>
              <w:left w:val="nil"/>
              <w:bottom w:val="single" w:color="auto" w:sz="4" w:space="0"/>
              <w:right w:val="single" w:color="auto" w:sz="4" w:space="0"/>
            </w:tcBorders>
            <w:vAlign w:val="center"/>
          </w:tcPr>
          <w:p w14:paraId="1A52606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78311A4">
            <w:pPr>
              <w:pStyle w:val="61"/>
              <w:spacing w:line="240" w:lineRule="auto"/>
              <w:rPr>
                <w:rFonts w:ascii="宋体" w:hAnsi="宋体" w:cs="宋体"/>
                <w:color w:val="auto"/>
              </w:rPr>
            </w:pPr>
            <w:r>
              <w:rPr>
                <w:rFonts w:hint="eastAsia" w:ascii="宋体" w:hAnsi="宋体" w:cs="宋体"/>
                <w:color w:val="auto"/>
              </w:rPr>
              <w:t>符合</w:t>
            </w:r>
          </w:p>
        </w:tc>
      </w:tr>
      <w:tr w14:paraId="1EE0F10E">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388AA4A">
            <w:pPr>
              <w:pStyle w:val="61"/>
              <w:spacing w:line="240" w:lineRule="auto"/>
              <w:rPr>
                <w:rFonts w:ascii="宋体" w:hAnsi="宋体" w:cs="宋体"/>
                <w:color w:val="auto"/>
              </w:rPr>
            </w:pPr>
            <w:r>
              <w:rPr>
                <w:rFonts w:hint="eastAsia" w:ascii="宋体" w:hAnsi="宋体" w:cs="宋体"/>
                <w:color w:val="auto"/>
              </w:rPr>
              <w:t>2.2</w:t>
            </w:r>
          </w:p>
        </w:tc>
        <w:tc>
          <w:tcPr>
            <w:tcW w:w="6310" w:type="dxa"/>
            <w:tcBorders>
              <w:top w:val="single" w:color="auto" w:sz="8" w:space="0"/>
              <w:left w:val="single" w:color="auto" w:sz="8" w:space="0"/>
              <w:bottom w:val="single" w:color="auto" w:sz="8" w:space="0"/>
              <w:right w:val="single" w:color="auto" w:sz="4" w:space="0"/>
            </w:tcBorders>
            <w:vAlign w:val="center"/>
          </w:tcPr>
          <w:p w14:paraId="5EF53538">
            <w:pPr>
              <w:pStyle w:val="61"/>
              <w:spacing w:line="240" w:lineRule="auto"/>
              <w:jc w:val="left"/>
              <w:rPr>
                <w:rFonts w:ascii="宋体" w:hAnsi="宋体" w:cs="宋体"/>
                <w:color w:val="auto"/>
              </w:rPr>
            </w:pPr>
            <w:r>
              <w:rPr>
                <w:rFonts w:hint="eastAsia" w:ascii="宋体" w:hAnsi="宋体" w:cs="宋体"/>
                <w:color w:val="auto"/>
              </w:rPr>
              <w:t>加油作业前，加油员应确认车辆停稳、熄火；摩托车驾驶人和乘坐人员应离开座位，并将车辆熄火、放置平稳；加油员与客户确认油品的名称和牌号等信息；应提示客户在靠近油箱口前先释放人体静电。</w:t>
            </w:r>
          </w:p>
        </w:tc>
        <w:tc>
          <w:tcPr>
            <w:tcW w:w="1535" w:type="dxa"/>
            <w:tcBorders>
              <w:top w:val="single" w:color="auto" w:sz="4" w:space="0"/>
              <w:left w:val="nil"/>
              <w:bottom w:val="single" w:color="auto" w:sz="4" w:space="0"/>
              <w:right w:val="single" w:color="auto" w:sz="4" w:space="0"/>
            </w:tcBorders>
            <w:vAlign w:val="center"/>
          </w:tcPr>
          <w:p w14:paraId="0F75DFAD">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B8508DB">
            <w:pPr>
              <w:pStyle w:val="61"/>
              <w:spacing w:line="240" w:lineRule="auto"/>
              <w:rPr>
                <w:rFonts w:ascii="宋体" w:hAnsi="宋体" w:cs="宋体"/>
                <w:color w:val="auto"/>
              </w:rPr>
            </w:pPr>
            <w:r>
              <w:rPr>
                <w:rFonts w:hint="eastAsia" w:ascii="宋体" w:hAnsi="宋体" w:cs="宋体"/>
                <w:color w:val="auto"/>
              </w:rPr>
              <w:t>符合</w:t>
            </w:r>
          </w:p>
        </w:tc>
      </w:tr>
      <w:tr w14:paraId="4DBF988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F03BC79">
            <w:pPr>
              <w:pStyle w:val="61"/>
              <w:spacing w:line="240" w:lineRule="auto"/>
              <w:rPr>
                <w:rFonts w:ascii="宋体" w:hAnsi="宋体" w:cs="宋体"/>
                <w:color w:val="auto"/>
              </w:rPr>
            </w:pPr>
            <w:r>
              <w:rPr>
                <w:rFonts w:hint="eastAsia" w:ascii="宋体" w:hAnsi="宋体" w:cs="宋体"/>
                <w:color w:val="auto"/>
              </w:rPr>
              <w:t>2.3</w:t>
            </w:r>
          </w:p>
        </w:tc>
        <w:tc>
          <w:tcPr>
            <w:tcW w:w="6310" w:type="dxa"/>
            <w:tcBorders>
              <w:top w:val="single" w:color="auto" w:sz="8" w:space="0"/>
              <w:left w:val="single" w:color="auto" w:sz="8" w:space="0"/>
              <w:bottom w:val="single" w:color="auto" w:sz="8" w:space="0"/>
              <w:right w:val="single" w:color="auto" w:sz="4" w:space="0"/>
            </w:tcBorders>
            <w:vAlign w:val="center"/>
          </w:tcPr>
          <w:p w14:paraId="0FD81CF2">
            <w:pPr>
              <w:pStyle w:val="61"/>
              <w:spacing w:line="240" w:lineRule="auto"/>
              <w:jc w:val="left"/>
              <w:rPr>
                <w:rFonts w:ascii="宋体" w:hAnsi="宋体" w:cs="宋体"/>
                <w:color w:val="auto"/>
              </w:rPr>
            </w:pPr>
            <w:r>
              <w:rPr>
                <w:rFonts w:hint="eastAsia" w:ascii="宋体" w:hAnsi="宋体" w:cs="宋体"/>
                <w:color w:val="auto"/>
              </w:rPr>
              <w:t>加油枪应为自封式加油枪，汽油加油流量不应大于50L/min。</w:t>
            </w:r>
          </w:p>
        </w:tc>
        <w:tc>
          <w:tcPr>
            <w:tcW w:w="1535" w:type="dxa"/>
            <w:tcBorders>
              <w:top w:val="single" w:color="auto" w:sz="4" w:space="0"/>
              <w:left w:val="nil"/>
              <w:bottom w:val="single" w:color="auto" w:sz="4" w:space="0"/>
              <w:right w:val="single" w:color="auto" w:sz="4" w:space="0"/>
            </w:tcBorders>
            <w:vAlign w:val="center"/>
          </w:tcPr>
          <w:p w14:paraId="0467DA25">
            <w:pPr>
              <w:pStyle w:val="61"/>
              <w:spacing w:line="240" w:lineRule="auto"/>
              <w:rPr>
                <w:rFonts w:ascii="宋体" w:hAnsi="宋体" w:cs="宋体"/>
                <w:color w:val="auto"/>
              </w:rPr>
            </w:pPr>
            <w:r>
              <w:rPr>
                <w:rFonts w:hint="eastAsia" w:ascii="宋体" w:hAnsi="宋体" w:cs="宋体"/>
                <w:color w:val="auto"/>
              </w:rPr>
              <w:t>汽油加油流量不大于50L/min</w:t>
            </w:r>
          </w:p>
        </w:tc>
        <w:tc>
          <w:tcPr>
            <w:tcW w:w="790" w:type="dxa"/>
            <w:tcBorders>
              <w:top w:val="single" w:color="auto" w:sz="4" w:space="0"/>
              <w:left w:val="nil"/>
              <w:bottom w:val="single" w:color="auto" w:sz="4" w:space="0"/>
              <w:right w:val="single" w:color="auto" w:sz="4" w:space="0"/>
            </w:tcBorders>
            <w:vAlign w:val="center"/>
          </w:tcPr>
          <w:p w14:paraId="6671B8C0">
            <w:pPr>
              <w:pStyle w:val="61"/>
              <w:spacing w:line="240" w:lineRule="auto"/>
              <w:rPr>
                <w:rFonts w:ascii="宋体" w:hAnsi="宋体" w:cs="宋体"/>
                <w:color w:val="auto"/>
              </w:rPr>
            </w:pPr>
            <w:r>
              <w:rPr>
                <w:rFonts w:hint="eastAsia" w:ascii="宋体" w:hAnsi="宋体" w:cs="宋体"/>
                <w:color w:val="auto"/>
              </w:rPr>
              <w:t>符合</w:t>
            </w:r>
          </w:p>
        </w:tc>
      </w:tr>
      <w:tr w14:paraId="2FAA0F88">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41D9E1D">
            <w:pPr>
              <w:pStyle w:val="61"/>
              <w:spacing w:line="240" w:lineRule="auto"/>
              <w:rPr>
                <w:rFonts w:ascii="宋体" w:hAnsi="宋体" w:cs="宋体"/>
                <w:color w:val="auto"/>
              </w:rPr>
            </w:pPr>
            <w:r>
              <w:rPr>
                <w:rFonts w:hint="eastAsia" w:ascii="宋体" w:hAnsi="宋体" w:cs="宋体"/>
                <w:color w:val="auto"/>
              </w:rPr>
              <w:t>2.4</w:t>
            </w:r>
          </w:p>
        </w:tc>
        <w:tc>
          <w:tcPr>
            <w:tcW w:w="6310" w:type="dxa"/>
            <w:tcBorders>
              <w:top w:val="single" w:color="auto" w:sz="8" w:space="0"/>
              <w:left w:val="single" w:color="auto" w:sz="8" w:space="0"/>
              <w:bottom w:val="single" w:color="auto" w:sz="8" w:space="0"/>
              <w:right w:val="single" w:color="auto" w:sz="4" w:space="0"/>
            </w:tcBorders>
            <w:vAlign w:val="center"/>
          </w:tcPr>
          <w:p w14:paraId="16C81B0C">
            <w:pPr>
              <w:pStyle w:val="61"/>
              <w:spacing w:line="240" w:lineRule="auto"/>
              <w:jc w:val="left"/>
              <w:rPr>
                <w:rFonts w:ascii="宋体" w:hAnsi="宋体" w:cs="宋体"/>
                <w:color w:val="auto"/>
              </w:rPr>
            </w:pPr>
            <w:r>
              <w:rPr>
                <w:rFonts w:hint="eastAsia" w:ascii="宋体" w:hAnsi="宋体" w:cs="宋体"/>
                <w:color w:val="auto"/>
              </w:rPr>
              <w:t>加油时应避免油料溅出，若发生油料滴漏、溢洒或影响加油作业安全的情况，应立即停止加油， 并及时处理。</w:t>
            </w:r>
          </w:p>
        </w:tc>
        <w:tc>
          <w:tcPr>
            <w:tcW w:w="1535" w:type="dxa"/>
            <w:tcBorders>
              <w:top w:val="single" w:color="auto" w:sz="4" w:space="0"/>
              <w:left w:val="nil"/>
              <w:bottom w:val="single" w:color="auto" w:sz="4" w:space="0"/>
              <w:right w:val="single" w:color="auto" w:sz="4" w:space="0"/>
            </w:tcBorders>
            <w:vAlign w:val="center"/>
          </w:tcPr>
          <w:p w14:paraId="386CA134">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25343E2">
            <w:pPr>
              <w:pStyle w:val="61"/>
              <w:spacing w:line="240" w:lineRule="auto"/>
              <w:rPr>
                <w:rFonts w:ascii="宋体" w:hAnsi="宋体" w:cs="宋体"/>
                <w:color w:val="auto"/>
              </w:rPr>
            </w:pPr>
            <w:r>
              <w:rPr>
                <w:rFonts w:hint="eastAsia" w:ascii="宋体" w:hAnsi="宋体" w:cs="宋体"/>
                <w:color w:val="auto"/>
              </w:rPr>
              <w:t>符合</w:t>
            </w:r>
          </w:p>
        </w:tc>
      </w:tr>
      <w:tr w14:paraId="5C7E9CED">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35513D3">
            <w:pPr>
              <w:pStyle w:val="61"/>
              <w:spacing w:line="240" w:lineRule="auto"/>
              <w:rPr>
                <w:rFonts w:ascii="宋体" w:hAnsi="宋体" w:cs="宋体"/>
                <w:color w:val="auto"/>
              </w:rPr>
            </w:pPr>
            <w:r>
              <w:rPr>
                <w:rFonts w:hint="eastAsia" w:ascii="宋体" w:hAnsi="宋体" w:cs="宋体"/>
                <w:color w:val="auto"/>
              </w:rPr>
              <w:t>2.5</w:t>
            </w:r>
          </w:p>
        </w:tc>
        <w:tc>
          <w:tcPr>
            <w:tcW w:w="6310" w:type="dxa"/>
            <w:tcBorders>
              <w:top w:val="single" w:color="auto" w:sz="8" w:space="0"/>
              <w:left w:val="single" w:color="auto" w:sz="8" w:space="0"/>
              <w:bottom w:val="single" w:color="auto" w:sz="8" w:space="0"/>
              <w:right w:val="single" w:color="auto" w:sz="4" w:space="0"/>
            </w:tcBorders>
            <w:vAlign w:val="center"/>
          </w:tcPr>
          <w:p w14:paraId="52EABD3B">
            <w:pPr>
              <w:pStyle w:val="61"/>
              <w:spacing w:line="240" w:lineRule="auto"/>
              <w:jc w:val="left"/>
              <w:rPr>
                <w:rFonts w:ascii="宋体" w:hAnsi="宋体" w:cs="宋体"/>
                <w:color w:val="auto"/>
              </w:rPr>
            </w:pPr>
            <w:r>
              <w:rPr>
                <w:rFonts w:hint="eastAsia" w:ascii="宋体" w:hAnsi="宋体" w:cs="宋体"/>
                <w:color w:val="auto"/>
              </w:rPr>
              <w:t>加完油后，应立即将加油枪复位于加油机。</w:t>
            </w:r>
          </w:p>
        </w:tc>
        <w:tc>
          <w:tcPr>
            <w:tcW w:w="1535" w:type="dxa"/>
            <w:tcBorders>
              <w:top w:val="single" w:color="auto" w:sz="4" w:space="0"/>
              <w:left w:val="nil"/>
              <w:bottom w:val="single" w:color="auto" w:sz="4" w:space="0"/>
              <w:right w:val="single" w:color="auto" w:sz="4" w:space="0"/>
            </w:tcBorders>
            <w:vAlign w:val="center"/>
          </w:tcPr>
          <w:p w14:paraId="466EA26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529F79A">
            <w:pPr>
              <w:pStyle w:val="61"/>
              <w:spacing w:line="240" w:lineRule="auto"/>
              <w:rPr>
                <w:rFonts w:ascii="宋体" w:hAnsi="宋体" w:cs="宋体"/>
                <w:color w:val="auto"/>
              </w:rPr>
            </w:pPr>
            <w:r>
              <w:rPr>
                <w:rFonts w:hint="eastAsia" w:ascii="宋体" w:hAnsi="宋体" w:cs="宋体"/>
                <w:color w:val="auto"/>
              </w:rPr>
              <w:t>符合</w:t>
            </w:r>
          </w:p>
        </w:tc>
      </w:tr>
      <w:tr w14:paraId="15A0CFCC">
        <w:tblPrEx>
          <w:tblCellMar>
            <w:top w:w="0" w:type="dxa"/>
            <w:left w:w="0" w:type="dxa"/>
            <w:bottom w:w="0" w:type="dxa"/>
            <w:right w:w="0" w:type="dxa"/>
          </w:tblCellMar>
        </w:tblPrEx>
        <w:trPr>
          <w:trHeight w:val="371" w:hRule="atLeast"/>
          <w:jc w:val="center"/>
        </w:trPr>
        <w:tc>
          <w:tcPr>
            <w:tcW w:w="9200" w:type="dxa"/>
            <w:gridSpan w:val="4"/>
            <w:tcBorders>
              <w:top w:val="single" w:color="auto" w:sz="8" w:space="0"/>
              <w:left w:val="single" w:color="auto" w:sz="4" w:space="0"/>
              <w:bottom w:val="single" w:color="auto" w:sz="8" w:space="0"/>
              <w:right w:val="single" w:color="auto" w:sz="4" w:space="0"/>
            </w:tcBorders>
            <w:vAlign w:val="center"/>
          </w:tcPr>
          <w:p w14:paraId="3293C234">
            <w:pPr>
              <w:pStyle w:val="61"/>
              <w:spacing w:line="240" w:lineRule="auto"/>
              <w:rPr>
                <w:rFonts w:ascii="宋体" w:hAnsi="宋体" w:cs="宋体"/>
                <w:color w:val="auto"/>
              </w:rPr>
            </w:pPr>
            <w:r>
              <w:rPr>
                <w:rFonts w:hint="eastAsia" w:ascii="宋体" w:hAnsi="宋体" w:cs="宋体"/>
                <w:color w:val="auto"/>
              </w:rPr>
              <w:t>三、油罐计量</w:t>
            </w:r>
          </w:p>
        </w:tc>
      </w:tr>
      <w:tr w14:paraId="53ABE18C">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01CA27E">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4BAEC4BF">
            <w:pPr>
              <w:pStyle w:val="61"/>
              <w:spacing w:line="240" w:lineRule="auto"/>
              <w:jc w:val="left"/>
              <w:rPr>
                <w:rFonts w:ascii="宋体" w:hAnsi="宋体" w:cs="宋体"/>
                <w:color w:val="auto"/>
              </w:rPr>
            </w:pPr>
            <w:r>
              <w:rPr>
                <w:rFonts w:hint="eastAsia" w:ascii="宋体" w:hAnsi="宋体" w:cs="宋体"/>
                <w:color w:val="auto"/>
              </w:rPr>
              <w:t>应采用电子液位计进行测量。人工计量时，应使用符合计量和安全要求的计量器具。</w:t>
            </w:r>
          </w:p>
        </w:tc>
        <w:tc>
          <w:tcPr>
            <w:tcW w:w="1535" w:type="dxa"/>
            <w:tcBorders>
              <w:top w:val="single" w:color="auto" w:sz="4" w:space="0"/>
              <w:left w:val="nil"/>
              <w:bottom w:val="single" w:color="auto" w:sz="4" w:space="0"/>
              <w:right w:val="single" w:color="auto" w:sz="4" w:space="0"/>
            </w:tcBorders>
            <w:vAlign w:val="center"/>
          </w:tcPr>
          <w:p w14:paraId="1EEF5D35">
            <w:pPr>
              <w:pStyle w:val="61"/>
              <w:spacing w:line="240" w:lineRule="auto"/>
              <w:rPr>
                <w:rFonts w:ascii="宋体" w:hAnsi="宋体" w:cs="宋体"/>
                <w:color w:val="auto"/>
              </w:rPr>
            </w:pPr>
            <w:r>
              <w:rPr>
                <w:rFonts w:hint="eastAsia" w:ascii="宋体" w:hAnsi="宋体" w:cs="宋体"/>
                <w:color w:val="auto"/>
              </w:rPr>
              <w:t>设置电子液位计</w:t>
            </w:r>
          </w:p>
        </w:tc>
        <w:tc>
          <w:tcPr>
            <w:tcW w:w="790" w:type="dxa"/>
            <w:tcBorders>
              <w:top w:val="single" w:color="auto" w:sz="4" w:space="0"/>
              <w:left w:val="nil"/>
              <w:bottom w:val="single" w:color="auto" w:sz="4" w:space="0"/>
              <w:right w:val="single" w:color="auto" w:sz="4" w:space="0"/>
            </w:tcBorders>
            <w:vAlign w:val="center"/>
          </w:tcPr>
          <w:p w14:paraId="078FEC2C">
            <w:pPr>
              <w:pStyle w:val="61"/>
              <w:spacing w:line="240" w:lineRule="auto"/>
              <w:rPr>
                <w:rFonts w:ascii="宋体" w:hAnsi="宋体" w:cs="宋体"/>
                <w:color w:val="auto"/>
              </w:rPr>
            </w:pPr>
            <w:r>
              <w:rPr>
                <w:rFonts w:hint="eastAsia" w:ascii="宋体" w:hAnsi="宋体" w:cs="宋体"/>
                <w:color w:val="auto"/>
              </w:rPr>
              <w:t>符合</w:t>
            </w:r>
          </w:p>
        </w:tc>
      </w:tr>
      <w:tr w14:paraId="28D91B6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095774D">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2D442112">
            <w:pPr>
              <w:pStyle w:val="61"/>
              <w:spacing w:line="240" w:lineRule="auto"/>
              <w:jc w:val="left"/>
              <w:rPr>
                <w:rFonts w:ascii="宋体" w:hAnsi="宋体" w:cs="宋体"/>
                <w:color w:val="auto"/>
              </w:rPr>
            </w:pPr>
            <w:r>
              <w:rPr>
                <w:rFonts w:hint="eastAsia" w:ascii="宋体" w:hAnsi="宋体" w:cs="宋体"/>
                <w:color w:val="auto"/>
              </w:rPr>
              <w:t>油罐静态计量时，与该罐连接的给油设备应停止使用。</w:t>
            </w:r>
          </w:p>
        </w:tc>
        <w:tc>
          <w:tcPr>
            <w:tcW w:w="1535" w:type="dxa"/>
            <w:tcBorders>
              <w:top w:val="single" w:color="auto" w:sz="4" w:space="0"/>
              <w:left w:val="nil"/>
              <w:bottom w:val="single" w:color="auto" w:sz="4" w:space="0"/>
              <w:right w:val="single" w:color="auto" w:sz="4" w:space="0"/>
            </w:tcBorders>
            <w:vAlign w:val="center"/>
          </w:tcPr>
          <w:p w14:paraId="29005C8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3C24008">
            <w:pPr>
              <w:pStyle w:val="61"/>
              <w:spacing w:line="240" w:lineRule="auto"/>
              <w:rPr>
                <w:rFonts w:ascii="宋体" w:hAnsi="宋体" w:cs="宋体"/>
                <w:color w:val="auto"/>
              </w:rPr>
            </w:pPr>
            <w:r>
              <w:rPr>
                <w:rFonts w:hint="eastAsia" w:ascii="宋体" w:hAnsi="宋体" w:cs="宋体"/>
                <w:color w:val="auto"/>
              </w:rPr>
              <w:t>符合</w:t>
            </w:r>
          </w:p>
        </w:tc>
      </w:tr>
      <w:tr w14:paraId="69611C65">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92C1706">
            <w:pPr>
              <w:pStyle w:val="61"/>
              <w:spacing w:line="240" w:lineRule="auto"/>
              <w:rPr>
                <w:rFonts w:ascii="宋体" w:hAnsi="宋体" w:cs="宋体"/>
                <w:color w:val="auto"/>
              </w:rPr>
            </w:pPr>
            <w:r>
              <w:rPr>
                <w:rFonts w:hint="eastAsia" w:ascii="宋体" w:hAnsi="宋体" w:cs="宋体"/>
                <w:color w:val="auto"/>
              </w:rPr>
              <w:t>3</w:t>
            </w:r>
          </w:p>
        </w:tc>
        <w:tc>
          <w:tcPr>
            <w:tcW w:w="6310" w:type="dxa"/>
            <w:tcBorders>
              <w:top w:val="single" w:color="auto" w:sz="8" w:space="0"/>
              <w:left w:val="single" w:color="auto" w:sz="8" w:space="0"/>
              <w:bottom w:val="single" w:color="auto" w:sz="8" w:space="0"/>
              <w:right w:val="single" w:color="auto" w:sz="4" w:space="0"/>
            </w:tcBorders>
            <w:vAlign w:val="center"/>
          </w:tcPr>
          <w:p w14:paraId="42BDB94C">
            <w:pPr>
              <w:pStyle w:val="61"/>
              <w:spacing w:line="240" w:lineRule="auto"/>
              <w:jc w:val="left"/>
              <w:rPr>
                <w:rFonts w:ascii="宋体" w:hAnsi="宋体" w:cs="宋体"/>
                <w:color w:val="auto"/>
              </w:rPr>
            </w:pPr>
            <w:r>
              <w:rPr>
                <w:rFonts w:hint="eastAsia" w:ascii="宋体" w:hAnsi="宋体" w:cs="宋体"/>
                <w:color w:val="auto"/>
              </w:rPr>
              <w:t>卸油后，静置5min 后方可进行人工取样、测水和计量，人宜站在上风方向进行作业。对于汽油罐，若罐内正压，应先打开通气阀进行泄压后再打开量油帽，作业结束后，应及时复位。</w:t>
            </w:r>
          </w:p>
        </w:tc>
        <w:tc>
          <w:tcPr>
            <w:tcW w:w="1535" w:type="dxa"/>
            <w:tcBorders>
              <w:top w:val="single" w:color="auto" w:sz="4" w:space="0"/>
              <w:left w:val="nil"/>
              <w:bottom w:val="single" w:color="auto" w:sz="4" w:space="0"/>
              <w:right w:val="single" w:color="auto" w:sz="4" w:space="0"/>
            </w:tcBorders>
            <w:vAlign w:val="center"/>
          </w:tcPr>
          <w:p w14:paraId="5DF307DE">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BF51F1F">
            <w:pPr>
              <w:pStyle w:val="61"/>
              <w:spacing w:line="240" w:lineRule="auto"/>
              <w:rPr>
                <w:rFonts w:ascii="宋体" w:hAnsi="宋体" w:cs="宋体"/>
                <w:color w:val="auto"/>
              </w:rPr>
            </w:pPr>
            <w:r>
              <w:rPr>
                <w:rFonts w:hint="eastAsia" w:ascii="宋体" w:hAnsi="宋体" w:cs="宋体"/>
                <w:color w:val="auto"/>
              </w:rPr>
              <w:t>符合</w:t>
            </w:r>
          </w:p>
        </w:tc>
      </w:tr>
      <w:tr w14:paraId="7B0D8CC4">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E8B6E6F">
            <w:pPr>
              <w:pStyle w:val="61"/>
              <w:spacing w:line="240" w:lineRule="auto"/>
              <w:rPr>
                <w:rFonts w:ascii="宋体" w:hAnsi="宋体" w:cs="宋体"/>
                <w:color w:val="auto"/>
              </w:rPr>
            </w:pPr>
            <w:r>
              <w:rPr>
                <w:rFonts w:hint="eastAsia" w:ascii="宋体" w:hAnsi="宋体" w:cs="宋体"/>
                <w:color w:val="auto"/>
              </w:rPr>
              <w:t>4</w:t>
            </w:r>
          </w:p>
        </w:tc>
        <w:tc>
          <w:tcPr>
            <w:tcW w:w="6310" w:type="dxa"/>
            <w:tcBorders>
              <w:top w:val="single" w:color="auto" w:sz="8" w:space="0"/>
              <w:left w:val="single" w:color="auto" w:sz="8" w:space="0"/>
              <w:bottom w:val="single" w:color="auto" w:sz="8" w:space="0"/>
              <w:right w:val="single" w:color="auto" w:sz="4" w:space="0"/>
            </w:tcBorders>
            <w:vAlign w:val="center"/>
          </w:tcPr>
          <w:p w14:paraId="736523B2">
            <w:pPr>
              <w:pStyle w:val="61"/>
              <w:spacing w:line="240" w:lineRule="auto"/>
              <w:jc w:val="left"/>
              <w:rPr>
                <w:rFonts w:ascii="宋体" w:hAnsi="宋体" w:cs="宋体"/>
                <w:color w:val="auto"/>
              </w:rPr>
            </w:pPr>
            <w:r>
              <w:rPr>
                <w:rFonts w:hint="eastAsia" w:ascii="宋体" w:hAnsi="宋体" w:cs="宋体"/>
                <w:color w:val="auto"/>
              </w:rPr>
              <w:t>采用人工取样、计量、测水和测温时，工具应符合安全要求，工具上提速度不应大于0.5m/s, 下落速度不应大于1m/s。</w:t>
            </w:r>
          </w:p>
        </w:tc>
        <w:tc>
          <w:tcPr>
            <w:tcW w:w="1535" w:type="dxa"/>
            <w:tcBorders>
              <w:top w:val="single" w:color="auto" w:sz="4" w:space="0"/>
              <w:left w:val="nil"/>
              <w:bottom w:val="single" w:color="auto" w:sz="4" w:space="0"/>
              <w:right w:val="single" w:color="auto" w:sz="4" w:space="0"/>
            </w:tcBorders>
            <w:vAlign w:val="center"/>
          </w:tcPr>
          <w:p w14:paraId="46DE98D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F149FE6">
            <w:pPr>
              <w:pStyle w:val="61"/>
              <w:spacing w:line="240" w:lineRule="auto"/>
              <w:rPr>
                <w:rFonts w:ascii="宋体" w:hAnsi="宋体" w:cs="宋体"/>
                <w:color w:val="auto"/>
              </w:rPr>
            </w:pPr>
            <w:r>
              <w:rPr>
                <w:rFonts w:hint="eastAsia" w:ascii="宋体" w:hAnsi="宋体" w:cs="宋体"/>
                <w:color w:val="auto"/>
              </w:rPr>
              <w:t>符合</w:t>
            </w:r>
          </w:p>
        </w:tc>
      </w:tr>
      <w:tr w14:paraId="7DB663B2">
        <w:tblPrEx>
          <w:tblCellMar>
            <w:top w:w="0" w:type="dxa"/>
            <w:left w:w="0" w:type="dxa"/>
            <w:bottom w:w="0" w:type="dxa"/>
            <w:right w:w="0" w:type="dxa"/>
          </w:tblCellMar>
        </w:tblPrEx>
        <w:trPr>
          <w:trHeight w:val="371" w:hRule="atLeast"/>
          <w:jc w:val="center"/>
        </w:trPr>
        <w:tc>
          <w:tcPr>
            <w:tcW w:w="9200" w:type="dxa"/>
            <w:gridSpan w:val="4"/>
            <w:tcBorders>
              <w:top w:val="single" w:color="auto" w:sz="8" w:space="0"/>
              <w:left w:val="single" w:color="auto" w:sz="4" w:space="0"/>
              <w:bottom w:val="single" w:color="auto" w:sz="8" w:space="0"/>
              <w:right w:val="single" w:color="auto" w:sz="4" w:space="0"/>
            </w:tcBorders>
            <w:vAlign w:val="center"/>
          </w:tcPr>
          <w:p w14:paraId="6741E6AC">
            <w:pPr>
              <w:pStyle w:val="61"/>
              <w:spacing w:line="240" w:lineRule="auto"/>
              <w:rPr>
                <w:rFonts w:ascii="宋体" w:hAnsi="宋体" w:cs="宋体"/>
                <w:color w:val="auto"/>
              </w:rPr>
            </w:pPr>
            <w:r>
              <w:rPr>
                <w:rFonts w:hint="eastAsia" w:ascii="宋体" w:hAnsi="宋体" w:cs="宋体"/>
                <w:color w:val="auto"/>
              </w:rPr>
              <w:t>四、设备使用、维护、检修的安全要求</w:t>
            </w:r>
          </w:p>
        </w:tc>
      </w:tr>
      <w:tr w14:paraId="2A19C0D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947C24F">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2147EA09">
            <w:pPr>
              <w:pStyle w:val="61"/>
              <w:spacing w:line="240" w:lineRule="auto"/>
              <w:rPr>
                <w:rFonts w:ascii="宋体" w:hAnsi="宋体" w:cs="宋体"/>
                <w:color w:val="auto"/>
              </w:rPr>
            </w:pPr>
            <w:r>
              <w:rPr>
                <w:rFonts w:hint="eastAsia" w:ascii="宋体" w:hAnsi="宋体" w:cs="宋体"/>
                <w:color w:val="auto"/>
              </w:rPr>
              <w:t>清洗油罐</w:t>
            </w:r>
          </w:p>
        </w:tc>
        <w:tc>
          <w:tcPr>
            <w:tcW w:w="1535" w:type="dxa"/>
            <w:tcBorders>
              <w:top w:val="single" w:color="auto" w:sz="4" w:space="0"/>
              <w:left w:val="nil"/>
              <w:bottom w:val="single" w:color="auto" w:sz="4" w:space="0"/>
              <w:right w:val="single" w:color="auto" w:sz="4" w:space="0"/>
            </w:tcBorders>
            <w:vAlign w:val="center"/>
          </w:tcPr>
          <w:p w14:paraId="4278882E">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0BDC38C5">
            <w:pPr>
              <w:pStyle w:val="61"/>
              <w:spacing w:line="240" w:lineRule="auto"/>
              <w:rPr>
                <w:rFonts w:ascii="宋体" w:hAnsi="宋体" w:cs="宋体"/>
                <w:color w:val="auto"/>
              </w:rPr>
            </w:pPr>
          </w:p>
        </w:tc>
      </w:tr>
      <w:tr w14:paraId="17EA89D5">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D8E9A67">
            <w:pPr>
              <w:pStyle w:val="61"/>
              <w:spacing w:line="240" w:lineRule="auto"/>
              <w:rPr>
                <w:rFonts w:ascii="宋体" w:hAnsi="宋体" w:cs="宋体"/>
                <w:color w:val="auto"/>
              </w:rPr>
            </w:pPr>
            <w:r>
              <w:rPr>
                <w:rFonts w:hint="eastAsia" w:ascii="宋体" w:hAnsi="宋体" w:cs="宋体"/>
                <w:color w:val="auto"/>
              </w:rPr>
              <w:t>1.1</w:t>
            </w:r>
          </w:p>
        </w:tc>
        <w:tc>
          <w:tcPr>
            <w:tcW w:w="6310" w:type="dxa"/>
            <w:tcBorders>
              <w:top w:val="single" w:color="auto" w:sz="8" w:space="0"/>
              <w:left w:val="single" w:color="auto" w:sz="8" w:space="0"/>
              <w:bottom w:val="single" w:color="auto" w:sz="8" w:space="0"/>
              <w:right w:val="single" w:color="auto" w:sz="4" w:space="0"/>
            </w:tcBorders>
            <w:vAlign w:val="center"/>
          </w:tcPr>
          <w:p w14:paraId="64FEEBB1">
            <w:pPr>
              <w:pStyle w:val="61"/>
              <w:spacing w:line="240" w:lineRule="auto"/>
              <w:jc w:val="left"/>
              <w:rPr>
                <w:rFonts w:ascii="宋体" w:hAnsi="宋体" w:cs="宋体"/>
                <w:color w:val="auto"/>
              </w:rPr>
            </w:pPr>
            <w:r>
              <w:rPr>
                <w:rFonts w:hint="eastAsia" w:ascii="宋体" w:hAnsi="宋体" w:cs="宋体"/>
                <w:color w:val="auto"/>
              </w:rPr>
              <w:t>清洗油罐应根据 GB30871 的规定按照受限空间作业进行管理，办理作业许可手续。</w:t>
            </w:r>
          </w:p>
        </w:tc>
        <w:tc>
          <w:tcPr>
            <w:tcW w:w="1535" w:type="dxa"/>
            <w:tcBorders>
              <w:top w:val="single" w:color="auto" w:sz="4" w:space="0"/>
              <w:left w:val="nil"/>
              <w:bottom w:val="single" w:color="auto" w:sz="4" w:space="0"/>
              <w:right w:val="single" w:color="auto" w:sz="4" w:space="0"/>
            </w:tcBorders>
            <w:vAlign w:val="center"/>
          </w:tcPr>
          <w:p w14:paraId="235E727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8580647">
            <w:pPr>
              <w:pStyle w:val="61"/>
              <w:spacing w:line="240" w:lineRule="auto"/>
              <w:rPr>
                <w:rFonts w:ascii="宋体" w:hAnsi="宋体" w:cs="宋体"/>
                <w:color w:val="auto"/>
              </w:rPr>
            </w:pPr>
            <w:r>
              <w:rPr>
                <w:rFonts w:hint="eastAsia" w:ascii="宋体" w:hAnsi="宋体" w:cs="宋体"/>
                <w:color w:val="auto"/>
              </w:rPr>
              <w:t>符合</w:t>
            </w:r>
          </w:p>
        </w:tc>
      </w:tr>
      <w:tr w14:paraId="69A4CBCB">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6CB6D65">
            <w:pPr>
              <w:pStyle w:val="61"/>
              <w:spacing w:line="240" w:lineRule="auto"/>
              <w:rPr>
                <w:rFonts w:ascii="宋体" w:hAnsi="宋体" w:cs="宋体"/>
                <w:color w:val="auto"/>
              </w:rPr>
            </w:pPr>
            <w:r>
              <w:rPr>
                <w:rFonts w:hint="eastAsia" w:ascii="宋体" w:hAnsi="宋体" w:cs="宋体"/>
                <w:color w:val="auto"/>
              </w:rPr>
              <w:t>1.2</w:t>
            </w:r>
          </w:p>
        </w:tc>
        <w:tc>
          <w:tcPr>
            <w:tcW w:w="6310" w:type="dxa"/>
            <w:tcBorders>
              <w:top w:val="single" w:color="auto" w:sz="8" w:space="0"/>
              <w:left w:val="single" w:color="auto" w:sz="8" w:space="0"/>
              <w:bottom w:val="single" w:color="auto" w:sz="8" w:space="0"/>
              <w:right w:val="single" w:color="auto" w:sz="4" w:space="0"/>
            </w:tcBorders>
            <w:vAlign w:val="center"/>
          </w:tcPr>
          <w:p w14:paraId="43FF4A8A">
            <w:pPr>
              <w:pStyle w:val="61"/>
              <w:spacing w:line="240" w:lineRule="auto"/>
              <w:jc w:val="left"/>
              <w:rPr>
                <w:rFonts w:ascii="宋体" w:hAnsi="宋体" w:cs="宋体"/>
                <w:color w:val="auto"/>
              </w:rPr>
            </w:pPr>
            <w:r>
              <w:rPr>
                <w:rFonts w:hint="eastAsia" w:ascii="宋体" w:hAnsi="宋体" w:cs="宋体"/>
                <w:color w:val="auto"/>
              </w:rPr>
              <w:t>清罐作业前，应对特种作业人员操作证进行核对和审查，根据作业分组情况对检测、施工、监护、 维修等清罐人员进行安全和清罐操作技术的培训。机械清罐应按其操作规程执行。</w:t>
            </w:r>
          </w:p>
        </w:tc>
        <w:tc>
          <w:tcPr>
            <w:tcW w:w="1535" w:type="dxa"/>
            <w:tcBorders>
              <w:top w:val="single" w:color="auto" w:sz="4" w:space="0"/>
              <w:left w:val="nil"/>
              <w:bottom w:val="single" w:color="auto" w:sz="4" w:space="0"/>
              <w:right w:val="single" w:color="auto" w:sz="4" w:space="0"/>
            </w:tcBorders>
            <w:vAlign w:val="center"/>
          </w:tcPr>
          <w:p w14:paraId="16F5631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F7E885F">
            <w:pPr>
              <w:pStyle w:val="61"/>
              <w:spacing w:line="240" w:lineRule="auto"/>
              <w:rPr>
                <w:rFonts w:ascii="宋体" w:hAnsi="宋体" w:cs="宋体"/>
                <w:color w:val="auto"/>
              </w:rPr>
            </w:pPr>
            <w:r>
              <w:rPr>
                <w:rFonts w:hint="eastAsia" w:ascii="宋体" w:hAnsi="宋体" w:cs="宋体"/>
                <w:color w:val="auto"/>
              </w:rPr>
              <w:t>符合</w:t>
            </w:r>
          </w:p>
        </w:tc>
      </w:tr>
      <w:tr w14:paraId="26451AD7">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43296F9">
            <w:pPr>
              <w:pStyle w:val="61"/>
              <w:spacing w:line="240" w:lineRule="auto"/>
              <w:rPr>
                <w:rFonts w:ascii="宋体" w:hAnsi="宋体" w:cs="宋体"/>
                <w:color w:val="auto"/>
              </w:rPr>
            </w:pPr>
            <w:r>
              <w:rPr>
                <w:rFonts w:hint="eastAsia" w:ascii="宋体" w:hAnsi="宋体" w:cs="宋体"/>
                <w:color w:val="auto"/>
              </w:rPr>
              <w:t>1.3</w:t>
            </w:r>
          </w:p>
        </w:tc>
        <w:tc>
          <w:tcPr>
            <w:tcW w:w="6310" w:type="dxa"/>
            <w:tcBorders>
              <w:top w:val="single" w:color="auto" w:sz="8" w:space="0"/>
              <w:left w:val="single" w:color="auto" w:sz="8" w:space="0"/>
              <w:bottom w:val="single" w:color="auto" w:sz="8" w:space="0"/>
              <w:right w:val="single" w:color="auto" w:sz="4" w:space="0"/>
            </w:tcBorders>
            <w:vAlign w:val="center"/>
          </w:tcPr>
          <w:p w14:paraId="66C8AF05">
            <w:pPr>
              <w:pStyle w:val="61"/>
              <w:spacing w:line="240" w:lineRule="auto"/>
              <w:jc w:val="left"/>
              <w:rPr>
                <w:rFonts w:ascii="宋体" w:hAnsi="宋体" w:cs="宋体"/>
                <w:color w:val="auto"/>
              </w:rPr>
            </w:pPr>
            <w:r>
              <w:rPr>
                <w:rFonts w:hint="eastAsia" w:ascii="宋体" w:hAnsi="宋体" w:cs="宋体"/>
                <w:color w:val="auto"/>
              </w:rPr>
              <w:t>监护人应对施工作业进行全过程监护。</w:t>
            </w:r>
          </w:p>
        </w:tc>
        <w:tc>
          <w:tcPr>
            <w:tcW w:w="1535" w:type="dxa"/>
            <w:tcBorders>
              <w:top w:val="single" w:color="auto" w:sz="4" w:space="0"/>
              <w:left w:val="nil"/>
              <w:bottom w:val="single" w:color="auto" w:sz="4" w:space="0"/>
              <w:right w:val="single" w:color="auto" w:sz="4" w:space="0"/>
            </w:tcBorders>
            <w:vAlign w:val="center"/>
          </w:tcPr>
          <w:p w14:paraId="4C97296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56538F7">
            <w:pPr>
              <w:pStyle w:val="61"/>
              <w:spacing w:line="240" w:lineRule="auto"/>
              <w:rPr>
                <w:rFonts w:ascii="宋体" w:hAnsi="宋体" w:cs="宋体"/>
                <w:color w:val="auto"/>
              </w:rPr>
            </w:pPr>
            <w:r>
              <w:rPr>
                <w:rFonts w:hint="eastAsia" w:ascii="宋体" w:hAnsi="宋体" w:cs="宋体"/>
                <w:color w:val="auto"/>
              </w:rPr>
              <w:t>符合</w:t>
            </w:r>
          </w:p>
        </w:tc>
      </w:tr>
      <w:tr w14:paraId="305665E9">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1CB3123">
            <w:pPr>
              <w:pStyle w:val="61"/>
              <w:spacing w:line="240" w:lineRule="auto"/>
              <w:rPr>
                <w:rFonts w:ascii="宋体" w:hAnsi="宋体" w:cs="宋体"/>
                <w:color w:val="auto"/>
              </w:rPr>
            </w:pPr>
            <w:r>
              <w:rPr>
                <w:rFonts w:hint="eastAsia" w:ascii="宋体" w:hAnsi="宋体" w:cs="宋体"/>
                <w:color w:val="auto"/>
              </w:rPr>
              <w:t>1.4</w:t>
            </w:r>
          </w:p>
        </w:tc>
        <w:tc>
          <w:tcPr>
            <w:tcW w:w="6310" w:type="dxa"/>
            <w:tcBorders>
              <w:top w:val="single" w:color="auto" w:sz="8" w:space="0"/>
              <w:left w:val="single" w:color="auto" w:sz="8" w:space="0"/>
              <w:bottom w:val="single" w:color="auto" w:sz="8" w:space="0"/>
              <w:right w:val="single" w:color="auto" w:sz="4" w:space="0"/>
            </w:tcBorders>
            <w:vAlign w:val="center"/>
          </w:tcPr>
          <w:p w14:paraId="6344912A">
            <w:pPr>
              <w:pStyle w:val="61"/>
              <w:spacing w:line="240" w:lineRule="auto"/>
              <w:jc w:val="left"/>
              <w:rPr>
                <w:rFonts w:ascii="宋体" w:hAnsi="宋体" w:cs="宋体"/>
                <w:color w:val="auto"/>
              </w:rPr>
            </w:pPr>
            <w:r>
              <w:rPr>
                <w:rFonts w:hint="eastAsia" w:ascii="宋体" w:hAnsi="宋体" w:cs="宋体"/>
                <w:color w:val="auto"/>
              </w:rPr>
              <w:t>向油罐内引入空气、水或蒸汽的管线，其喷嘴等金属部分以及用于排出油品的胶管等应与油罐 做等电位连接，并可靠接地，操作过程应防止金属部件碰撞。</w:t>
            </w:r>
          </w:p>
        </w:tc>
        <w:tc>
          <w:tcPr>
            <w:tcW w:w="1535" w:type="dxa"/>
            <w:tcBorders>
              <w:top w:val="single" w:color="auto" w:sz="4" w:space="0"/>
              <w:left w:val="nil"/>
              <w:bottom w:val="single" w:color="auto" w:sz="4" w:space="0"/>
              <w:right w:val="single" w:color="auto" w:sz="4" w:space="0"/>
            </w:tcBorders>
            <w:vAlign w:val="center"/>
          </w:tcPr>
          <w:p w14:paraId="3D27233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BE6AA37">
            <w:pPr>
              <w:pStyle w:val="61"/>
              <w:spacing w:line="240" w:lineRule="auto"/>
              <w:rPr>
                <w:rFonts w:ascii="宋体" w:hAnsi="宋体" w:cs="宋体"/>
                <w:color w:val="auto"/>
              </w:rPr>
            </w:pPr>
            <w:r>
              <w:rPr>
                <w:rFonts w:hint="eastAsia" w:ascii="宋体" w:hAnsi="宋体" w:cs="宋体"/>
                <w:color w:val="auto"/>
              </w:rPr>
              <w:t>符合</w:t>
            </w:r>
          </w:p>
        </w:tc>
      </w:tr>
      <w:tr w14:paraId="2174F18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8555276">
            <w:pPr>
              <w:pStyle w:val="61"/>
              <w:spacing w:line="240" w:lineRule="auto"/>
              <w:rPr>
                <w:rFonts w:ascii="宋体" w:hAnsi="宋体" w:cs="宋体"/>
                <w:color w:val="auto"/>
              </w:rPr>
            </w:pPr>
            <w:r>
              <w:rPr>
                <w:rFonts w:hint="eastAsia" w:ascii="宋体" w:hAnsi="宋体" w:cs="宋体"/>
                <w:color w:val="auto"/>
              </w:rPr>
              <w:t>1.5</w:t>
            </w:r>
          </w:p>
        </w:tc>
        <w:tc>
          <w:tcPr>
            <w:tcW w:w="6310" w:type="dxa"/>
            <w:tcBorders>
              <w:top w:val="single" w:color="auto" w:sz="8" w:space="0"/>
              <w:left w:val="single" w:color="auto" w:sz="8" w:space="0"/>
              <w:bottom w:val="single" w:color="auto" w:sz="8" w:space="0"/>
              <w:right w:val="single" w:color="auto" w:sz="4" w:space="0"/>
            </w:tcBorders>
            <w:vAlign w:val="center"/>
          </w:tcPr>
          <w:p w14:paraId="4DBAD042">
            <w:pPr>
              <w:pStyle w:val="61"/>
              <w:spacing w:line="240" w:lineRule="auto"/>
              <w:jc w:val="left"/>
              <w:rPr>
                <w:rFonts w:ascii="宋体" w:hAnsi="宋体" w:cs="宋体"/>
                <w:color w:val="auto"/>
              </w:rPr>
            </w:pPr>
            <w:r>
              <w:rPr>
                <w:rFonts w:hint="eastAsia" w:ascii="宋体" w:hAnsi="宋体" w:cs="宋体"/>
                <w:color w:val="auto"/>
              </w:rPr>
              <w:t>作业停工期间，油罐人孔处应上锁并设置“危险、严禁入内”警示标志。</w:t>
            </w:r>
          </w:p>
        </w:tc>
        <w:tc>
          <w:tcPr>
            <w:tcW w:w="1535" w:type="dxa"/>
            <w:tcBorders>
              <w:top w:val="single" w:color="auto" w:sz="4" w:space="0"/>
              <w:left w:val="nil"/>
              <w:bottom w:val="single" w:color="auto" w:sz="4" w:space="0"/>
              <w:right w:val="single" w:color="auto" w:sz="4" w:space="0"/>
            </w:tcBorders>
            <w:vAlign w:val="center"/>
          </w:tcPr>
          <w:p w14:paraId="70C99A7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0A0A410">
            <w:pPr>
              <w:pStyle w:val="61"/>
              <w:spacing w:line="240" w:lineRule="auto"/>
              <w:rPr>
                <w:rFonts w:ascii="宋体" w:hAnsi="宋体" w:cs="宋体"/>
                <w:color w:val="auto"/>
              </w:rPr>
            </w:pPr>
            <w:r>
              <w:rPr>
                <w:rFonts w:hint="eastAsia" w:ascii="宋体" w:hAnsi="宋体" w:cs="宋体"/>
                <w:color w:val="auto"/>
              </w:rPr>
              <w:t>符合</w:t>
            </w:r>
          </w:p>
        </w:tc>
      </w:tr>
      <w:tr w14:paraId="4A00206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8544455">
            <w:pPr>
              <w:pStyle w:val="61"/>
              <w:spacing w:line="240" w:lineRule="auto"/>
              <w:rPr>
                <w:rFonts w:ascii="宋体" w:hAnsi="宋体" w:cs="宋体"/>
                <w:color w:val="auto"/>
              </w:rPr>
            </w:pPr>
            <w:r>
              <w:rPr>
                <w:rFonts w:hint="eastAsia" w:ascii="宋体" w:hAnsi="宋体" w:cs="宋体"/>
                <w:color w:val="auto"/>
              </w:rPr>
              <w:t>1.6</w:t>
            </w:r>
          </w:p>
        </w:tc>
        <w:tc>
          <w:tcPr>
            <w:tcW w:w="6310" w:type="dxa"/>
            <w:tcBorders>
              <w:top w:val="single" w:color="auto" w:sz="8" w:space="0"/>
              <w:left w:val="single" w:color="auto" w:sz="8" w:space="0"/>
              <w:bottom w:val="single" w:color="auto" w:sz="8" w:space="0"/>
              <w:right w:val="single" w:color="auto" w:sz="4" w:space="0"/>
            </w:tcBorders>
            <w:vAlign w:val="center"/>
          </w:tcPr>
          <w:p w14:paraId="036D96A1">
            <w:pPr>
              <w:pStyle w:val="61"/>
              <w:spacing w:line="240" w:lineRule="auto"/>
              <w:jc w:val="left"/>
              <w:rPr>
                <w:rFonts w:ascii="宋体" w:hAnsi="宋体" w:cs="宋体"/>
                <w:color w:val="auto"/>
              </w:rPr>
            </w:pPr>
            <w:r>
              <w:rPr>
                <w:rFonts w:hint="eastAsia" w:ascii="宋体" w:hAnsi="宋体" w:cs="宋体"/>
                <w:color w:val="auto"/>
              </w:rPr>
              <w:t>进入油罐作业前，应做好工艺处理，与油罐连通的可能危及安全作业的管道应采用插入盲板或拆除一段管道的方式进行隔绝。</w:t>
            </w:r>
          </w:p>
        </w:tc>
        <w:tc>
          <w:tcPr>
            <w:tcW w:w="1535" w:type="dxa"/>
            <w:tcBorders>
              <w:top w:val="single" w:color="auto" w:sz="4" w:space="0"/>
              <w:left w:val="nil"/>
              <w:bottom w:val="single" w:color="auto" w:sz="4" w:space="0"/>
              <w:right w:val="single" w:color="auto" w:sz="4" w:space="0"/>
            </w:tcBorders>
            <w:vAlign w:val="center"/>
          </w:tcPr>
          <w:p w14:paraId="6F3E979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30F9592">
            <w:pPr>
              <w:pStyle w:val="61"/>
              <w:spacing w:line="240" w:lineRule="auto"/>
              <w:rPr>
                <w:rFonts w:ascii="宋体" w:hAnsi="宋体" w:cs="宋体"/>
                <w:color w:val="auto"/>
              </w:rPr>
            </w:pPr>
            <w:r>
              <w:rPr>
                <w:rFonts w:hint="eastAsia" w:ascii="宋体" w:hAnsi="宋体" w:cs="宋体"/>
                <w:color w:val="auto"/>
              </w:rPr>
              <w:t>符合</w:t>
            </w:r>
          </w:p>
        </w:tc>
      </w:tr>
      <w:tr w14:paraId="3766A65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FB6F279">
            <w:pPr>
              <w:pStyle w:val="61"/>
              <w:spacing w:line="240" w:lineRule="auto"/>
              <w:rPr>
                <w:rFonts w:ascii="宋体" w:hAnsi="宋体" w:cs="宋体"/>
                <w:color w:val="auto"/>
              </w:rPr>
            </w:pPr>
            <w:r>
              <w:rPr>
                <w:rFonts w:hint="eastAsia" w:ascii="宋体" w:hAnsi="宋体" w:cs="宋体"/>
                <w:color w:val="auto"/>
              </w:rPr>
              <w:t>1.7</w:t>
            </w:r>
          </w:p>
        </w:tc>
        <w:tc>
          <w:tcPr>
            <w:tcW w:w="6310" w:type="dxa"/>
            <w:tcBorders>
              <w:top w:val="single" w:color="auto" w:sz="8" w:space="0"/>
              <w:left w:val="single" w:color="auto" w:sz="8" w:space="0"/>
              <w:bottom w:val="single" w:color="auto" w:sz="8" w:space="0"/>
              <w:right w:val="single" w:color="auto" w:sz="4" w:space="0"/>
            </w:tcBorders>
            <w:vAlign w:val="center"/>
          </w:tcPr>
          <w:p w14:paraId="06D5A06D">
            <w:pPr>
              <w:pStyle w:val="61"/>
              <w:spacing w:line="240" w:lineRule="auto"/>
              <w:jc w:val="left"/>
              <w:rPr>
                <w:rFonts w:ascii="宋体" w:hAnsi="宋体" w:cs="宋体"/>
                <w:color w:val="auto"/>
              </w:rPr>
            </w:pPr>
            <w:r>
              <w:rPr>
                <w:rFonts w:hint="eastAsia" w:ascii="宋体" w:hAnsi="宋体" w:cs="宋体"/>
                <w:color w:val="auto"/>
              </w:rPr>
              <w:t>人员进入油罐前应进行通风置换，油罐内空气达不到安全要求时，人员不应进入油罐内。</w:t>
            </w:r>
          </w:p>
        </w:tc>
        <w:tc>
          <w:tcPr>
            <w:tcW w:w="1535" w:type="dxa"/>
            <w:tcBorders>
              <w:top w:val="single" w:color="auto" w:sz="4" w:space="0"/>
              <w:left w:val="nil"/>
              <w:bottom w:val="single" w:color="auto" w:sz="4" w:space="0"/>
              <w:right w:val="single" w:color="auto" w:sz="4" w:space="0"/>
            </w:tcBorders>
            <w:vAlign w:val="center"/>
          </w:tcPr>
          <w:p w14:paraId="3D296BF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4AEC9A1">
            <w:pPr>
              <w:pStyle w:val="61"/>
              <w:spacing w:line="240" w:lineRule="auto"/>
              <w:rPr>
                <w:rFonts w:ascii="宋体" w:hAnsi="宋体" w:cs="宋体"/>
                <w:color w:val="auto"/>
              </w:rPr>
            </w:pPr>
            <w:r>
              <w:rPr>
                <w:rFonts w:hint="eastAsia" w:ascii="宋体" w:hAnsi="宋体" w:cs="宋体"/>
                <w:color w:val="auto"/>
              </w:rPr>
              <w:t>符合</w:t>
            </w:r>
          </w:p>
        </w:tc>
      </w:tr>
      <w:tr w14:paraId="3BE8EEB7">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635B01F">
            <w:pPr>
              <w:pStyle w:val="61"/>
              <w:spacing w:line="240" w:lineRule="auto"/>
              <w:rPr>
                <w:rFonts w:ascii="宋体" w:hAnsi="宋体" w:cs="宋体"/>
                <w:color w:val="auto"/>
              </w:rPr>
            </w:pPr>
            <w:r>
              <w:rPr>
                <w:rFonts w:hint="eastAsia" w:ascii="宋体" w:hAnsi="宋体" w:cs="宋体"/>
                <w:color w:val="auto"/>
              </w:rPr>
              <w:t>1.8</w:t>
            </w:r>
          </w:p>
        </w:tc>
        <w:tc>
          <w:tcPr>
            <w:tcW w:w="6310" w:type="dxa"/>
            <w:tcBorders>
              <w:top w:val="single" w:color="auto" w:sz="8" w:space="0"/>
              <w:left w:val="single" w:color="auto" w:sz="8" w:space="0"/>
              <w:bottom w:val="single" w:color="auto" w:sz="8" w:space="0"/>
              <w:right w:val="single" w:color="auto" w:sz="4" w:space="0"/>
            </w:tcBorders>
            <w:vAlign w:val="center"/>
          </w:tcPr>
          <w:p w14:paraId="6033EC4D">
            <w:pPr>
              <w:pStyle w:val="61"/>
              <w:spacing w:line="240" w:lineRule="auto"/>
              <w:jc w:val="left"/>
              <w:rPr>
                <w:rFonts w:ascii="宋体" w:hAnsi="宋体" w:cs="宋体"/>
                <w:color w:val="auto"/>
              </w:rPr>
            </w:pPr>
            <w:r>
              <w:rPr>
                <w:rFonts w:hint="eastAsia" w:ascii="宋体" w:hAnsi="宋体" w:cs="宋体"/>
                <w:color w:val="auto"/>
              </w:rPr>
              <w:t>作业现场应配置便携式或移动式气体检测报警仪，连续监测罐内氧气、可燃气体和有毒气体浓度，发现气体浓度超限报警时，应立即停止作业、撤离人员、对现场进行处理，在分析合格后方可恢复作业。如作业中断超30 min, 再次</w:t>
            </w:r>
            <w:r>
              <w:rPr>
                <w:rFonts w:hint="eastAsia" w:ascii="宋体" w:hAnsi="宋体" w:cs="宋体"/>
                <w:color w:val="auto"/>
                <w:lang w:eastAsia="zh-CN"/>
              </w:rPr>
              <w:t>进入</w:t>
            </w:r>
            <w:r>
              <w:rPr>
                <w:rFonts w:hint="eastAsia" w:ascii="宋体" w:hAnsi="宋体" w:cs="宋体"/>
                <w:color w:val="auto"/>
              </w:rPr>
              <w:t>前应重新进行气体分析。</w:t>
            </w:r>
          </w:p>
        </w:tc>
        <w:tc>
          <w:tcPr>
            <w:tcW w:w="1535" w:type="dxa"/>
            <w:tcBorders>
              <w:top w:val="single" w:color="auto" w:sz="4" w:space="0"/>
              <w:left w:val="nil"/>
              <w:bottom w:val="single" w:color="auto" w:sz="4" w:space="0"/>
              <w:right w:val="single" w:color="auto" w:sz="4" w:space="0"/>
            </w:tcBorders>
            <w:vAlign w:val="center"/>
          </w:tcPr>
          <w:p w14:paraId="1CD8CD1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725238D">
            <w:pPr>
              <w:pStyle w:val="61"/>
              <w:spacing w:line="240" w:lineRule="auto"/>
              <w:rPr>
                <w:rFonts w:ascii="宋体" w:hAnsi="宋体" w:cs="宋体"/>
                <w:color w:val="auto"/>
              </w:rPr>
            </w:pPr>
            <w:r>
              <w:rPr>
                <w:rFonts w:hint="eastAsia" w:ascii="宋体" w:hAnsi="宋体" w:cs="宋体"/>
                <w:color w:val="auto"/>
              </w:rPr>
              <w:t>符合</w:t>
            </w:r>
          </w:p>
        </w:tc>
      </w:tr>
      <w:tr w14:paraId="1B298FF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4EEDC61">
            <w:pPr>
              <w:pStyle w:val="61"/>
              <w:spacing w:line="240" w:lineRule="auto"/>
              <w:rPr>
                <w:rFonts w:ascii="宋体" w:hAnsi="宋体" w:cs="宋体"/>
                <w:color w:val="auto"/>
              </w:rPr>
            </w:pPr>
            <w:r>
              <w:rPr>
                <w:rFonts w:hint="eastAsia" w:ascii="宋体" w:hAnsi="宋体" w:cs="宋体"/>
                <w:color w:val="auto"/>
              </w:rPr>
              <w:t>1.9</w:t>
            </w:r>
          </w:p>
        </w:tc>
        <w:tc>
          <w:tcPr>
            <w:tcW w:w="6310" w:type="dxa"/>
            <w:tcBorders>
              <w:top w:val="single" w:color="auto" w:sz="8" w:space="0"/>
              <w:left w:val="single" w:color="auto" w:sz="8" w:space="0"/>
              <w:bottom w:val="single" w:color="auto" w:sz="8" w:space="0"/>
              <w:right w:val="single" w:color="auto" w:sz="4" w:space="0"/>
            </w:tcBorders>
            <w:vAlign w:val="center"/>
          </w:tcPr>
          <w:p w14:paraId="7F7A60BB">
            <w:pPr>
              <w:pStyle w:val="61"/>
              <w:spacing w:line="240" w:lineRule="auto"/>
              <w:jc w:val="left"/>
              <w:rPr>
                <w:rFonts w:ascii="宋体" w:hAnsi="宋体" w:cs="宋体"/>
                <w:color w:val="auto"/>
              </w:rPr>
            </w:pPr>
            <w:r>
              <w:rPr>
                <w:rFonts w:hint="eastAsia" w:ascii="宋体" w:hAnsi="宋体" w:cs="宋体"/>
                <w:color w:val="auto"/>
              </w:rPr>
              <w:t>油罐内监测点应有代表性，应对上、中、下各部位进行监测分析；分析仪器应在校验有效期内，使用前应保证其处于正常工作状态。</w:t>
            </w:r>
          </w:p>
        </w:tc>
        <w:tc>
          <w:tcPr>
            <w:tcW w:w="1535" w:type="dxa"/>
            <w:tcBorders>
              <w:top w:val="single" w:color="auto" w:sz="4" w:space="0"/>
              <w:left w:val="nil"/>
              <w:bottom w:val="single" w:color="auto" w:sz="4" w:space="0"/>
              <w:right w:val="single" w:color="auto" w:sz="4" w:space="0"/>
            </w:tcBorders>
            <w:vAlign w:val="center"/>
          </w:tcPr>
          <w:p w14:paraId="2B5C36D6">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83EACFB">
            <w:pPr>
              <w:pStyle w:val="61"/>
              <w:spacing w:line="240" w:lineRule="auto"/>
              <w:rPr>
                <w:rFonts w:ascii="宋体" w:hAnsi="宋体" w:cs="宋体"/>
                <w:color w:val="auto"/>
              </w:rPr>
            </w:pPr>
            <w:r>
              <w:rPr>
                <w:rFonts w:hint="eastAsia" w:ascii="宋体" w:hAnsi="宋体" w:cs="宋体"/>
                <w:color w:val="auto"/>
              </w:rPr>
              <w:t>符合</w:t>
            </w:r>
          </w:p>
        </w:tc>
      </w:tr>
      <w:tr w14:paraId="72683075">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E5224CA">
            <w:pPr>
              <w:pStyle w:val="61"/>
              <w:spacing w:line="240" w:lineRule="auto"/>
              <w:rPr>
                <w:rFonts w:ascii="宋体" w:hAnsi="宋体" w:cs="宋体"/>
                <w:color w:val="auto"/>
              </w:rPr>
            </w:pPr>
            <w:r>
              <w:rPr>
                <w:rFonts w:hint="eastAsia" w:ascii="宋体" w:hAnsi="宋体" w:cs="宋体"/>
                <w:color w:val="auto"/>
              </w:rPr>
              <w:t>1.10</w:t>
            </w:r>
          </w:p>
        </w:tc>
        <w:tc>
          <w:tcPr>
            <w:tcW w:w="6310" w:type="dxa"/>
            <w:tcBorders>
              <w:top w:val="single" w:color="auto" w:sz="8" w:space="0"/>
              <w:left w:val="single" w:color="auto" w:sz="8" w:space="0"/>
              <w:bottom w:val="single" w:color="auto" w:sz="8" w:space="0"/>
              <w:right w:val="single" w:color="auto" w:sz="4" w:space="0"/>
            </w:tcBorders>
            <w:vAlign w:val="center"/>
          </w:tcPr>
          <w:p w14:paraId="06CF9BEB">
            <w:pPr>
              <w:pStyle w:val="61"/>
              <w:spacing w:line="240" w:lineRule="auto"/>
              <w:jc w:val="left"/>
              <w:rPr>
                <w:rFonts w:ascii="宋体" w:hAnsi="宋体" w:cs="宋体"/>
                <w:color w:val="auto"/>
              </w:rPr>
            </w:pPr>
            <w:r>
              <w:rPr>
                <w:rFonts w:hint="eastAsia" w:ascii="宋体" w:hAnsi="宋体" w:cs="宋体"/>
                <w:color w:val="auto"/>
              </w:rPr>
              <w:t>进入油罐的水不应含油，使用的进水管不应采用含油管线，以防油品进入罐内。</w:t>
            </w:r>
          </w:p>
        </w:tc>
        <w:tc>
          <w:tcPr>
            <w:tcW w:w="1535" w:type="dxa"/>
            <w:vMerge w:val="restart"/>
            <w:tcBorders>
              <w:top w:val="single" w:color="auto" w:sz="4" w:space="0"/>
              <w:left w:val="nil"/>
              <w:right w:val="single" w:color="auto" w:sz="4" w:space="0"/>
            </w:tcBorders>
            <w:vAlign w:val="center"/>
          </w:tcPr>
          <w:p w14:paraId="314A7D49">
            <w:pPr>
              <w:pStyle w:val="61"/>
              <w:spacing w:line="240" w:lineRule="auto"/>
              <w:jc w:val="left"/>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CBF51C7">
            <w:pPr>
              <w:pStyle w:val="61"/>
              <w:spacing w:line="240" w:lineRule="auto"/>
              <w:rPr>
                <w:rFonts w:ascii="宋体" w:hAnsi="宋体" w:cs="宋体"/>
                <w:color w:val="auto"/>
              </w:rPr>
            </w:pPr>
            <w:r>
              <w:rPr>
                <w:rFonts w:hint="eastAsia" w:ascii="宋体" w:hAnsi="宋体" w:cs="宋体"/>
                <w:color w:val="auto"/>
              </w:rPr>
              <w:t>符合</w:t>
            </w:r>
          </w:p>
        </w:tc>
      </w:tr>
      <w:tr w14:paraId="546AB33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794AC34">
            <w:pPr>
              <w:pStyle w:val="61"/>
              <w:spacing w:line="240" w:lineRule="auto"/>
              <w:rPr>
                <w:rFonts w:ascii="宋体" w:hAnsi="宋体" w:cs="宋体"/>
                <w:color w:val="auto"/>
              </w:rPr>
            </w:pPr>
            <w:r>
              <w:rPr>
                <w:rFonts w:hint="eastAsia" w:ascii="宋体" w:hAnsi="宋体" w:cs="宋体"/>
                <w:color w:val="auto"/>
              </w:rPr>
              <w:t>1.11</w:t>
            </w:r>
          </w:p>
        </w:tc>
        <w:tc>
          <w:tcPr>
            <w:tcW w:w="6310" w:type="dxa"/>
            <w:tcBorders>
              <w:top w:val="single" w:color="auto" w:sz="8" w:space="0"/>
              <w:left w:val="single" w:color="auto" w:sz="8" w:space="0"/>
              <w:bottom w:val="single" w:color="auto" w:sz="8" w:space="0"/>
              <w:right w:val="single" w:color="auto" w:sz="4" w:space="0"/>
            </w:tcBorders>
            <w:vAlign w:val="center"/>
          </w:tcPr>
          <w:p w14:paraId="28C75408">
            <w:pPr>
              <w:pStyle w:val="61"/>
              <w:spacing w:line="240" w:lineRule="auto"/>
              <w:jc w:val="left"/>
              <w:rPr>
                <w:rFonts w:ascii="宋体" w:hAnsi="宋体" w:cs="宋体"/>
                <w:color w:val="auto"/>
              </w:rPr>
            </w:pPr>
            <w:r>
              <w:rPr>
                <w:rFonts w:hint="eastAsia" w:ascii="宋体" w:hAnsi="宋体" w:cs="宋体"/>
                <w:color w:val="auto"/>
              </w:rPr>
              <w:t>在雷雨或风力在五级以上等恶劣天气环境下，不应进行油罐清洗作业。</w:t>
            </w:r>
          </w:p>
        </w:tc>
        <w:tc>
          <w:tcPr>
            <w:tcW w:w="1535" w:type="dxa"/>
            <w:vMerge w:val="continue"/>
            <w:tcBorders>
              <w:left w:val="nil"/>
              <w:bottom w:val="single" w:color="auto" w:sz="4" w:space="0"/>
              <w:right w:val="single" w:color="auto" w:sz="4" w:space="0"/>
            </w:tcBorders>
            <w:vAlign w:val="center"/>
          </w:tcPr>
          <w:p w14:paraId="7E26110C">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182C5ABB">
            <w:pPr>
              <w:pStyle w:val="61"/>
              <w:spacing w:line="240" w:lineRule="auto"/>
              <w:rPr>
                <w:rFonts w:ascii="宋体" w:hAnsi="宋体" w:cs="宋体"/>
                <w:color w:val="auto"/>
              </w:rPr>
            </w:pPr>
            <w:r>
              <w:rPr>
                <w:rFonts w:hint="eastAsia" w:ascii="宋体" w:hAnsi="宋体" w:cs="宋体"/>
                <w:color w:val="auto"/>
              </w:rPr>
              <w:t>符合</w:t>
            </w:r>
          </w:p>
        </w:tc>
      </w:tr>
      <w:tr w14:paraId="64C6D4EE">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F49719D">
            <w:pPr>
              <w:pStyle w:val="61"/>
              <w:spacing w:line="240" w:lineRule="auto"/>
              <w:rPr>
                <w:rFonts w:ascii="宋体" w:hAnsi="宋体" w:cs="宋体"/>
                <w:color w:val="auto"/>
              </w:rPr>
            </w:pPr>
            <w:r>
              <w:rPr>
                <w:rFonts w:hint="eastAsia" w:ascii="宋体" w:hAnsi="宋体" w:cs="宋体"/>
                <w:color w:val="auto"/>
              </w:rPr>
              <w:t>1.12</w:t>
            </w:r>
          </w:p>
        </w:tc>
        <w:tc>
          <w:tcPr>
            <w:tcW w:w="6310" w:type="dxa"/>
            <w:tcBorders>
              <w:top w:val="single" w:color="auto" w:sz="8" w:space="0"/>
              <w:left w:val="single" w:color="auto" w:sz="8" w:space="0"/>
              <w:bottom w:val="single" w:color="auto" w:sz="8" w:space="0"/>
              <w:right w:val="single" w:color="auto" w:sz="4" w:space="0"/>
            </w:tcBorders>
            <w:vAlign w:val="center"/>
          </w:tcPr>
          <w:p w14:paraId="4967B02E">
            <w:pPr>
              <w:pStyle w:val="61"/>
              <w:spacing w:line="240" w:lineRule="auto"/>
              <w:jc w:val="left"/>
              <w:rPr>
                <w:rFonts w:ascii="宋体" w:hAnsi="宋体" w:cs="宋体"/>
                <w:color w:val="auto"/>
              </w:rPr>
            </w:pPr>
            <w:r>
              <w:rPr>
                <w:rFonts w:hint="eastAsia" w:ascii="宋体" w:hAnsi="宋体" w:cs="宋体"/>
                <w:color w:val="auto"/>
              </w:rPr>
              <w:t>油罐清洗作业前，应在作业场所的上风向配置适量消防器材。</w:t>
            </w:r>
          </w:p>
        </w:tc>
        <w:tc>
          <w:tcPr>
            <w:tcW w:w="1535" w:type="dxa"/>
            <w:tcBorders>
              <w:left w:val="nil"/>
              <w:bottom w:val="single" w:color="auto" w:sz="4" w:space="0"/>
              <w:right w:val="single" w:color="auto" w:sz="4" w:space="0"/>
            </w:tcBorders>
            <w:vAlign w:val="center"/>
          </w:tcPr>
          <w:p w14:paraId="2E4AF94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8232273">
            <w:pPr>
              <w:pStyle w:val="61"/>
              <w:spacing w:line="240" w:lineRule="auto"/>
              <w:rPr>
                <w:rFonts w:ascii="宋体" w:hAnsi="宋体" w:cs="宋体"/>
                <w:color w:val="auto"/>
              </w:rPr>
            </w:pPr>
            <w:r>
              <w:rPr>
                <w:rFonts w:hint="eastAsia" w:ascii="宋体" w:hAnsi="宋体" w:cs="宋体"/>
                <w:color w:val="auto"/>
              </w:rPr>
              <w:t>符合</w:t>
            </w:r>
          </w:p>
        </w:tc>
      </w:tr>
      <w:tr w14:paraId="1E0F0B4B">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80E2EF9">
            <w:pPr>
              <w:pStyle w:val="61"/>
              <w:spacing w:line="240" w:lineRule="auto"/>
              <w:rPr>
                <w:rFonts w:ascii="宋体" w:hAnsi="宋体" w:cs="宋体"/>
                <w:color w:val="auto"/>
              </w:rPr>
            </w:pPr>
            <w:r>
              <w:rPr>
                <w:rFonts w:hint="eastAsia" w:ascii="宋体" w:hAnsi="宋体" w:cs="宋体"/>
                <w:color w:val="auto"/>
              </w:rPr>
              <w:t>1.13</w:t>
            </w:r>
          </w:p>
        </w:tc>
        <w:tc>
          <w:tcPr>
            <w:tcW w:w="6310" w:type="dxa"/>
            <w:tcBorders>
              <w:top w:val="single" w:color="auto" w:sz="8" w:space="0"/>
              <w:left w:val="single" w:color="auto" w:sz="8" w:space="0"/>
              <w:bottom w:val="single" w:color="auto" w:sz="8" w:space="0"/>
              <w:right w:val="single" w:color="auto" w:sz="4" w:space="0"/>
            </w:tcBorders>
            <w:vAlign w:val="center"/>
          </w:tcPr>
          <w:p w14:paraId="46BE5288">
            <w:pPr>
              <w:pStyle w:val="61"/>
              <w:spacing w:line="240" w:lineRule="auto"/>
              <w:jc w:val="left"/>
              <w:rPr>
                <w:rFonts w:ascii="宋体" w:hAnsi="宋体" w:cs="宋体"/>
                <w:color w:val="auto"/>
              </w:rPr>
            </w:pPr>
            <w:r>
              <w:rPr>
                <w:rFonts w:hint="eastAsia" w:ascii="宋体" w:hAnsi="宋体" w:cs="宋体"/>
                <w:color w:val="auto"/>
                <w:lang w:eastAsia="zh-CN"/>
              </w:rPr>
              <w:t>清除</w:t>
            </w:r>
            <w:r>
              <w:rPr>
                <w:rFonts w:hint="eastAsia" w:ascii="宋体" w:hAnsi="宋体" w:cs="宋体"/>
                <w:color w:val="auto"/>
              </w:rPr>
              <w:t>的罐底污杂应存放在油桶或指定容器内并作出危险废弃物的标识，不应随意倾倒。</w:t>
            </w:r>
          </w:p>
        </w:tc>
        <w:tc>
          <w:tcPr>
            <w:tcW w:w="1535" w:type="dxa"/>
            <w:tcBorders>
              <w:left w:val="nil"/>
              <w:bottom w:val="single" w:color="auto" w:sz="4" w:space="0"/>
              <w:right w:val="single" w:color="auto" w:sz="4" w:space="0"/>
            </w:tcBorders>
            <w:vAlign w:val="center"/>
          </w:tcPr>
          <w:p w14:paraId="614761C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F2D7691">
            <w:pPr>
              <w:pStyle w:val="61"/>
              <w:spacing w:line="240" w:lineRule="auto"/>
              <w:rPr>
                <w:rFonts w:ascii="宋体" w:hAnsi="宋体" w:cs="宋体"/>
                <w:color w:val="auto"/>
              </w:rPr>
            </w:pPr>
            <w:r>
              <w:rPr>
                <w:rFonts w:hint="eastAsia" w:ascii="宋体" w:hAnsi="宋体" w:cs="宋体"/>
                <w:color w:val="auto"/>
              </w:rPr>
              <w:t>符合</w:t>
            </w:r>
          </w:p>
        </w:tc>
      </w:tr>
      <w:tr w14:paraId="0DEDDB7D">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D3AA536">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2D5FF992">
            <w:pPr>
              <w:pStyle w:val="61"/>
              <w:spacing w:line="240" w:lineRule="auto"/>
              <w:rPr>
                <w:rFonts w:ascii="宋体" w:hAnsi="宋体" w:cs="宋体"/>
                <w:color w:val="auto"/>
              </w:rPr>
            </w:pPr>
            <w:r>
              <w:rPr>
                <w:rFonts w:hint="eastAsia" w:ascii="宋体" w:hAnsi="宋体" w:cs="宋体"/>
                <w:color w:val="auto"/>
              </w:rPr>
              <w:t>加油机维修</w:t>
            </w:r>
          </w:p>
        </w:tc>
        <w:tc>
          <w:tcPr>
            <w:tcW w:w="1535" w:type="dxa"/>
            <w:tcBorders>
              <w:top w:val="single" w:color="auto" w:sz="4" w:space="0"/>
              <w:left w:val="nil"/>
              <w:bottom w:val="single" w:color="auto" w:sz="4" w:space="0"/>
              <w:right w:val="single" w:color="auto" w:sz="4" w:space="0"/>
            </w:tcBorders>
            <w:vAlign w:val="center"/>
          </w:tcPr>
          <w:p w14:paraId="1B3A6AC5">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31CF46A9">
            <w:pPr>
              <w:pStyle w:val="61"/>
              <w:spacing w:line="240" w:lineRule="auto"/>
              <w:rPr>
                <w:rFonts w:ascii="宋体" w:hAnsi="宋体" w:cs="宋体"/>
                <w:color w:val="auto"/>
              </w:rPr>
            </w:pPr>
            <w:r>
              <w:rPr>
                <w:rFonts w:hint="eastAsia" w:ascii="宋体" w:hAnsi="宋体" w:cs="宋体"/>
                <w:color w:val="auto"/>
              </w:rPr>
              <w:t>符合</w:t>
            </w:r>
          </w:p>
        </w:tc>
      </w:tr>
      <w:tr w14:paraId="5EDDC605">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2BCCBD8">
            <w:pPr>
              <w:pStyle w:val="61"/>
              <w:spacing w:line="240" w:lineRule="auto"/>
              <w:rPr>
                <w:rFonts w:ascii="宋体" w:hAnsi="宋体" w:cs="宋体"/>
                <w:color w:val="auto"/>
              </w:rPr>
            </w:pPr>
            <w:r>
              <w:rPr>
                <w:rFonts w:hint="eastAsia" w:ascii="宋体" w:hAnsi="宋体" w:cs="宋体"/>
                <w:color w:val="auto"/>
              </w:rPr>
              <w:t>2.1</w:t>
            </w:r>
          </w:p>
        </w:tc>
        <w:tc>
          <w:tcPr>
            <w:tcW w:w="6310" w:type="dxa"/>
            <w:tcBorders>
              <w:top w:val="single" w:color="auto" w:sz="8" w:space="0"/>
              <w:left w:val="single" w:color="auto" w:sz="8" w:space="0"/>
              <w:bottom w:val="single" w:color="auto" w:sz="8" w:space="0"/>
              <w:right w:val="single" w:color="auto" w:sz="4" w:space="0"/>
            </w:tcBorders>
            <w:vAlign w:val="center"/>
          </w:tcPr>
          <w:p w14:paraId="43E67A96">
            <w:pPr>
              <w:pStyle w:val="61"/>
              <w:spacing w:line="240" w:lineRule="auto"/>
              <w:jc w:val="left"/>
              <w:rPr>
                <w:rFonts w:ascii="宋体" w:hAnsi="宋体" w:cs="宋体"/>
                <w:color w:val="auto"/>
              </w:rPr>
            </w:pPr>
            <w:r>
              <w:rPr>
                <w:rFonts w:hint="eastAsia" w:ascii="宋体" w:hAnsi="宋体" w:cs="宋体"/>
                <w:color w:val="auto"/>
              </w:rPr>
              <w:t>维修之前应切断电源，并在电源开关处加锁并加挂安全警示牌。</w:t>
            </w:r>
          </w:p>
        </w:tc>
        <w:tc>
          <w:tcPr>
            <w:tcW w:w="1535" w:type="dxa"/>
            <w:vMerge w:val="restart"/>
            <w:tcBorders>
              <w:top w:val="single" w:color="auto" w:sz="4" w:space="0"/>
              <w:left w:val="nil"/>
              <w:right w:val="single" w:color="auto" w:sz="4" w:space="0"/>
            </w:tcBorders>
            <w:vAlign w:val="center"/>
          </w:tcPr>
          <w:p w14:paraId="22314E12">
            <w:pPr>
              <w:pStyle w:val="61"/>
              <w:spacing w:line="240" w:lineRule="auto"/>
              <w:rPr>
                <w:rFonts w:ascii="宋体" w:hAnsi="宋体" w:cs="宋体"/>
                <w:color w:val="auto"/>
              </w:rPr>
            </w:pPr>
            <w:r>
              <w:rPr>
                <w:rFonts w:hint="eastAsia" w:ascii="宋体" w:hAnsi="宋体" w:cs="宋体"/>
                <w:color w:val="auto"/>
              </w:rPr>
              <w:t>加油机维修</w:t>
            </w:r>
          </w:p>
          <w:p w14:paraId="1DCBE6E8">
            <w:pPr>
              <w:pStyle w:val="61"/>
              <w:spacing w:line="240" w:lineRule="auto"/>
              <w:rPr>
                <w:rFonts w:ascii="宋体" w:hAnsi="宋体" w:cs="宋体"/>
                <w:color w:val="auto"/>
              </w:rPr>
            </w:pPr>
            <w:r>
              <w:rPr>
                <w:rFonts w:hint="eastAsia" w:ascii="宋体" w:hAnsi="宋体" w:cs="宋体"/>
                <w:color w:val="auto"/>
              </w:rPr>
              <w:t>委托具备相应资格的专业公司依相关规定作业</w:t>
            </w:r>
          </w:p>
        </w:tc>
        <w:tc>
          <w:tcPr>
            <w:tcW w:w="790" w:type="dxa"/>
            <w:tcBorders>
              <w:top w:val="single" w:color="auto" w:sz="4" w:space="0"/>
              <w:left w:val="nil"/>
              <w:bottom w:val="single" w:color="auto" w:sz="4" w:space="0"/>
              <w:right w:val="single" w:color="auto" w:sz="4" w:space="0"/>
            </w:tcBorders>
            <w:vAlign w:val="center"/>
          </w:tcPr>
          <w:p w14:paraId="4DAECE5E">
            <w:pPr>
              <w:pStyle w:val="61"/>
              <w:spacing w:line="240" w:lineRule="auto"/>
              <w:rPr>
                <w:rFonts w:ascii="宋体" w:hAnsi="宋体" w:cs="宋体"/>
                <w:color w:val="auto"/>
              </w:rPr>
            </w:pPr>
            <w:r>
              <w:rPr>
                <w:rFonts w:hint="eastAsia" w:ascii="宋体" w:hAnsi="宋体" w:cs="宋体"/>
                <w:color w:val="auto"/>
              </w:rPr>
              <w:t>符合</w:t>
            </w:r>
          </w:p>
        </w:tc>
      </w:tr>
      <w:tr w14:paraId="0FF71037">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20FDAD9">
            <w:pPr>
              <w:pStyle w:val="61"/>
              <w:spacing w:line="240" w:lineRule="auto"/>
              <w:rPr>
                <w:rFonts w:ascii="宋体" w:hAnsi="宋体" w:cs="宋体"/>
                <w:color w:val="auto"/>
              </w:rPr>
            </w:pPr>
            <w:r>
              <w:rPr>
                <w:rFonts w:hint="eastAsia" w:ascii="宋体" w:hAnsi="宋体" w:cs="宋体"/>
                <w:color w:val="auto"/>
              </w:rPr>
              <w:t>2.2</w:t>
            </w:r>
          </w:p>
        </w:tc>
        <w:tc>
          <w:tcPr>
            <w:tcW w:w="6310" w:type="dxa"/>
            <w:tcBorders>
              <w:top w:val="single" w:color="auto" w:sz="8" w:space="0"/>
              <w:left w:val="single" w:color="auto" w:sz="8" w:space="0"/>
              <w:bottom w:val="single" w:color="auto" w:sz="8" w:space="0"/>
              <w:right w:val="single" w:color="auto" w:sz="4" w:space="0"/>
            </w:tcBorders>
            <w:vAlign w:val="center"/>
          </w:tcPr>
          <w:p w14:paraId="6CD2BAE9">
            <w:pPr>
              <w:pStyle w:val="61"/>
              <w:spacing w:line="240" w:lineRule="auto"/>
              <w:jc w:val="left"/>
              <w:rPr>
                <w:rFonts w:ascii="宋体" w:hAnsi="宋体" w:cs="宋体"/>
                <w:color w:val="auto"/>
              </w:rPr>
            </w:pPr>
            <w:r>
              <w:rPr>
                <w:rFonts w:hint="eastAsia" w:ascii="宋体" w:hAnsi="宋体" w:cs="宋体"/>
                <w:color w:val="auto"/>
              </w:rPr>
              <w:t>维修时应设警示标志并对维修区域进行隔离，隔离范围不宜小于以加油机为中心、半径为4.5 m 的区域范围。</w:t>
            </w:r>
          </w:p>
        </w:tc>
        <w:tc>
          <w:tcPr>
            <w:tcW w:w="1535" w:type="dxa"/>
            <w:vMerge w:val="continue"/>
            <w:tcBorders>
              <w:left w:val="nil"/>
              <w:right w:val="single" w:color="auto" w:sz="4" w:space="0"/>
            </w:tcBorders>
            <w:vAlign w:val="center"/>
          </w:tcPr>
          <w:p w14:paraId="71712C32">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5009AC80">
            <w:pPr>
              <w:pStyle w:val="61"/>
              <w:spacing w:line="240" w:lineRule="auto"/>
              <w:rPr>
                <w:rFonts w:ascii="宋体" w:hAnsi="宋体" w:cs="宋体"/>
                <w:color w:val="auto"/>
              </w:rPr>
            </w:pPr>
            <w:r>
              <w:rPr>
                <w:rFonts w:hint="eastAsia" w:ascii="宋体" w:hAnsi="宋体" w:cs="宋体"/>
                <w:color w:val="auto"/>
              </w:rPr>
              <w:t>符合</w:t>
            </w:r>
          </w:p>
        </w:tc>
      </w:tr>
      <w:tr w14:paraId="4FA1874F">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E881A38">
            <w:pPr>
              <w:pStyle w:val="61"/>
              <w:spacing w:line="240" w:lineRule="auto"/>
              <w:rPr>
                <w:rFonts w:ascii="宋体" w:hAnsi="宋体" w:cs="宋体"/>
                <w:color w:val="auto"/>
              </w:rPr>
            </w:pPr>
            <w:r>
              <w:rPr>
                <w:rFonts w:hint="eastAsia" w:ascii="宋体" w:hAnsi="宋体" w:cs="宋体"/>
                <w:color w:val="auto"/>
              </w:rPr>
              <w:t>2.3</w:t>
            </w:r>
          </w:p>
        </w:tc>
        <w:tc>
          <w:tcPr>
            <w:tcW w:w="6310" w:type="dxa"/>
            <w:tcBorders>
              <w:top w:val="single" w:color="auto" w:sz="8" w:space="0"/>
              <w:left w:val="single" w:color="auto" w:sz="8" w:space="0"/>
              <w:bottom w:val="single" w:color="auto" w:sz="8" w:space="0"/>
              <w:right w:val="single" w:color="auto" w:sz="4" w:space="0"/>
            </w:tcBorders>
            <w:vAlign w:val="center"/>
          </w:tcPr>
          <w:p w14:paraId="512C92CA">
            <w:pPr>
              <w:pStyle w:val="61"/>
              <w:spacing w:line="240" w:lineRule="auto"/>
              <w:jc w:val="left"/>
              <w:rPr>
                <w:rFonts w:ascii="宋体" w:hAnsi="宋体" w:cs="宋体"/>
                <w:color w:val="auto"/>
              </w:rPr>
            </w:pPr>
            <w:r>
              <w:rPr>
                <w:rFonts w:hint="eastAsia" w:ascii="宋体" w:hAnsi="宋体" w:cs="宋体"/>
                <w:color w:val="auto"/>
              </w:rPr>
              <w:t>若所修的部件需要放油时，应使用金属容器收集。</w:t>
            </w:r>
          </w:p>
        </w:tc>
        <w:tc>
          <w:tcPr>
            <w:tcW w:w="1535" w:type="dxa"/>
            <w:vMerge w:val="continue"/>
            <w:tcBorders>
              <w:left w:val="nil"/>
              <w:right w:val="single" w:color="auto" w:sz="4" w:space="0"/>
            </w:tcBorders>
            <w:vAlign w:val="center"/>
          </w:tcPr>
          <w:p w14:paraId="19E487AD">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1ADEA0B1">
            <w:pPr>
              <w:pStyle w:val="61"/>
              <w:spacing w:line="240" w:lineRule="auto"/>
              <w:rPr>
                <w:rFonts w:ascii="宋体" w:hAnsi="宋体" w:cs="宋体"/>
                <w:color w:val="auto"/>
              </w:rPr>
            </w:pPr>
            <w:r>
              <w:rPr>
                <w:rFonts w:hint="eastAsia" w:ascii="宋体" w:hAnsi="宋体" w:cs="宋体"/>
                <w:color w:val="auto"/>
              </w:rPr>
              <w:t>符合</w:t>
            </w:r>
          </w:p>
        </w:tc>
      </w:tr>
      <w:tr w14:paraId="17B6865A">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958C735">
            <w:pPr>
              <w:pStyle w:val="61"/>
              <w:spacing w:line="240" w:lineRule="auto"/>
              <w:rPr>
                <w:rFonts w:ascii="宋体" w:hAnsi="宋体" w:cs="宋体"/>
                <w:color w:val="auto"/>
              </w:rPr>
            </w:pPr>
            <w:r>
              <w:rPr>
                <w:rFonts w:hint="eastAsia" w:ascii="宋体" w:hAnsi="宋体" w:cs="宋体"/>
                <w:color w:val="auto"/>
              </w:rPr>
              <w:t>3</w:t>
            </w:r>
          </w:p>
        </w:tc>
        <w:tc>
          <w:tcPr>
            <w:tcW w:w="6310" w:type="dxa"/>
            <w:tcBorders>
              <w:top w:val="single" w:color="auto" w:sz="8" w:space="0"/>
              <w:left w:val="single" w:color="auto" w:sz="8" w:space="0"/>
              <w:bottom w:val="single" w:color="auto" w:sz="8" w:space="0"/>
              <w:right w:val="single" w:color="auto" w:sz="4" w:space="0"/>
            </w:tcBorders>
            <w:vAlign w:val="center"/>
          </w:tcPr>
          <w:p w14:paraId="2988CD32">
            <w:pPr>
              <w:pStyle w:val="61"/>
              <w:spacing w:line="240" w:lineRule="auto"/>
              <w:rPr>
                <w:rFonts w:ascii="宋体" w:hAnsi="宋体" w:cs="宋体"/>
                <w:color w:val="auto"/>
              </w:rPr>
            </w:pPr>
            <w:r>
              <w:rPr>
                <w:rFonts w:hint="eastAsia" w:ascii="宋体" w:hAnsi="宋体" w:cs="宋体"/>
                <w:color w:val="auto"/>
              </w:rPr>
              <w:t>动火作业</w:t>
            </w:r>
          </w:p>
        </w:tc>
        <w:tc>
          <w:tcPr>
            <w:tcW w:w="1535" w:type="dxa"/>
            <w:tcBorders>
              <w:top w:val="single" w:color="auto" w:sz="4" w:space="0"/>
              <w:left w:val="nil"/>
              <w:bottom w:val="single" w:color="auto" w:sz="4" w:space="0"/>
              <w:right w:val="single" w:color="auto" w:sz="4" w:space="0"/>
            </w:tcBorders>
            <w:vAlign w:val="center"/>
          </w:tcPr>
          <w:p w14:paraId="6DE10552">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06B9EF7A">
            <w:pPr>
              <w:pStyle w:val="61"/>
              <w:spacing w:line="240" w:lineRule="auto"/>
              <w:rPr>
                <w:rFonts w:ascii="宋体" w:hAnsi="宋体" w:cs="宋体"/>
                <w:color w:val="auto"/>
              </w:rPr>
            </w:pPr>
          </w:p>
        </w:tc>
      </w:tr>
      <w:tr w14:paraId="1BB3B2F7">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0B3BC86">
            <w:pPr>
              <w:pStyle w:val="61"/>
              <w:spacing w:line="240" w:lineRule="auto"/>
              <w:rPr>
                <w:rFonts w:ascii="宋体" w:hAnsi="宋体" w:cs="宋体"/>
                <w:color w:val="auto"/>
              </w:rPr>
            </w:pPr>
            <w:r>
              <w:rPr>
                <w:rFonts w:hint="eastAsia" w:ascii="宋体" w:hAnsi="宋体" w:cs="宋体"/>
                <w:color w:val="auto"/>
              </w:rPr>
              <w:t>3.1</w:t>
            </w:r>
          </w:p>
        </w:tc>
        <w:tc>
          <w:tcPr>
            <w:tcW w:w="6310" w:type="dxa"/>
            <w:tcBorders>
              <w:top w:val="single" w:color="auto" w:sz="8" w:space="0"/>
              <w:left w:val="single" w:color="auto" w:sz="8" w:space="0"/>
              <w:bottom w:val="single" w:color="auto" w:sz="8" w:space="0"/>
              <w:right w:val="single" w:color="auto" w:sz="4" w:space="0"/>
            </w:tcBorders>
            <w:vAlign w:val="center"/>
          </w:tcPr>
          <w:p w14:paraId="2FA8E2C7">
            <w:pPr>
              <w:pStyle w:val="61"/>
              <w:spacing w:line="240" w:lineRule="auto"/>
              <w:jc w:val="left"/>
              <w:rPr>
                <w:rFonts w:ascii="宋体" w:hAnsi="宋体" w:cs="宋体"/>
                <w:color w:val="auto"/>
              </w:rPr>
            </w:pPr>
            <w:r>
              <w:rPr>
                <w:rFonts w:hint="eastAsia" w:ascii="宋体" w:hAnsi="宋体" w:cs="宋体"/>
                <w:color w:val="auto"/>
              </w:rPr>
              <w:t>应根据 GB30871的规定对动火作业进行管理。</w:t>
            </w:r>
          </w:p>
        </w:tc>
        <w:tc>
          <w:tcPr>
            <w:tcW w:w="1535" w:type="dxa"/>
            <w:tcBorders>
              <w:top w:val="single" w:color="auto" w:sz="4" w:space="0"/>
              <w:left w:val="nil"/>
              <w:bottom w:val="single" w:color="auto" w:sz="4" w:space="0"/>
              <w:right w:val="single" w:color="auto" w:sz="4" w:space="0"/>
            </w:tcBorders>
            <w:vAlign w:val="center"/>
          </w:tcPr>
          <w:p w14:paraId="32A5803E">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D1CB2BE">
            <w:pPr>
              <w:pStyle w:val="61"/>
              <w:spacing w:line="240" w:lineRule="auto"/>
              <w:rPr>
                <w:rFonts w:ascii="宋体" w:hAnsi="宋体" w:cs="宋体"/>
                <w:color w:val="auto"/>
              </w:rPr>
            </w:pPr>
            <w:r>
              <w:rPr>
                <w:rFonts w:hint="eastAsia" w:ascii="宋体" w:hAnsi="宋体" w:cs="宋体"/>
                <w:color w:val="auto"/>
              </w:rPr>
              <w:t>符合</w:t>
            </w:r>
          </w:p>
        </w:tc>
      </w:tr>
      <w:tr w14:paraId="324E38A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EED23DE">
            <w:pPr>
              <w:pStyle w:val="61"/>
              <w:spacing w:line="240" w:lineRule="auto"/>
              <w:rPr>
                <w:rFonts w:ascii="宋体" w:hAnsi="宋体" w:cs="宋体"/>
                <w:color w:val="auto"/>
              </w:rPr>
            </w:pPr>
            <w:r>
              <w:rPr>
                <w:rFonts w:hint="eastAsia" w:ascii="宋体" w:hAnsi="宋体" w:cs="宋体"/>
                <w:color w:val="auto"/>
              </w:rPr>
              <w:t>3.2</w:t>
            </w:r>
          </w:p>
        </w:tc>
        <w:tc>
          <w:tcPr>
            <w:tcW w:w="6310" w:type="dxa"/>
            <w:tcBorders>
              <w:top w:val="single" w:color="auto" w:sz="8" w:space="0"/>
              <w:left w:val="single" w:color="auto" w:sz="8" w:space="0"/>
              <w:bottom w:val="single" w:color="auto" w:sz="8" w:space="0"/>
              <w:right w:val="single" w:color="auto" w:sz="4" w:space="0"/>
            </w:tcBorders>
            <w:vAlign w:val="center"/>
          </w:tcPr>
          <w:p w14:paraId="0F698AC9">
            <w:pPr>
              <w:pStyle w:val="61"/>
              <w:spacing w:line="240" w:lineRule="auto"/>
              <w:jc w:val="left"/>
              <w:rPr>
                <w:rFonts w:ascii="宋体" w:hAnsi="宋体" w:cs="宋体"/>
                <w:color w:val="auto"/>
              </w:rPr>
            </w:pPr>
            <w:r>
              <w:rPr>
                <w:rFonts w:hint="eastAsia" w:ascii="宋体" w:hAnsi="宋体" w:cs="宋体"/>
                <w:color w:val="auto"/>
              </w:rPr>
              <w:t>在加油站作业区内进行动火作业前，应办理动火审批手续；动火人员应按动火审批要求作业；设置现场监护人。</w:t>
            </w:r>
          </w:p>
        </w:tc>
        <w:tc>
          <w:tcPr>
            <w:tcW w:w="1535" w:type="dxa"/>
            <w:tcBorders>
              <w:top w:val="single" w:color="auto" w:sz="4" w:space="0"/>
              <w:left w:val="nil"/>
              <w:bottom w:val="single" w:color="auto" w:sz="4" w:space="0"/>
              <w:right w:val="single" w:color="auto" w:sz="4" w:space="0"/>
            </w:tcBorders>
            <w:vAlign w:val="center"/>
          </w:tcPr>
          <w:p w14:paraId="4A371B6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BD67ECD">
            <w:pPr>
              <w:pStyle w:val="61"/>
              <w:spacing w:line="240" w:lineRule="auto"/>
              <w:rPr>
                <w:rFonts w:ascii="宋体" w:hAnsi="宋体" w:cs="宋体"/>
                <w:color w:val="auto"/>
              </w:rPr>
            </w:pPr>
            <w:r>
              <w:rPr>
                <w:rFonts w:hint="eastAsia" w:ascii="宋体" w:hAnsi="宋体" w:cs="宋体"/>
                <w:color w:val="auto"/>
              </w:rPr>
              <w:t>符合</w:t>
            </w:r>
          </w:p>
        </w:tc>
      </w:tr>
      <w:tr w14:paraId="60CA0C52">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A1AC729">
            <w:pPr>
              <w:pStyle w:val="61"/>
              <w:spacing w:line="240" w:lineRule="auto"/>
              <w:rPr>
                <w:rFonts w:ascii="宋体" w:hAnsi="宋体" w:cs="宋体"/>
                <w:color w:val="auto"/>
              </w:rPr>
            </w:pPr>
            <w:r>
              <w:rPr>
                <w:rFonts w:hint="eastAsia" w:ascii="宋体" w:hAnsi="宋体" w:cs="宋体"/>
                <w:color w:val="auto"/>
              </w:rPr>
              <w:t>3.3</w:t>
            </w:r>
          </w:p>
        </w:tc>
        <w:tc>
          <w:tcPr>
            <w:tcW w:w="6310" w:type="dxa"/>
            <w:tcBorders>
              <w:top w:val="single" w:color="auto" w:sz="8" w:space="0"/>
              <w:left w:val="single" w:color="auto" w:sz="8" w:space="0"/>
              <w:bottom w:val="single" w:color="auto" w:sz="8" w:space="0"/>
              <w:right w:val="single" w:color="auto" w:sz="4" w:space="0"/>
            </w:tcBorders>
            <w:vAlign w:val="center"/>
          </w:tcPr>
          <w:p w14:paraId="21A43C71">
            <w:pPr>
              <w:pStyle w:val="61"/>
              <w:spacing w:line="240" w:lineRule="auto"/>
              <w:jc w:val="left"/>
              <w:rPr>
                <w:rFonts w:ascii="宋体" w:hAnsi="宋体" w:cs="宋体"/>
                <w:color w:val="auto"/>
              </w:rPr>
            </w:pPr>
            <w:r>
              <w:rPr>
                <w:rFonts w:hint="eastAsia" w:ascii="宋体" w:hAnsi="宋体" w:cs="宋体"/>
                <w:color w:val="auto"/>
              </w:rPr>
              <w:t>动火作业前，与动火设备相连的所有管线均应加堵盲板与系统彻底隔离，并进行清洗、置换，分析合格后方可作业。不应以水封或关闭阀门代替盲板作为隔断措施。</w:t>
            </w:r>
          </w:p>
        </w:tc>
        <w:tc>
          <w:tcPr>
            <w:tcW w:w="1535" w:type="dxa"/>
            <w:tcBorders>
              <w:top w:val="single" w:color="auto" w:sz="4" w:space="0"/>
              <w:left w:val="nil"/>
              <w:bottom w:val="single" w:color="auto" w:sz="4" w:space="0"/>
              <w:right w:val="single" w:color="auto" w:sz="4" w:space="0"/>
            </w:tcBorders>
            <w:vAlign w:val="center"/>
          </w:tcPr>
          <w:p w14:paraId="53F0ACD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045DDC3">
            <w:pPr>
              <w:pStyle w:val="61"/>
              <w:spacing w:line="240" w:lineRule="auto"/>
              <w:rPr>
                <w:rFonts w:ascii="宋体" w:hAnsi="宋体" w:cs="宋体"/>
                <w:color w:val="auto"/>
              </w:rPr>
            </w:pPr>
            <w:r>
              <w:rPr>
                <w:rFonts w:hint="eastAsia" w:ascii="宋体" w:hAnsi="宋体" w:cs="宋体"/>
                <w:color w:val="auto"/>
              </w:rPr>
              <w:t>符合</w:t>
            </w:r>
          </w:p>
        </w:tc>
      </w:tr>
      <w:tr w14:paraId="4331E45F">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9E9DEE8">
            <w:pPr>
              <w:pStyle w:val="61"/>
              <w:spacing w:line="240" w:lineRule="auto"/>
              <w:rPr>
                <w:rFonts w:ascii="宋体" w:hAnsi="宋体" w:cs="宋体"/>
                <w:color w:val="auto"/>
              </w:rPr>
            </w:pPr>
            <w:r>
              <w:rPr>
                <w:rFonts w:hint="eastAsia" w:ascii="宋体" w:hAnsi="宋体" w:cs="宋体"/>
                <w:color w:val="auto"/>
              </w:rPr>
              <w:t>3.4</w:t>
            </w:r>
          </w:p>
        </w:tc>
        <w:tc>
          <w:tcPr>
            <w:tcW w:w="6310" w:type="dxa"/>
            <w:tcBorders>
              <w:top w:val="single" w:color="auto" w:sz="8" w:space="0"/>
              <w:left w:val="single" w:color="auto" w:sz="8" w:space="0"/>
              <w:bottom w:val="single" w:color="auto" w:sz="8" w:space="0"/>
              <w:right w:val="single" w:color="auto" w:sz="4" w:space="0"/>
            </w:tcBorders>
            <w:vAlign w:val="center"/>
          </w:tcPr>
          <w:p w14:paraId="6651BA7C">
            <w:pPr>
              <w:pStyle w:val="61"/>
              <w:spacing w:line="240" w:lineRule="auto"/>
              <w:jc w:val="left"/>
              <w:rPr>
                <w:rFonts w:ascii="宋体" w:hAnsi="宋体" w:cs="宋体"/>
                <w:color w:val="auto"/>
              </w:rPr>
            </w:pPr>
            <w:r>
              <w:rPr>
                <w:rFonts w:hint="eastAsia" w:ascii="宋体" w:hAnsi="宋体" w:cs="宋体"/>
                <w:color w:val="auto"/>
              </w:rPr>
              <w:t>动火作业前应清除动火现场及周围的易燃物品，或采取其他有效安全防火措施，并配备消防器材，满足作业现场应急需求。作业现场应设置警示标志、警戒区，作业现场严禁无关人员进入。</w:t>
            </w:r>
          </w:p>
        </w:tc>
        <w:tc>
          <w:tcPr>
            <w:tcW w:w="1535" w:type="dxa"/>
            <w:tcBorders>
              <w:top w:val="single" w:color="auto" w:sz="4" w:space="0"/>
              <w:left w:val="nil"/>
              <w:bottom w:val="single" w:color="auto" w:sz="4" w:space="0"/>
              <w:right w:val="single" w:color="auto" w:sz="4" w:space="0"/>
            </w:tcBorders>
            <w:vAlign w:val="center"/>
          </w:tcPr>
          <w:p w14:paraId="52158D72">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E59B537">
            <w:pPr>
              <w:pStyle w:val="61"/>
              <w:spacing w:line="240" w:lineRule="auto"/>
              <w:rPr>
                <w:rFonts w:ascii="宋体" w:hAnsi="宋体" w:cs="宋体"/>
                <w:color w:val="auto"/>
              </w:rPr>
            </w:pPr>
            <w:r>
              <w:rPr>
                <w:rFonts w:hint="eastAsia" w:ascii="宋体" w:hAnsi="宋体" w:cs="宋体"/>
                <w:color w:val="auto"/>
              </w:rPr>
              <w:t>符合</w:t>
            </w:r>
          </w:p>
        </w:tc>
      </w:tr>
      <w:tr w14:paraId="5D5AC60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6193EEE">
            <w:pPr>
              <w:pStyle w:val="61"/>
              <w:spacing w:line="240" w:lineRule="auto"/>
              <w:rPr>
                <w:rFonts w:ascii="宋体" w:hAnsi="宋体" w:cs="宋体"/>
                <w:color w:val="auto"/>
              </w:rPr>
            </w:pPr>
            <w:r>
              <w:rPr>
                <w:rFonts w:hint="eastAsia" w:ascii="宋体" w:hAnsi="宋体" w:cs="宋体"/>
                <w:color w:val="auto"/>
              </w:rPr>
              <w:t>3.5</w:t>
            </w:r>
          </w:p>
        </w:tc>
        <w:tc>
          <w:tcPr>
            <w:tcW w:w="6310" w:type="dxa"/>
            <w:tcBorders>
              <w:top w:val="single" w:color="auto" w:sz="8" w:space="0"/>
              <w:left w:val="single" w:color="auto" w:sz="8" w:space="0"/>
              <w:bottom w:val="single" w:color="auto" w:sz="8" w:space="0"/>
              <w:right w:val="single" w:color="auto" w:sz="4" w:space="0"/>
            </w:tcBorders>
            <w:vAlign w:val="center"/>
          </w:tcPr>
          <w:p w14:paraId="52B87344">
            <w:pPr>
              <w:rPr>
                <w:rFonts w:ascii="宋体" w:hAnsi="宋体" w:cs="宋体"/>
                <w:color w:val="auto"/>
              </w:rPr>
            </w:pPr>
            <w:r>
              <w:rPr>
                <w:rFonts w:hint="eastAsia" w:ascii="宋体" w:hAnsi="宋体" w:cs="宋体"/>
                <w:color w:val="auto"/>
              </w:rPr>
              <w:t>动火设备内的油品等可燃物应彻底清理干净，并按照GB30871的规定进行动火分析，合格后方可进行动火作业。</w:t>
            </w:r>
          </w:p>
        </w:tc>
        <w:tc>
          <w:tcPr>
            <w:tcW w:w="1535" w:type="dxa"/>
            <w:tcBorders>
              <w:top w:val="single" w:color="auto" w:sz="4" w:space="0"/>
              <w:left w:val="nil"/>
              <w:bottom w:val="single" w:color="auto" w:sz="4" w:space="0"/>
              <w:right w:val="single" w:color="auto" w:sz="4" w:space="0"/>
            </w:tcBorders>
            <w:vAlign w:val="center"/>
          </w:tcPr>
          <w:p w14:paraId="0D721063">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0ED777B">
            <w:pPr>
              <w:pStyle w:val="61"/>
              <w:spacing w:line="240" w:lineRule="auto"/>
              <w:rPr>
                <w:rFonts w:ascii="宋体" w:hAnsi="宋体" w:cs="宋体"/>
                <w:color w:val="auto"/>
              </w:rPr>
            </w:pPr>
            <w:r>
              <w:rPr>
                <w:rFonts w:hint="eastAsia" w:ascii="宋体" w:hAnsi="宋体" w:cs="宋体"/>
                <w:color w:val="auto"/>
              </w:rPr>
              <w:t>符合</w:t>
            </w:r>
          </w:p>
        </w:tc>
      </w:tr>
      <w:tr w14:paraId="58B8682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341FAFE">
            <w:pPr>
              <w:pStyle w:val="61"/>
              <w:spacing w:line="240" w:lineRule="auto"/>
              <w:rPr>
                <w:rFonts w:ascii="宋体" w:hAnsi="宋体" w:cs="宋体"/>
                <w:color w:val="auto"/>
              </w:rPr>
            </w:pPr>
            <w:r>
              <w:rPr>
                <w:rFonts w:hint="eastAsia" w:ascii="宋体" w:hAnsi="宋体" w:cs="宋体"/>
                <w:color w:val="auto"/>
              </w:rPr>
              <w:t>3.6</w:t>
            </w:r>
          </w:p>
        </w:tc>
        <w:tc>
          <w:tcPr>
            <w:tcW w:w="6310" w:type="dxa"/>
            <w:tcBorders>
              <w:top w:val="single" w:color="auto" w:sz="8" w:space="0"/>
              <w:left w:val="single" w:color="auto" w:sz="8" w:space="0"/>
              <w:bottom w:val="single" w:color="auto" w:sz="8" w:space="0"/>
              <w:right w:val="single" w:color="auto" w:sz="4" w:space="0"/>
            </w:tcBorders>
            <w:vAlign w:val="center"/>
          </w:tcPr>
          <w:p w14:paraId="3810384F">
            <w:pPr>
              <w:pStyle w:val="61"/>
              <w:spacing w:line="240" w:lineRule="auto"/>
              <w:jc w:val="left"/>
              <w:rPr>
                <w:rFonts w:ascii="宋体" w:hAnsi="宋体" w:cs="宋体"/>
                <w:color w:val="auto"/>
              </w:rPr>
            </w:pPr>
            <w:r>
              <w:rPr>
                <w:rFonts w:hint="eastAsia" w:ascii="宋体" w:hAnsi="宋体" w:cs="宋体"/>
                <w:color w:val="auto"/>
              </w:rPr>
              <w:t>在爆炸危险区域附近动火施工时，应隔离并注意风向。</w:t>
            </w:r>
          </w:p>
        </w:tc>
        <w:tc>
          <w:tcPr>
            <w:tcW w:w="1535" w:type="dxa"/>
            <w:tcBorders>
              <w:top w:val="single" w:color="auto" w:sz="4" w:space="0"/>
              <w:left w:val="nil"/>
              <w:bottom w:val="single" w:color="auto" w:sz="4" w:space="0"/>
              <w:right w:val="single" w:color="auto" w:sz="4" w:space="0"/>
            </w:tcBorders>
            <w:vAlign w:val="center"/>
          </w:tcPr>
          <w:p w14:paraId="46B2DCEB">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23EB4FD">
            <w:pPr>
              <w:pStyle w:val="61"/>
              <w:spacing w:line="240" w:lineRule="auto"/>
              <w:rPr>
                <w:rFonts w:ascii="宋体" w:hAnsi="宋体" w:cs="宋体"/>
                <w:color w:val="auto"/>
              </w:rPr>
            </w:pPr>
            <w:r>
              <w:rPr>
                <w:rFonts w:hint="eastAsia" w:ascii="宋体" w:hAnsi="宋体" w:cs="宋体"/>
                <w:color w:val="auto"/>
              </w:rPr>
              <w:t>符合</w:t>
            </w:r>
          </w:p>
        </w:tc>
      </w:tr>
      <w:tr w14:paraId="68A29066">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B20AB3B">
            <w:pPr>
              <w:pStyle w:val="61"/>
              <w:spacing w:line="240" w:lineRule="auto"/>
              <w:rPr>
                <w:rFonts w:ascii="宋体" w:hAnsi="宋体" w:cs="宋体"/>
                <w:color w:val="auto"/>
              </w:rPr>
            </w:pPr>
            <w:r>
              <w:rPr>
                <w:rFonts w:hint="eastAsia" w:ascii="宋体" w:hAnsi="宋体" w:cs="宋体"/>
                <w:color w:val="auto"/>
              </w:rPr>
              <w:t>3.7</w:t>
            </w:r>
          </w:p>
        </w:tc>
        <w:tc>
          <w:tcPr>
            <w:tcW w:w="6310" w:type="dxa"/>
            <w:tcBorders>
              <w:top w:val="single" w:color="auto" w:sz="8" w:space="0"/>
              <w:left w:val="single" w:color="auto" w:sz="8" w:space="0"/>
              <w:bottom w:val="single" w:color="auto" w:sz="8" w:space="0"/>
              <w:right w:val="single" w:color="auto" w:sz="4" w:space="0"/>
            </w:tcBorders>
            <w:vAlign w:val="center"/>
          </w:tcPr>
          <w:p w14:paraId="6E084116">
            <w:pPr>
              <w:pStyle w:val="61"/>
              <w:spacing w:line="240" w:lineRule="auto"/>
              <w:jc w:val="left"/>
              <w:rPr>
                <w:rFonts w:ascii="宋体" w:hAnsi="宋体" w:cs="宋体"/>
                <w:color w:val="auto"/>
              </w:rPr>
            </w:pPr>
            <w:r>
              <w:rPr>
                <w:rFonts w:hint="eastAsia" w:ascii="宋体" w:hAnsi="宋体" w:cs="宋体"/>
                <w:color w:val="auto"/>
              </w:rPr>
              <w:t>动火点周围15m 内如有可燃物、窨井、水封井、隔油池、地沟等，应检查分析并采取清理或封盖 等措施；动火点周围30m 内不应排放可燃气体，15m 内不应排放可燃液体。</w:t>
            </w:r>
          </w:p>
        </w:tc>
        <w:tc>
          <w:tcPr>
            <w:tcW w:w="1535" w:type="dxa"/>
            <w:tcBorders>
              <w:top w:val="single" w:color="auto" w:sz="4" w:space="0"/>
              <w:left w:val="nil"/>
              <w:bottom w:val="single" w:color="auto" w:sz="4" w:space="0"/>
              <w:right w:val="single" w:color="auto" w:sz="4" w:space="0"/>
            </w:tcBorders>
            <w:vAlign w:val="center"/>
          </w:tcPr>
          <w:p w14:paraId="51C0151C">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B4EF61E">
            <w:pPr>
              <w:pStyle w:val="61"/>
              <w:spacing w:line="240" w:lineRule="auto"/>
              <w:rPr>
                <w:rFonts w:ascii="宋体" w:hAnsi="宋体" w:cs="宋体"/>
                <w:color w:val="auto"/>
              </w:rPr>
            </w:pPr>
            <w:r>
              <w:rPr>
                <w:rFonts w:hint="eastAsia" w:ascii="宋体" w:hAnsi="宋体" w:cs="宋体"/>
                <w:color w:val="auto"/>
              </w:rPr>
              <w:t>符合</w:t>
            </w:r>
          </w:p>
        </w:tc>
      </w:tr>
      <w:tr w14:paraId="5F4BF76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17FF8A7">
            <w:pPr>
              <w:pStyle w:val="61"/>
              <w:spacing w:line="240" w:lineRule="auto"/>
              <w:rPr>
                <w:rFonts w:ascii="宋体" w:hAnsi="宋体" w:cs="宋体"/>
                <w:color w:val="auto"/>
              </w:rPr>
            </w:pPr>
            <w:r>
              <w:rPr>
                <w:rFonts w:hint="eastAsia" w:ascii="宋体" w:hAnsi="宋体" w:cs="宋体"/>
                <w:color w:val="auto"/>
              </w:rPr>
              <w:t>3.8</w:t>
            </w:r>
          </w:p>
        </w:tc>
        <w:tc>
          <w:tcPr>
            <w:tcW w:w="6310" w:type="dxa"/>
            <w:tcBorders>
              <w:top w:val="single" w:color="auto" w:sz="8" w:space="0"/>
              <w:left w:val="single" w:color="auto" w:sz="8" w:space="0"/>
              <w:bottom w:val="single" w:color="auto" w:sz="8" w:space="0"/>
              <w:right w:val="single" w:color="auto" w:sz="4" w:space="0"/>
            </w:tcBorders>
            <w:vAlign w:val="center"/>
          </w:tcPr>
          <w:p w14:paraId="16560072">
            <w:pPr>
              <w:pStyle w:val="61"/>
              <w:spacing w:line="240" w:lineRule="auto"/>
              <w:jc w:val="left"/>
              <w:rPr>
                <w:rFonts w:ascii="宋体" w:hAnsi="宋体" w:cs="宋体"/>
                <w:color w:val="auto"/>
              </w:rPr>
            </w:pPr>
            <w:r>
              <w:rPr>
                <w:rFonts w:hint="eastAsia" w:ascii="宋体" w:hAnsi="宋体" w:cs="宋体"/>
                <w:color w:val="auto"/>
              </w:rPr>
              <w:t>施工中如需启停管线阀门，施工人员应会同值班站长处理，不应擅自操作。</w:t>
            </w:r>
          </w:p>
        </w:tc>
        <w:tc>
          <w:tcPr>
            <w:tcW w:w="1535" w:type="dxa"/>
            <w:tcBorders>
              <w:top w:val="single" w:color="auto" w:sz="4" w:space="0"/>
              <w:left w:val="nil"/>
              <w:bottom w:val="single" w:color="auto" w:sz="4" w:space="0"/>
              <w:right w:val="single" w:color="auto" w:sz="4" w:space="0"/>
            </w:tcBorders>
            <w:vAlign w:val="center"/>
          </w:tcPr>
          <w:p w14:paraId="37F2A713">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F0406F0">
            <w:pPr>
              <w:pStyle w:val="61"/>
              <w:spacing w:line="240" w:lineRule="auto"/>
              <w:rPr>
                <w:rFonts w:ascii="宋体" w:hAnsi="宋体" w:cs="宋体"/>
                <w:color w:val="auto"/>
              </w:rPr>
            </w:pPr>
            <w:r>
              <w:rPr>
                <w:rFonts w:hint="eastAsia" w:ascii="宋体" w:hAnsi="宋体" w:cs="宋体"/>
                <w:color w:val="auto"/>
              </w:rPr>
              <w:t>符合</w:t>
            </w:r>
          </w:p>
        </w:tc>
      </w:tr>
      <w:tr w14:paraId="3140A9E9">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062F9B2">
            <w:pPr>
              <w:pStyle w:val="61"/>
              <w:spacing w:line="240" w:lineRule="auto"/>
              <w:rPr>
                <w:rFonts w:ascii="宋体" w:hAnsi="宋体" w:cs="宋体"/>
                <w:color w:val="auto"/>
              </w:rPr>
            </w:pPr>
            <w:r>
              <w:rPr>
                <w:rFonts w:hint="eastAsia" w:ascii="宋体" w:hAnsi="宋体" w:cs="宋体"/>
                <w:color w:val="auto"/>
              </w:rPr>
              <w:t>3.9</w:t>
            </w:r>
          </w:p>
        </w:tc>
        <w:tc>
          <w:tcPr>
            <w:tcW w:w="6310" w:type="dxa"/>
            <w:tcBorders>
              <w:top w:val="single" w:color="auto" w:sz="8" w:space="0"/>
              <w:left w:val="single" w:color="auto" w:sz="8" w:space="0"/>
              <w:bottom w:val="single" w:color="auto" w:sz="8" w:space="0"/>
              <w:right w:val="single" w:color="auto" w:sz="4" w:space="0"/>
            </w:tcBorders>
            <w:vAlign w:val="center"/>
          </w:tcPr>
          <w:p w14:paraId="5B9A8989">
            <w:pPr>
              <w:pStyle w:val="61"/>
              <w:spacing w:line="240" w:lineRule="auto"/>
              <w:jc w:val="left"/>
              <w:rPr>
                <w:rFonts w:ascii="宋体" w:hAnsi="宋体" w:cs="宋体"/>
                <w:color w:val="auto"/>
              </w:rPr>
            </w:pPr>
            <w:r>
              <w:rPr>
                <w:rFonts w:hint="eastAsia" w:ascii="宋体" w:hAnsi="宋体" w:cs="宋体"/>
                <w:color w:val="auto"/>
              </w:rPr>
              <w:t>电焊回路线应接在焊件上，不应穿过窨井或其他设备搭火。</w:t>
            </w:r>
          </w:p>
        </w:tc>
        <w:tc>
          <w:tcPr>
            <w:tcW w:w="1535" w:type="dxa"/>
            <w:tcBorders>
              <w:top w:val="single" w:color="auto" w:sz="4" w:space="0"/>
              <w:left w:val="nil"/>
              <w:bottom w:val="single" w:color="auto" w:sz="4" w:space="0"/>
              <w:right w:val="single" w:color="auto" w:sz="4" w:space="0"/>
            </w:tcBorders>
            <w:vAlign w:val="center"/>
          </w:tcPr>
          <w:p w14:paraId="524426E3">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42C8A61">
            <w:pPr>
              <w:pStyle w:val="61"/>
              <w:spacing w:line="240" w:lineRule="auto"/>
              <w:rPr>
                <w:rFonts w:ascii="宋体" w:hAnsi="宋体" w:cs="宋体"/>
                <w:color w:val="auto"/>
              </w:rPr>
            </w:pPr>
            <w:r>
              <w:rPr>
                <w:rFonts w:hint="eastAsia" w:ascii="宋体" w:hAnsi="宋体" w:cs="宋体"/>
                <w:color w:val="auto"/>
              </w:rPr>
              <w:t>符合</w:t>
            </w:r>
          </w:p>
        </w:tc>
      </w:tr>
      <w:tr w14:paraId="7217E9A1">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6AD5428">
            <w:pPr>
              <w:pStyle w:val="61"/>
              <w:spacing w:line="240" w:lineRule="auto"/>
              <w:rPr>
                <w:rFonts w:ascii="宋体" w:hAnsi="宋体" w:cs="宋体"/>
                <w:color w:val="auto"/>
              </w:rPr>
            </w:pPr>
            <w:r>
              <w:rPr>
                <w:rFonts w:hint="eastAsia" w:ascii="宋体" w:hAnsi="宋体" w:cs="宋体"/>
                <w:color w:val="auto"/>
              </w:rPr>
              <w:t>3.10</w:t>
            </w:r>
          </w:p>
        </w:tc>
        <w:tc>
          <w:tcPr>
            <w:tcW w:w="6310" w:type="dxa"/>
            <w:tcBorders>
              <w:top w:val="single" w:color="auto" w:sz="8" w:space="0"/>
              <w:left w:val="single" w:color="auto" w:sz="8" w:space="0"/>
              <w:bottom w:val="single" w:color="auto" w:sz="8" w:space="0"/>
              <w:right w:val="single" w:color="auto" w:sz="4" w:space="0"/>
            </w:tcBorders>
            <w:vAlign w:val="center"/>
          </w:tcPr>
          <w:p w14:paraId="2CBF9085">
            <w:pPr>
              <w:pStyle w:val="61"/>
              <w:spacing w:line="240" w:lineRule="auto"/>
              <w:jc w:val="left"/>
              <w:rPr>
                <w:rFonts w:ascii="宋体" w:hAnsi="宋体" w:cs="宋体"/>
                <w:color w:val="auto"/>
              </w:rPr>
            </w:pPr>
            <w:r>
              <w:rPr>
                <w:rFonts w:hint="eastAsia" w:ascii="宋体" w:hAnsi="宋体" w:cs="宋体"/>
                <w:color w:val="auto"/>
              </w:rPr>
              <w:t>使用气焊、气割进行动火作业时，乙炔瓶应直立放置，氧气瓶与乙炔瓶间距应不小于5 m, 两者与作业点间距应不小于10m, 并设置防晒设施和防倾倒措施。</w:t>
            </w:r>
          </w:p>
        </w:tc>
        <w:tc>
          <w:tcPr>
            <w:tcW w:w="1535" w:type="dxa"/>
            <w:tcBorders>
              <w:top w:val="single" w:color="auto" w:sz="4" w:space="0"/>
              <w:left w:val="nil"/>
              <w:bottom w:val="single" w:color="auto" w:sz="4" w:space="0"/>
              <w:right w:val="single" w:color="auto" w:sz="4" w:space="0"/>
            </w:tcBorders>
            <w:vAlign w:val="center"/>
          </w:tcPr>
          <w:p w14:paraId="1F85080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D786806">
            <w:pPr>
              <w:pStyle w:val="61"/>
              <w:spacing w:line="240" w:lineRule="auto"/>
              <w:rPr>
                <w:rFonts w:ascii="宋体" w:hAnsi="宋体" w:cs="宋体"/>
                <w:color w:val="auto"/>
              </w:rPr>
            </w:pPr>
            <w:r>
              <w:rPr>
                <w:rFonts w:hint="eastAsia" w:ascii="宋体" w:hAnsi="宋体" w:cs="宋体"/>
                <w:color w:val="auto"/>
              </w:rPr>
              <w:t>符合</w:t>
            </w:r>
          </w:p>
        </w:tc>
      </w:tr>
      <w:tr w14:paraId="1245988D">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08259FA">
            <w:pPr>
              <w:pStyle w:val="61"/>
              <w:spacing w:line="240" w:lineRule="auto"/>
              <w:rPr>
                <w:rFonts w:ascii="宋体" w:hAnsi="宋体" w:cs="宋体"/>
                <w:color w:val="auto"/>
              </w:rPr>
            </w:pPr>
            <w:r>
              <w:rPr>
                <w:rFonts w:hint="eastAsia" w:ascii="宋体" w:hAnsi="宋体" w:cs="宋体"/>
                <w:color w:val="auto"/>
              </w:rPr>
              <w:t>3.11</w:t>
            </w:r>
          </w:p>
        </w:tc>
        <w:tc>
          <w:tcPr>
            <w:tcW w:w="6310" w:type="dxa"/>
            <w:tcBorders>
              <w:top w:val="single" w:color="auto" w:sz="8" w:space="0"/>
              <w:left w:val="single" w:color="auto" w:sz="8" w:space="0"/>
              <w:bottom w:val="single" w:color="auto" w:sz="8" w:space="0"/>
              <w:right w:val="single" w:color="auto" w:sz="4" w:space="0"/>
            </w:tcBorders>
            <w:vAlign w:val="center"/>
          </w:tcPr>
          <w:p w14:paraId="09E0B045">
            <w:pPr>
              <w:rPr>
                <w:rFonts w:ascii="宋体" w:hAnsi="宋体" w:cs="宋体"/>
                <w:color w:val="auto"/>
              </w:rPr>
            </w:pPr>
            <w:r>
              <w:rPr>
                <w:rFonts w:hint="eastAsia" w:ascii="宋体" w:hAnsi="宋体" w:cs="宋体"/>
                <w:color w:val="auto"/>
              </w:rPr>
              <w:t>高处动火</w:t>
            </w:r>
            <w:r>
              <w:rPr>
                <w:rFonts w:hint="eastAsia" w:ascii="宋体" w:hAnsi="宋体" w:cs="宋体"/>
                <w:color w:val="auto"/>
                <w:lang w:eastAsia="zh-CN"/>
              </w:rPr>
              <w:t>（</w:t>
            </w:r>
            <w:r>
              <w:rPr>
                <w:rFonts w:hint="eastAsia" w:ascii="宋体" w:hAnsi="宋体" w:cs="宋体"/>
                <w:color w:val="auto"/>
              </w:rPr>
              <w:t>2 m 以上</w:t>
            </w:r>
            <w:r>
              <w:rPr>
                <w:rFonts w:hint="eastAsia" w:ascii="宋体" w:hAnsi="宋体" w:cs="宋体"/>
                <w:color w:val="auto"/>
                <w:lang w:eastAsia="zh-CN"/>
              </w:rPr>
              <w:t>）</w:t>
            </w:r>
            <w:r>
              <w:rPr>
                <w:rFonts w:hint="eastAsia" w:ascii="宋体" w:hAnsi="宋体" w:cs="宋体"/>
                <w:color w:val="auto"/>
              </w:rPr>
              <w:t>应采取防止火花飞溅措施，五级风以上</w:t>
            </w:r>
            <w:r>
              <w:rPr>
                <w:rFonts w:hint="eastAsia" w:ascii="宋体" w:hAnsi="宋体" w:cs="宋体"/>
                <w:color w:val="auto"/>
                <w:lang w:eastAsia="zh-CN"/>
              </w:rPr>
              <w:t>（</w:t>
            </w:r>
            <w:r>
              <w:rPr>
                <w:rFonts w:hint="eastAsia" w:ascii="宋体" w:hAnsi="宋体" w:cs="宋体"/>
                <w:color w:val="auto"/>
              </w:rPr>
              <w:t>含五级</w:t>
            </w:r>
            <w:r>
              <w:rPr>
                <w:rFonts w:hint="eastAsia" w:ascii="宋体" w:hAnsi="宋体" w:cs="宋体"/>
                <w:color w:val="auto"/>
                <w:lang w:eastAsia="zh-CN"/>
              </w:rPr>
              <w:t>）</w:t>
            </w:r>
            <w:r>
              <w:rPr>
                <w:rFonts w:hint="eastAsia" w:ascii="宋体" w:hAnsi="宋体" w:cs="宋体"/>
                <w:color w:val="auto"/>
              </w:rPr>
              <w:t>天气，不应露天动火作业。</w:t>
            </w:r>
          </w:p>
        </w:tc>
        <w:tc>
          <w:tcPr>
            <w:tcW w:w="1535" w:type="dxa"/>
            <w:tcBorders>
              <w:top w:val="single" w:color="auto" w:sz="4" w:space="0"/>
              <w:left w:val="nil"/>
              <w:bottom w:val="single" w:color="auto" w:sz="4" w:space="0"/>
              <w:right w:val="single" w:color="auto" w:sz="4" w:space="0"/>
            </w:tcBorders>
            <w:vAlign w:val="center"/>
          </w:tcPr>
          <w:p w14:paraId="09521E7B">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9E28221">
            <w:pPr>
              <w:pStyle w:val="61"/>
              <w:spacing w:line="240" w:lineRule="auto"/>
              <w:rPr>
                <w:rFonts w:ascii="宋体" w:hAnsi="宋体" w:cs="宋体"/>
                <w:color w:val="auto"/>
              </w:rPr>
            </w:pPr>
            <w:r>
              <w:rPr>
                <w:rFonts w:hint="eastAsia" w:ascii="宋体" w:hAnsi="宋体" w:cs="宋体"/>
                <w:color w:val="auto"/>
              </w:rPr>
              <w:t>符合</w:t>
            </w:r>
          </w:p>
        </w:tc>
      </w:tr>
      <w:tr w14:paraId="3B7569BB">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973AF02">
            <w:pPr>
              <w:pStyle w:val="61"/>
              <w:spacing w:line="240" w:lineRule="auto"/>
              <w:rPr>
                <w:rFonts w:ascii="宋体" w:hAnsi="宋体" w:cs="宋体"/>
                <w:color w:val="auto"/>
              </w:rPr>
            </w:pPr>
            <w:r>
              <w:rPr>
                <w:rFonts w:hint="eastAsia" w:ascii="宋体" w:hAnsi="宋体" w:cs="宋体"/>
                <w:color w:val="auto"/>
              </w:rPr>
              <w:t>4</w:t>
            </w:r>
          </w:p>
        </w:tc>
        <w:tc>
          <w:tcPr>
            <w:tcW w:w="6310" w:type="dxa"/>
            <w:tcBorders>
              <w:top w:val="single" w:color="auto" w:sz="8" w:space="0"/>
              <w:left w:val="single" w:color="auto" w:sz="8" w:space="0"/>
              <w:bottom w:val="single" w:color="auto" w:sz="8" w:space="0"/>
              <w:right w:val="single" w:color="auto" w:sz="4" w:space="0"/>
            </w:tcBorders>
            <w:vAlign w:val="center"/>
          </w:tcPr>
          <w:p w14:paraId="4361D668">
            <w:pPr>
              <w:pStyle w:val="61"/>
              <w:spacing w:line="240" w:lineRule="auto"/>
              <w:jc w:val="left"/>
              <w:rPr>
                <w:rFonts w:ascii="宋体" w:hAnsi="宋体" w:cs="宋体"/>
                <w:color w:val="auto"/>
              </w:rPr>
            </w:pPr>
            <w:r>
              <w:rPr>
                <w:rFonts w:hint="eastAsia" w:ascii="宋体" w:hAnsi="宋体" w:cs="宋体"/>
                <w:color w:val="auto"/>
              </w:rPr>
              <w:t xml:space="preserve"> </w:t>
            </w:r>
            <w:r>
              <w:rPr>
                <w:rFonts w:hint="eastAsia" w:ascii="宋体" w:hAnsi="宋体" w:cs="宋体"/>
                <w:b/>
                <w:bCs/>
                <w:color w:val="auto"/>
              </w:rPr>
              <w:t>防雷、防静电设施和接地装置检测</w:t>
            </w:r>
          </w:p>
        </w:tc>
        <w:tc>
          <w:tcPr>
            <w:tcW w:w="1535" w:type="dxa"/>
            <w:tcBorders>
              <w:top w:val="single" w:color="auto" w:sz="4" w:space="0"/>
              <w:left w:val="nil"/>
              <w:bottom w:val="single" w:color="auto" w:sz="4" w:space="0"/>
              <w:right w:val="single" w:color="auto" w:sz="4" w:space="0"/>
            </w:tcBorders>
            <w:vAlign w:val="center"/>
          </w:tcPr>
          <w:p w14:paraId="64A4D3BE">
            <w:pPr>
              <w:pStyle w:val="61"/>
              <w:spacing w:line="240" w:lineRule="auto"/>
              <w:rPr>
                <w:rFonts w:ascii="宋体" w:hAnsi="宋体" w:cs="宋体"/>
                <w:color w:val="auto"/>
              </w:rPr>
            </w:pPr>
            <w:r>
              <w:rPr>
                <w:rFonts w:hint="eastAsia" w:ascii="宋体" w:hAnsi="宋体" w:cs="宋体"/>
                <w:color w:val="auto"/>
              </w:rPr>
              <w:t>已检测合格</w:t>
            </w:r>
          </w:p>
        </w:tc>
        <w:tc>
          <w:tcPr>
            <w:tcW w:w="790" w:type="dxa"/>
            <w:tcBorders>
              <w:top w:val="single" w:color="auto" w:sz="4" w:space="0"/>
              <w:left w:val="nil"/>
              <w:bottom w:val="single" w:color="auto" w:sz="4" w:space="0"/>
              <w:right w:val="single" w:color="auto" w:sz="4" w:space="0"/>
            </w:tcBorders>
            <w:vAlign w:val="center"/>
          </w:tcPr>
          <w:p w14:paraId="46D3A68C">
            <w:pPr>
              <w:pStyle w:val="61"/>
              <w:spacing w:line="240" w:lineRule="auto"/>
              <w:rPr>
                <w:rFonts w:ascii="宋体" w:hAnsi="宋体" w:cs="宋体"/>
                <w:color w:val="auto"/>
              </w:rPr>
            </w:pPr>
            <w:r>
              <w:rPr>
                <w:rFonts w:hint="eastAsia" w:ascii="宋体" w:hAnsi="宋体" w:cs="宋体"/>
                <w:color w:val="auto"/>
              </w:rPr>
              <w:t>符合</w:t>
            </w:r>
          </w:p>
        </w:tc>
      </w:tr>
      <w:tr w14:paraId="3F8B4C4A">
        <w:tblPrEx>
          <w:tblCellMar>
            <w:top w:w="0" w:type="dxa"/>
            <w:left w:w="0" w:type="dxa"/>
            <w:bottom w:w="0" w:type="dxa"/>
            <w:right w:w="0" w:type="dxa"/>
          </w:tblCellMar>
        </w:tblPrEx>
        <w:trPr>
          <w:trHeight w:val="829"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98BBE47">
            <w:pPr>
              <w:pStyle w:val="61"/>
              <w:spacing w:line="240" w:lineRule="auto"/>
              <w:rPr>
                <w:rFonts w:ascii="宋体" w:hAnsi="宋体" w:cs="宋体"/>
                <w:color w:val="auto"/>
              </w:rPr>
            </w:pPr>
            <w:r>
              <w:rPr>
                <w:rFonts w:hint="eastAsia" w:ascii="宋体" w:hAnsi="宋体" w:cs="宋体"/>
                <w:color w:val="auto"/>
              </w:rPr>
              <w:t>4.1</w:t>
            </w:r>
          </w:p>
        </w:tc>
        <w:tc>
          <w:tcPr>
            <w:tcW w:w="6310" w:type="dxa"/>
            <w:tcBorders>
              <w:top w:val="single" w:color="auto" w:sz="8" w:space="0"/>
              <w:left w:val="single" w:color="auto" w:sz="8" w:space="0"/>
              <w:bottom w:val="single" w:color="auto" w:sz="8" w:space="0"/>
              <w:right w:val="single" w:color="auto" w:sz="4" w:space="0"/>
            </w:tcBorders>
            <w:vAlign w:val="center"/>
          </w:tcPr>
          <w:p w14:paraId="580F184D">
            <w:pPr>
              <w:pStyle w:val="61"/>
              <w:spacing w:line="240" w:lineRule="auto"/>
              <w:jc w:val="left"/>
              <w:rPr>
                <w:rFonts w:ascii="宋体" w:hAnsi="宋体" w:cs="宋体"/>
                <w:color w:val="auto"/>
              </w:rPr>
            </w:pPr>
            <w:r>
              <w:rPr>
                <w:rFonts w:hint="eastAsia" w:ascii="宋体" w:hAnsi="宋体" w:cs="宋体"/>
                <w:color w:val="auto"/>
              </w:rPr>
              <w:t>防雷防静电装置应每半年至少检测1次，并建立检测档案。</w:t>
            </w:r>
          </w:p>
        </w:tc>
        <w:tc>
          <w:tcPr>
            <w:tcW w:w="1535" w:type="dxa"/>
            <w:tcBorders>
              <w:top w:val="single" w:color="auto" w:sz="4" w:space="0"/>
              <w:left w:val="nil"/>
              <w:bottom w:val="single" w:color="auto" w:sz="4" w:space="0"/>
              <w:right w:val="single" w:color="auto" w:sz="4" w:space="0"/>
            </w:tcBorders>
            <w:vAlign w:val="center"/>
          </w:tcPr>
          <w:p w14:paraId="76C68E3E">
            <w:pPr>
              <w:pStyle w:val="61"/>
              <w:spacing w:line="240" w:lineRule="exact"/>
              <w:rPr>
                <w:rFonts w:ascii="宋体" w:hAnsi="宋体" w:cs="宋体"/>
                <w:color w:val="auto"/>
              </w:rPr>
            </w:pPr>
            <w:r>
              <w:rPr>
                <w:rFonts w:hint="eastAsia" w:ascii="宋体" w:hAnsi="宋体" w:cs="宋体"/>
                <w:color w:val="auto"/>
              </w:rPr>
              <w:t>按要求每半年检测1次并建立检测档案</w:t>
            </w:r>
          </w:p>
        </w:tc>
        <w:tc>
          <w:tcPr>
            <w:tcW w:w="790" w:type="dxa"/>
            <w:tcBorders>
              <w:top w:val="single" w:color="auto" w:sz="4" w:space="0"/>
              <w:left w:val="nil"/>
              <w:bottom w:val="single" w:color="auto" w:sz="4" w:space="0"/>
              <w:right w:val="single" w:color="auto" w:sz="4" w:space="0"/>
            </w:tcBorders>
            <w:vAlign w:val="center"/>
          </w:tcPr>
          <w:p w14:paraId="29760AD0">
            <w:pPr>
              <w:pStyle w:val="61"/>
              <w:spacing w:line="240" w:lineRule="auto"/>
              <w:rPr>
                <w:rFonts w:ascii="宋体" w:hAnsi="宋体" w:cs="宋体"/>
                <w:color w:val="auto"/>
              </w:rPr>
            </w:pPr>
            <w:r>
              <w:rPr>
                <w:rFonts w:hint="eastAsia" w:ascii="宋体" w:hAnsi="宋体" w:cs="宋体"/>
                <w:color w:val="auto"/>
              </w:rPr>
              <w:t>符合</w:t>
            </w:r>
          </w:p>
        </w:tc>
      </w:tr>
      <w:tr w14:paraId="06E34B32">
        <w:tblPrEx>
          <w:tblCellMar>
            <w:top w:w="0" w:type="dxa"/>
            <w:left w:w="0" w:type="dxa"/>
            <w:bottom w:w="0" w:type="dxa"/>
            <w:right w:w="0" w:type="dxa"/>
          </w:tblCellMar>
        </w:tblPrEx>
        <w:trPr>
          <w:trHeight w:val="829"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6EEF23D">
            <w:pPr>
              <w:pStyle w:val="61"/>
              <w:spacing w:line="240" w:lineRule="auto"/>
              <w:rPr>
                <w:rFonts w:ascii="宋体" w:hAnsi="宋体" w:cs="宋体"/>
                <w:color w:val="auto"/>
              </w:rPr>
            </w:pPr>
            <w:r>
              <w:rPr>
                <w:rFonts w:hint="eastAsia" w:ascii="宋体" w:hAnsi="宋体" w:cs="宋体"/>
                <w:color w:val="auto"/>
              </w:rPr>
              <w:t>4.2</w:t>
            </w:r>
          </w:p>
        </w:tc>
        <w:tc>
          <w:tcPr>
            <w:tcW w:w="6310" w:type="dxa"/>
            <w:tcBorders>
              <w:top w:val="single" w:color="auto" w:sz="8" w:space="0"/>
              <w:left w:val="single" w:color="auto" w:sz="8" w:space="0"/>
              <w:bottom w:val="single" w:color="auto" w:sz="8" w:space="0"/>
              <w:right w:val="single" w:color="auto" w:sz="4" w:space="0"/>
            </w:tcBorders>
            <w:vAlign w:val="center"/>
          </w:tcPr>
          <w:p w14:paraId="42A70B1A">
            <w:pPr>
              <w:pStyle w:val="61"/>
              <w:spacing w:line="240" w:lineRule="auto"/>
              <w:jc w:val="left"/>
              <w:rPr>
                <w:rFonts w:ascii="宋体" w:hAnsi="宋体" w:cs="宋体"/>
                <w:color w:val="auto"/>
              </w:rPr>
            </w:pPr>
            <w:r>
              <w:rPr>
                <w:rFonts w:hint="eastAsia" w:ascii="宋体" w:hAnsi="宋体" w:cs="宋体"/>
                <w:color w:val="auto"/>
              </w:rPr>
              <w:t>所有防雷防静电设施应定期检查、维修，并建立设施管理档案。</w:t>
            </w:r>
          </w:p>
        </w:tc>
        <w:tc>
          <w:tcPr>
            <w:tcW w:w="1535" w:type="dxa"/>
            <w:tcBorders>
              <w:top w:val="single" w:color="auto" w:sz="4" w:space="0"/>
              <w:left w:val="nil"/>
              <w:bottom w:val="single" w:color="auto" w:sz="4" w:space="0"/>
              <w:right w:val="single" w:color="auto" w:sz="4" w:space="0"/>
            </w:tcBorders>
            <w:vAlign w:val="center"/>
          </w:tcPr>
          <w:p w14:paraId="78A42C28">
            <w:pPr>
              <w:pStyle w:val="61"/>
              <w:spacing w:line="240" w:lineRule="exact"/>
              <w:rPr>
                <w:rFonts w:ascii="宋体" w:hAnsi="宋体" w:cs="宋体"/>
                <w:color w:val="auto"/>
              </w:rPr>
            </w:pPr>
            <w:r>
              <w:rPr>
                <w:rFonts w:hint="eastAsia" w:ascii="宋体" w:hAnsi="宋体" w:cs="宋体"/>
                <w:color w:val="auto"/>
              </w:rPr>
              <w:t>按要求定期检查、维修并建立设施管理档案</w:t>
            </w:r>
          </w:p>
        </w:tc>
        <w:tc>
          <w:tcPr>
            <w:tcW w:w="790" w:type="dxa"/>
            <w:tcBorders>
              <w:top w:val="single" w:color="auto" w:sz="4" w:space="0"/>
              <w:left w:val="nil"/>
              <w:bottom w:val="single" w:color="auto" w:sz="4" w:space="0"/>
              <w:right w:val="single" w:color="auto" w:sz="4" w:space="0"/>
            </w:tcBorders>
            <w:vAlign w:val="center"/>
          </w:tcPr>
          <w:p w14:paraId="12AC0A9F">
            <w:pPr>
              <w:pStyle w:val="61"/>
              <w:spacing w:line="240" w:lineRule="auto"/>
              <w:rPr>
                <w:rFonts w:ascii="宋体" w:hAnsi="宋体" w:cs="宋体"/>
                <w:color w:val="auto"/>
              </w:rPr>
            </w:pPr>
            <w:r>
              <w:rPr>
                <w:rFonts w:hint="eastAsia" w:ascii="宋体" w:hAnsi="宋体" w:cs="宋体"/>
                <w:color w:val="auto"/>
              </w:rPr>
              <w:t>符合</w:t>
            </w:r>
          </w:p>
        </w:tc>
      </w:tr>
      <w:tr w14:paraId="2AD57445">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E5B37FD">
            <w:pPr>
              <w:pStyle w:val="61"/>
              <w:spacing w:line="240" w:lineRule="auto"/>
              <w:rPr>
                <w:rFonts w:ascii="宋体" w:hAnsi="宋体" w:cs="宋体"/>
                <w:color w:val="auto"/>
              </w:rPr>
            </w:pPr>
            <w:r>
              <w:rPr>
                <w:rFonts w:hint="eastAsia" w:ascii="宋体" w:hAnsi="宋体" w:cs="宋体"/>
                <w:color w:val="auto"/>
              </w:rPr>
              <w:t>4.3</w:t>
            </w:r>
          </w:p>
        </w:tc>
        <w:tc>
          <w:tcPr>
            <w:tcW w:w="6310" w:type="dxa"/>
            <w:tcBorders>
              <w:top w:val="single" w:color="auto" w:sz="8" w:space="0"/>
              <w:left w:val="single" w:color="auto" w:sz="8" w:space="0"/>
              <w:bottom w:val="single" w:color="auto" w:sz="8" w:space="0"/>
              <w:right w:val="single" w:color="auto" w:sz="4" w:space="0"/>
            </w:tcBorders>
            <w:vAlign w:val="center"/>
          </w:tcPr>
          <w:p w14:paraId="77EA0644">
            <w:pPr>
              <w:rPr>
                <w:rFonts w:ascii="宋体" w:hAnsi="宋体" w:cs="宋体"/>
                <w:color w:val="auto"/>
              </w:rPr>
            </w:pPr>
            <w:r>
              <w:rPr>
                <w:rFonts w:hint="eastAsia" w:ascii="宋体" w:hAnsi="宋体" w:cs="宋体"/>
                <w:color w:val="auto"/>
              </w:rPr>
              <w:t>定期检查加油枪、胶管和加油机之间的连接情况，保持其具有良好的接地性能，并建立检查记录。</w:t>
            </w:r>
          </w:p>
        </w:tc>
        <w:tc>
          <w:tcPr>
            <w:tcW w:w="1535" w:type="dxa"/>
            <w:tcBorders>
              <w:top w:val="single" w:color="auto" w:sz="4" w:space="0"/>
              <w:left w:val="nil"/>
              <w:bottom w:val="single" w:color="auto" w:sz="4" w:space="0"/>
              <w:right w:val="single" w:color="auto" w:sz="4" w:space="0"/>
            </w:tcBorders>
            <w:vAlign w:val="center"/>
          </w:tcPr>
          <w:p w14:paraId="5B9B1EE3">
            <w:pPr>
              <w:pStyle w:val="61"/>
              <w:spacing w:line="240" w:lineRule="auto"/>
              <w:rPr>
                <w:rFonts w:ascii="宋体" w:hAnsi="宋体" w:cs="宋体"/>
                <w:color w:val="auto"/>
              </w:rPr>
            </w:pPr>
            <w:r>
              <w:rPr>
                <w:rFonts w:hint="eastAsia" w:ascii="宋体" w:hAnsi="宋体" w:cs="宋体"/>
                <w:color w:val="auto"/>
              </w:rPr>
              <w:t>按要求定期检查</w:t>
            </w:r>
          </w:p>
        </w:tc>
        <w:tc>
          <w:tcPr>
            <w:tcW w:w="790" w:type="dxa"/>
            <w:tcBorders>
              <w:top w:val="single" w:color="auto" w:sz="4" w:space="0"/>
              <w:left w:val="nil"/>
              <w:bottom w:val="single" w:color="auto" w:sz="4" w:space="0"/>
              <w:right w:val="single" w:color="auto" w:sz="4" w:space="0"/>
            </w:tcBorders>
            <w:vAlign w:val="center"/>
          </w:tcPr>
          <w:p w14:paraId="16AFEB87">
            <w:pPr>
              <w:pStyle w:val="61"/>
              <w:spacing w:line="240" w:lineRule="auto"/>
              <w:rPr>
                <w:rFonts w:ascii="宋体" w:hAnsi="宋体" w:cs="宋体"/>
                <w:color w:val="auto"/>
              </w:rPr>
            </w:pPr>
            <w:r>
              <w:rPr>
                <w:rFonts w:hint="eastAsia" w:ascii="宋体" w:hAnsi="宋体" w:cs="宋体"/>
                <w:color w:val="auto"/>
              </w:rPr>
              <w:t>符合</w:t>
            </w:r>
          </w:p>
        </w:tc>
      </w:tr>
      <w:tr w14:paraId="3671213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719F344">
            <w:pPr>
              <w:pStyle w:val="61"/>
              <w:spacing w:line="240" w:lineRule="auto"/>
              <w:rPr>
                <w:rFonts w:ascii="宋体" w:hAnsi="宋体" w:cs="宋体"/>
                <w:color w:val="auto"/>
              </w:rPr>
            </w:pPr>
            <w:r>
              <w:rPr>
                <w:rFonts w:hint="eastAsia" w:ascii="宋体" w:hAnsi="宋体" w:cs="宋体"/>
                <w:color w:val="auto"/>
              </w:rPr>
              <w:t>5</w:t>
            </w:r>
          </w:p>
        </w:tc>
        <w:tc>
          <w:tcPr>
            <w:tcW w:w="6310" w:type="dxa"/>
            <w:tcBorders>
              <w:top w:val="single" w:color="auto" w:sz="8" w:space="0"/>
              <w:left w:val="single" w:color="auto" w:sz="8" w:space="0"/>
              <w:bottom w:val="single" w:color="auto" w:sz="8" w:space="0"/>
              <w:right w:val="single" w:color="auto" w:sz="4" w:space="0"/>
            </w:tcBorders>
            <w:vAlign w:val="center"/>
          </w:tcPr>
          <w:p w14:paraId="7DC593D4">
            <w:pPr>
              <w:pStyle w:val="61"/>
              <w:spacing w:line="240" w:lineRule="auto"/>
              <w:jc w:val="left"/>
              <w:rPr>
                <w:rFonts w:ascii="宋体" w:hAnsi="宋体" w:cs="宋体"/>
                <w:color w:val="auto"/>
              </w:rPr>
            </w:pPr>
            <w:r>
              <w:rPr>
                <w:rFonts w:hint="eastAsia" w:ascii="宋体" w:hAnsi="宋体" w:cs="宋体"/>
                <w:color w:val="auto"/>
              </w:rPr>
              <w:t>用电、发电</w:t>
            </w:r>
          </w:p>
        </w:tc>
        <w:tc>
          <w:tcPr>
            <w:tcW w:w="1535" w:type="dxa"/>
            <w:tcBorders>
              <w:top w:val="single" w:color="auto" w:sz="4" w:space="0"/>
              <w:left w:val="nil"/>
              <w:bottom w:val="single" w:color="auto" w:sz="4" w:space="0"/>
              <w:right w:val="single" w:color="auto" w:sz="4" w:space="0"/>
            </w:tcBorders>
            <w:vAlign w:val="center"/>
          </w:tcPr>
          <w:p w14:paraId="39864E66">
            <w:pPr>
              <w:pStyle w:val="61"/>
              <w:spacing w:line="240" w:lineRule="auto"/>
              <w:rPr>
                <w:rFonts w:ascii="宋体" w:hAnsi="宋体" w:cs="宋体"/>
                <w:color w:val="auto"/>
              </w:rPr>
            </w:pPr>
            <w:r>
              <w:rPr>
                <w:rFonts w:hint="eastAsia" w:ascii="宋体" w:hAnsi="宋体" w:cs="宋体"/>
                <w:color w:val="auto"/>
              </w:rPr>
              <w:t>电网供电</w:t>
            </w:r>
          </w:p>
        </w:tc>
        <w:tc>
          <w:tcPr>
            <w:tcW w:w="790" w:type="dxa"/>
            <w:tcBorders>
              <w:top w:val="single" w:color="auto" w:sz="4" w:space="0"/>
              <w:left w:val="nil"/>
              <w:bottom w:val="single" w:color="auto" w:sz="4" w:space="0"/>
              <w:right w:val="single" w:color="auto" w:sz="4" w:space="0"/>
            </w:tcBorders>
            <w:vAlign w:val="center"/>
          </w:tcPr>
          <w:p w14:paraId="3365E108">
            <w:pPr>
              <w:pStyle w:val="61"/>
              <w:spacing w:line="240" w:lineRule="auto"/>
              <w:rPr>
                <w:rFonts w:ascii="宋体" w:hAnsi="宋体" w:cs="宋体"/>
                <w:color w:val="auto"/>
              </w:rPr>
            </w:pPr>
            <w:r>
              <w:rPr>
                <w:rFonts w:hint="eastAsia" w:ascii="宋体" w:hAnsi="宋体" w:cs="宋体"/>
                <w:color w:val="auto"/>
              </w:rPr>
              <w:t>符合</w:t>
            </w:r>
          </w:p>
        </w:tc>
      </w:tr>
      <w:tr w14:paraId="285C9A61">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DD1A91B">
            <w:pPr>
              <w:pStyle w:val="61"/>
              <w:spacing w:line="240" w:lineRule="auto"/>
              <w:rPr>
                <w:rFonts w:ascii="宋体" w:hAnsi="宋体" w:cs="宋体"/>
                <w:color w:val="auto"/>
              </w:rPr>
            </w:pPr>
            <w:r>
              <w:rPr>
                <w:rFonts w:hint="eastAsia" w:ascii="宋体" w:hAnsi="宋体" w:cs="宋体"/>
                <w:color w:val="auto"/>
              </w:rPr>
              <w:t>5.1</w:t>
            </w:r>
          </w:p>
        </w:tc>
        <w:tc>
          <w:tcPr>
            <w:tcW w:w="6310" w:type="dxa"/>
            <w:tcBorders>
              <w:top w:val="single" w:color="auto" w:sz="8" w:space="0"/>
              <w:left w:val="single" w:color="auto" w:sz="8" w:space="0"/>
              <w:bottom w:val="single" w:color="auto" w:sz="8" w:space="0"/>
              <w:right w:val="single" w:color="auto" w:sz="4" w:space="0"/>
            </w:tcBorders>
            <w:vAlign w:val="center"/>
          </w:tcPr>
          <w:p w14:paraId="04BFBAB3">
            <w:pPr>
              <w:pStyle w:val="61"/>
              <w:spacing w:line="240" w:lineRule="auto"/>
              <w:jc w:val="left"/>
              <w:rPr>
                <w:rFonts w:ascii="宋体" w:hAnsi="宋体" w:cs="宋体"/>
                <w:color w:val="auto"/>
              </w:rPr>
            </w:pPr>
            <w:r>
              <w:rPr>
                <w:rFonts w:hint="eastAsia" w:ascii="宋体" w:hAnsi="宋体" w:cs="宋体"/>
                <w:color w:val="auto"/>
              </w:rPr>
              <w:t>基本要求应按GB/T 13869 的规定执行。</w:t>
            </w:r>
          </w:p>
        </w:tc>
        <w:tc>
          <w:tcPr>
            <w:tcW w:w="1535" w:type="dxa"/>
            <w:tcBorders>
              <w:top w:val="single" w:color="auto" w:sz="4" w:space="0"/>
              <w:left w:val="nil"/>
              <w:bottom w:val="single" w:color="auto" w:sz="4" w:space="0"/>
              <w:right w:val="single" w:color="auto" w:sz="4" w:space="0"/>
            </w:tcBorders>
            <w:vAlign w:val="center"/>
          </w:tcPr>
          <w:p w14:paraId="2975788C">
            <w:pPr>
              <w:pStyle w:val="61"/>
              <w:spacing w:line="240" w:lineRule="auto"/>
              <w:rPr>
                <w:rFonts w:ascii="宋体" w:hAnsi="宋体" w:cs="宋体"/>
                <w:color w:val="auto"/>
              </w:rPr>
            </w:pPr>
            <w:r>
              <w:rPr>
                <w:rFonts w:hint="eastAsia" w:ascii="宋体" w:hAnsi="宋体" w:cs="宋体"/>
                <w:color w:val="auto"/>
              </w:rPr>
              <w:t>按要求执行</w:t>
            </w:r>
          </w:p>
        </w:tc>
        <w:tc>
          <w:tcPr>
            <w:tcW w:w="790" w:type="dxa"/>
            <w:tcBorders>
              <w:top w:val="single" w:color="auto" w:sz="4" w:space="0"/>
              <w:left w:val="nil"/>
              <w:bottom w:val="single" w:color="auto" w:sz="4" w:space="0"/>
              <w:right w:val="single" w:color="auto" w:sz="4" w:space="0"/>
            </w:tcBorders>
            <w:vAlign w:val="center"/>
          </w:tcPr>
          <w:p w14:paraId="795A8A53">
            <w:pPr>
              <w:pStyle w:val="61"/>
              <w:spacing w:line="240" w:lineRule="auto"/>
              <w:rPr>
                <w:rFonts w:ascii="宋体" w:hAnsi="宋体" w:cs="宋体"/>
                <w:color w:val="auto"/>
              </w:rPr>
            </w:pPr>
            <w:r>
              <w:rPr>
                <w:rFonts w:hint="eastAsia" w:ascii="宋体" w:hAnsi="宋体" w:cs="宋体"/>
                <w:color w:val="auto"/>
              </w:rPr>
              <w:t>符合</w:t>
            </w:r>
          </w:p>
        </w:tc>
      </w:tr>
      <w:tr w14:paraId="2491DDFD">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F91CDD7">
            <w:pPr>
              <w:pStyle w:val="61"/>
              <w:spacing w:line="240" w:lineRule="auto"/>
              <w:rPr>
                <w:rFonts w:ascii="宋体" w:hAnsi="宋体" w:cs="宋体"/>
                <w:color w:val="auto"/>
              </w:rPr>
            </w:pPr>
            <w:r>
              <w:rPr>
                <w:rFonts w:hint="eastAsia" w:ascii="宋体" w:hAnsi="宋体" w:cs="宋体"/>
                <w:color w:val="auto"/>
              </w:rPr>
              <w:t>5.2</w:t>
            </w:r>
          </w:p>
        </w:tc>
        <w:tc>
          <w:tcPr>
            <w:tcW w:w="6310" w:type="dxa"/>
            <w:tcBorders>
              <w:top w:val="single" w:color="auto" w:sz="8" w:space="0"/>
              <w:left w:val="single" w:color="auto" w:sz="8" w:space="0"/>
              <w:bottom w:val="single" w:color="auto" w:sz="8" w:space="0"/>
              <w:right w:val="single" w:color="auto" w:sz="4" w:space="0"/>
            </w:tcBorders>
            <w:vAlign w:val="center"/>
          </w:tcPr>
          <w:p w14:paraId="11759E7B">
            <w:pPr>
              <w:pStyle w:val="61"/>
              <w:spacing w:line="240" w:lineRule="auto"/>
              <w:jc w:val="left"/>
              <w:rPr>
                <w:rFonts w:ascii="宋体" w:hAnsi="宋体" w:cs="宋体"/>
                <w:color w:val="auto"/>
              </w:rPr>
            </w:pPr>
            <w:r>
              <w:rPr>
                <w:rFonts w:hint="eastAsia" w:ascii="宋体" w:hAnsi="宋体" w:cs="宋体"/>
                <w:color w:val="auto"/>
              </w:rPr>
              <w:t>电气检修、临时用电应执行工作票制度，并明确工作票签发人、工作负责人、监护人、工作许可 人、操作人员责任；应在办理签发、许可手续后方可作业。</w:t>
            </w:r>
          </w:p>
        </w:tc>
        <w:tc>
          <w:tcPr>
            <w:tcW w:w="1535" w:type="dxa"/>
            <w:tcBorders>
              <w:top w:val="single" w:color="auto" w:sz="4" w:space="0"/>
              <w:left w:val="nil"/>
              <w:bottom w:val="single" w:color="auto" w:sz="4" w:space="0"/>
              <w:right w:val="single" w:color="auto" w:sz="4" w:space="0"/>
            </w:tcBorders>
            <w:vAlign w:val="center"/>
          </w:tcPr>
          <w:p w14:paraId="74FECFA7">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01F3C6F">
            <w:pPr>
              <w:pStyle w:val="61"/>
              <w:spacing w:line="240" w:lineRule="auto"/>
              <w:rPr>
                <w:rFonts w:ascii="宋体" w:hAnsi="宋体" w:cs="宋体"/>
                <w:color w:val="auto"/>
              </w:rPr>
            </w:pPr>
            <w:r>
              <w:rPr>
                <w:rFonts w:hint="eastAsia" w:ascii="宋体" w:hAnsi="宋体" w:cs="宋体"/>
                <w:color w:val="auto"/>
              </w:rPr>
              <w:t>符合</w:t>
            </w:r>
          </w:p>
        </w:tc>
      </w:tr>
      <w:tr w14:paraId="7DA9373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215F295">
            <w:pPr>
              <w:pStyle w:val="61"/>
              <w:spacing w:line="240" w:lineRule="auto"/>
              <w:rPr>
                <w:rFonts w:ascii="宋体" w:hAnsi="宋体" w:cs="宋体"/>
                <w:color w:val="auto"/>
              </w:rPr>
            </w:pPr>
            <w:r>
              <w:rPr>
                <w:rFonts w:hint="eastAsia" w:ascii="宋体" w:hAnsi="宋体" w:cs="宋体"/>
                <w:color w:val="auto"/>
              </w:rPr>
              <w:t>5.3</w:t>
            </w:r>
          </w:p>
        </w:tc>
        <w:tc>
          <w:tcPr>
            <w:tcW w:w="6310" w:type="dxa"/>
            <w:tcBorders>
              <w:top w:val="single" w:color="auto" w:sz="8" w:space="0"/>
              <w:left w:val="single" w:color="auto" w:sz="8" w:space="0"/>
              <w:bottom w:val="single" w:color="auto" w:sz="8" w:space="0"/>
              <w:right w:val="single" w:color="auto" w:sz="4" w:space="0"/>
            </w:tcBorders>
            <w:vAlign w:val="center"/>
          </w:tcPr>
          <w:p w14:paraId="2AE90911">
            <w:pPr>
              <w:pStyle w:val="61"/>
              <w:spacing w:line="240" w:lineRule="auto"/>
              <w:jc w:val="left"/>
              <w:rPr>
                <w:rFonts w:ascii="宋体" w:hAnsi="宋体" w:cs="宋体"/>
                <w:color w:val="auto"/>
              </w:rPr>
            </w:pPr>
            <w:r>
              <w:rPr>
                <w:rFonts w:hint="eastAsia" w:ascii="宋体" w:hAnsi="宋体" w:cs="宋体"/>
                <w:color w:val="auto"/>
              </w:rPr>
              <w:t>变、配电房间应制定运行规程、巡回检查制度。</w:t>
            </w:r>
          </w:p>
        </w:tc>
        <w:tc>
          <w:tcPr>
            <w:tcW w:w="1535" w:type="dxa"/>
            <w:tcBorders>
              <w:top w:val="single" w:color="auto" w:sz="4" w:space="0"/>
              <w:left w:val="nil"/>
              <w:bottom w:val="single" w:color="auto" w:sz="4" w:space="0"/>
              <w:right w:val="single" w:color="auto" w:sz="4" w:space="0"/>
            </w:tcBorders>
            <w:vAlign w:val="center"/>
          </w:tcPr>
          <w:p w14:paraId="718CCE08">
            <w:pPr>
              <w:pStyle w:val="61"/>
              <w:spacing w:line="240" w:lineRule="auto"/>
              <w:rPr>
                <w:rFonts w:ascii="宋体" w:hAnsi="宋体" w:cs="宋体"/>
                <w:color w:val="auto"/>
              </w:rPr>
            </w:pPr>
            <w:r>
              <w:rPr>
                <w:rFonts w:hint="eastAsia" w:ascii="宋体" w:hAnsi="宋体" w:cs="宋体"/>
                <w:color w:val="auto"/>
              </w:rPr>
              <w:t>已制定相关检查制度</w:t>
            </w:r>
          </w:p>
        </w:tc>
        <w:tc>
          <w:tcPr>
            <w:tcW w:w="790" w:type="dxa"/>
            <w:tcBorders>
              <w:top w:val="single" w:color="auto" w:sz="4" w:space="0"/>
              <w:left w:val="nil"/>
              <w:bottom w:val="single" w:color="auto" w:sz="4" w:space="0"/>
              <w:right w:val="single" w:color="auto" w:sz="4" w:space="0"/>
            </w:tcBorders>
            <w:vAlign w:val="center"/>
          </w:tcPr>
          <w:p w14:paraId="5A58D56A">
            <w:pPr>
              <w:pStyle w:val="61"/>
              <w:spacing w:line="240" w:lineRule="auto"/>
              <w:rPr>
                <w:rFonts w:ascii="宋体" w:hAnsi="宋体" w:cs="宋体"/>
                <w:color w:val="auto"/>
              </w:rPr>
            </w:pPr>
            <w:r>
              <w:rPr>
                <w:rFonts w:hint="eastAsia" w:ascii="宋体" w:hAnsi="宋体" w:cs="宋体"/>
                <w:color w:val="auto"/>
              </w:rPr>
              <w:t>符合</w:t>
            </w:r>
          </w:p>
        </w:tc>
      </w:tr>
      <w:tr w14:paraId="05C45B3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EAC96BD">
            <w:pPr>
              <w:pStyle w:val="61"/>
              <w:spacing w:line="240" w:lineRule="auto"/>
              <w:rPr>
                <w:rFonts w:ascii="宋体" w:hAnsi="宋体" w:cs="宋体"/>
                <w:color w:val="auto"/>
              </w:rPr>
            </w:pPr>
            <w:r>
              <w:rPr>
                <w:rFonts w:hint="eastAsia" w:ascii="宋体" w:hAnsi="宋体" w:cs="宋体"/>
                <w:color w:val="auto"/>
              </w:rPr>
              <w:t>5.4</w:t>
            </w:r>
          </w:p>
        </w:tc>
        <w:tc>
          <w:tcPr>
            <w:tcW w:w="6310" w:type="dxa"/>
            <w:tcBorders>
              <w:top w:val="single" w:color="auto" w:sz="8" w:space="0"/>
              <w:left w:val="single" w:color="auto" w:sz="8" w:space="0"/>
              <w:bottom w:val="single" w:color="auto" w:sz="8" w:space="0"/>
              <w:right w:val="single" w:color="auto" w:sz="4" w:space="0"/>
            </w:tcBorders>
            <w:vAlign w:val="center"/>
          </w:tcPr>
          <w:p w14:paraId="24880DEF">
            <w:pPr>
              <w:pStyle w:val="61"/>
              <w:spacing w:line="240" w:lineRule="auto"/>
              <w:jc w:val="left"/>
              <w:rPr>
                <w:rFonts w:ascii="宋体" w:hAnsi="宋体" w:cs="宋体"/>
                <w:color w:val="auto"/>
              </w:rPr>
            </w:pPr>
            <w:r>
              <w:rPr>
                <w:rFonts w:hint="eastAsia" w:ascii="宋体" w:hAnsi="宋体" w:cs="宋体"/>
                <w:color w:val="auto"/>
              </w:rPr>
              <w:t>在高压设备或大容量低压总盘上倒闸操作及在带电设备附近工作时，应由两人进行。</w:t>
            </w:r>
          </w:p>
        </w:tc>
        <w:tc>
          <w:tcPr>
            <w:tcW w:w="1535" w:type="dxa"/>
            <w:tcBorders>
              <w:top w:val="single" w:color="auto" w:sz="4" w:space="0"/>
              <w:left w:val="nil"/>
              <w:bottom w:val="single" w:color="auto" w:sz="4" w:space="0"/>
              <w:right w:val="single" w:color="auto" w:sz="4" w:space="0"/>
            </w:tcBorders>
            <w:vAlign w:val="center"/>
          </w:tcPr>
          <w:p w14:paraId="20BC05D8">
            <w:pPr>
              <w:pStyle w:val="61"/>
              <w:spacing w:line="240" w:lineRule="auto"/>
              <w:rPr>
                <w:rFonts w:ascii="宋体" w:hAnsi="宋体" w:cs="宋体"/>
                <w:color w:val="auto"/>
              </w:rPr>
            </w:pPr>
            <w:r>
              <w:rPr>
                <w:rFonts w:hint="eastAsia" w:ascii="宋体" w:hAnsi="宋体" w:cs="宋体"/>
                <w:color w:val="auto"/>
              </w:rPr>
              <w:t>不涉及</w:t>
            </w:r>
          </w:p>
        </w:tc>
        <w:tc>
          <w:tcPr>
            <w:tcW w:w="790" w:type="dxa"/>
            <w:tcBorders>
              <w:top w:val="single" w:color="auto" w:sz="4" w:space="0"/>
              <w:left w:val="nil"/>
              <w:bottom w:val="single" w:color="auto" w:sz="4" w:space="0"/>
              <w:right w:val="single" w:color="auto" w:sz="4" w:space="0"/>
            </w:tcBorders>
            <w:vAlign w:val="center"/>
          </w:tcPr>
          <w:p w14:paraId="5F3A3F50">
            <w:pPr>
              <w:pStyle w:val="61"/>
              <w:spacing w:line="240" w:lineRule="auto"/>
              <w:rPr>
                <w:rFonts w:ascii="宋体" w:hAnsi="宋体" w:cs="宋体"/>
                <w:color w:val="auto"/>
              </w:rPr>
            </w:pPr>
            <w:r>
              <w:rPr>
                <w:rFonts w:hint="eastAsia" w:ascii="宋体" w:hAnsi="宋体" w:cs="宋体"/>
                <w:color w:val="auto"/>
              </w:rPr>
              <w:t>/</w:t>
            </w:r>
          </w:p>
        </w:tc>
      </w:tr>
      <w:tr w14:paraId="59AD61FD">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0CD3FA7">
            <w:pPr>
              <w:pStyle w:val="61"/>
              <w:spacing w:line="240" w:lineRule="auto"/>
              <w:rPr>
                <w:rFonts w:ascii="宋体" w:hAnsi="宋体" w:cs="宋体"/>
                <w:color w:val="auto"/>
              </w:rPr>
            </w:pPr>
            <w:r>
              <w:rPr>
                <w:rFonts w:hint="eastAsia" w:ascii="宋体" w:hAnsi="宋体" w:cs="宋体"/>
                <w:color w:val="auto"/>
              </w:rPr>
              <w:t>5.5</w:t>
            </w:r>
          </w:p>
        </w:tc>
        <w:tc>
          <w:tcPr>
            <w:tcW w:w="6310" w:type="dxa"/>
            <w:tcBorders>
              <w:top w:val="single" w:color="auto" w:sz="8" w:space="0"/>
              <w:left w:val="single" w:color="auto" w:sz="8" w:space="0"/>
              <w:bottom w:val="single" w:color="auto" w:sz="8" w:space="0"/>
              <w:right w:val="single" w:color="auto" w:sz="4" w:space="0"/>
            </w:tcBorders>
            <w:vAlign w:val="center"/>
          </w:tcPr>
          <w:p w14:paraId="1FBBA75B">
            <w:pPr>
              <w:pStyle w:val="61"/>
              <w:spacing w:line="240" w:lineRule="auto"/>
              <w:jc w:val="left"/>
              <w:rPr>
                <w:rFonts w:ascii="宋体" w:hAnsi="宋体" w:cs="宋体"/>
                <w:color w:val="auto"/>
              </w:rPr>
            </w:pPr>
            <w:r>
              <w:rPr>
                <w:rFonts w:hint="eastAsia" w:ascii="宋体" w:hAnsi="宋体" w:cs="宋体"/>
                <w:color w:val="auto"/>
              </w:rPr>
              <w:t>不应在电气设备、供电线路上带电作业。断电后，应在电源开关处上锁、拆下熔断器或关闭断路 器，并挂上“禁止合闸、有人工作”等安全警示标牌；工作未结束，任何人不应拿下标牌或送电。工作完毕 并经复查无误后，由工作负责人将检修情况与值班人员做好交接后方可摘牌送电。</w:t>
            </w:r>
          </w:p>
        </w:tc>
        <w:tc>
          <w:tcPr>
            <w:tcW w:w="1535" w:type="dxa"/>
            <w:tcBorders>
              <w:top w:val="single" w:color="auto" w:sz="4" w:space="0"/>
              <w:left w:val="nil"/>
              <w:bottom w:val="single" w:color="auto" w:sz="4" w:space="0"/>
              <w:right w:val="single" w:color="auto" w:sz="4" w:space="0"/>
            </w:tcBorders>
            <w:vAlign w:val="center"/>
          </w:tcPr>
          <w:p w14:paraId="2FCDB4A8">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A1E13B2">
            <w:pPr>
              <w:pStyle w:val="61"/>
              <w:spacing w:line="240" w:lineRule="auto"/>
              <w:rPr>
                <w:rFonts w:ascii="宋体" w:hAnsi="宋体" w:cs="宋体"/>
                <w:color w:val="auto"/>
              </w:rPr>
            </w:pPr>
            <w:r>
              <w:rPr>
                <w:rFonts w:hint="eastAsia" w:ascii="宋体" w:hAnsi="宋体" w:cs="宋体"/>
                <w:color w:val="auto"/>
              </w:rPr>
              <w:t>符合</w:t>
            </w:r>
          </w:p>
        </w:tc>
      </w:tr>
      <w:tr w14:paraId="10EAE186">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29E3AD5">
            <w:pPr>
              <w:pStyle w:val="61"/>
              <w:spacing w:line="240" w:lineRule="auto"/>
              <w:rPr>
                <w:rFonts w:ascii="宋体" w:hAnsi="宋体" w:cs="宋体"/>
                <w:color w:val="auto"/>
              </w:rPr>
            </w:pPr>
            <w:r>
              <w:rPr>
                <w:rFonts w:hint="eastAsia" w:ascii="宋体" w:hAnsi="宋体" w:cs="宋体"/>
                <w:color w:val="auto"/>
              </w:rPr>
              <w:t>5.6</w:t>
            </w:r>
          </w:p>
        </w:tc>
        <w:tc>
          <w:tcPr>
            <w:tcW w:w="6310" w:type="dxa"/>
            <w:tcBorders>
              <w:top w:val="single" w:color="auto" w:sz="8" w:space="0"/>
              <w:left w:val="single" w:color="auto" w:sz="8" w:space="0"/>
              <w:bottom w:val="single" w:color="auto" w:sz="8" w:space="0"/>
              <w:right w:val="single" w:color="auto" w:sz="4" w:space="0"/>
            </w:tcBorders>
            <w:vAlign w:val="center"/>
          </w:tcPr>
          <w:p w14:paraId="187BB896">
            <w:pPr>
              <w:rPr>
                <w:rFonts w:ascii="宋体" w:hAnsi="宋体" w:cs="宋体"/>
                <w:color w:val="auto"/>
              </w:rPr>
            </w:pPr>
            <w:r>
              <w:rPr>
                <w:rFonts w:hint="eastAsia" w:ascii="宋体" w:hAnsi="宋体" w:cs="宋体"/>
                <w:color w:val="auto"/>
              </w:rPr>
              <w:t>发电、用电过程中应有专人巡回检查。</w:t>
            </w:r>
          </w:p>
        </w:tc>
        <w:tc>
          <w:tcPr>
            <w:tcW w:w="1535" w:type="dxa"/>
            <w:tcBorders>
              <w:top w:val="single" w:color="auto" w:sz="4" w:space="0"/>
              <w:left w:val="nil"/>
              <w:bottom w:val="single" w:color="auto" w:sz="4" w:space="0"/>
              <w:right w:val="single" w:color="auto" w:sz="4" w:space="0"/>
            </w:tcBorders>
            <w:vAlign w:val="center"/>
          </w:tcPr>
          <w:p w14:paraId="7344FC9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D4E500C">
            <w:pPr>
              <w:pStyle w:val="61"/>
              <w:spacing w:line="240" w:lineRule="auto"/>
              <w:rPr>
                <w:rFonts w:ascii="宋体" w:hAnsi="宋体" w:cs="宋体"/>
                <w:color w:val="auto"/>
              </w:rPr>
            </w:pPr>
            <w:r>
              <w:rPr>
                <w:rFonts w:hint="eastAsia" w:ascii="宋体" w:hAnsi="宋体" w:cs="宋体"/>
                <w:color w:val="auto"/>
              </w:rPr>
              <w:t>符合</w:t>
            </w:r>
          </w:p>
        </w:tc>
      </w:tr>
      <w:tr w14:paraId="47A9CE04">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382616C">
            <w:pPr>
              <w:pStyle w:val="61"/>
              <w:spacing w:line="240" w:lineRule="auto"/>
              <w:rPr>
                <w:rFonts w:ascii="宋体" w:hAnsi="宋体" w:cs="宋体"/>
                <w:color w:val="auto"/>
              </w:rPr>
            </w:pPr>
            <w:r>
              <w:rPr>
                <w:rFonts w:hint="eastAsia" w:ascii="宋体" w:hAnsi="宋体" w:cs="宋体"/>
                <w:color w:val="auto"/>
              </w:rPr>
              <w:t>5.7</w:t>
            </w:r>
          </w:p>
        </w:tc>
        <w:tc>
          <w:tcPr>
            <w:tcW w:w="6310" w:type="dxa"/>
            <w:tcBorders>
              <w:top w:val="single" w:color="auto" w:sz="8" w:space="0"/>
              <w:left w:val="single" w:color="auto" w:sz="8" w:space="0"/>
              <w:bottom w:val="single" w:color="auto" w:sz="8" w:space="0"/>
              <w:right w:val="single" w:color="auto" w:sz="4" w:space="0"/>
            </w:tcBorders>
            <w:vAlign w:val="center"/>
          </w:tcPr>
          <w:p w14:paraId="0FA535C9">
            <w:pPr>
              <w:pStyle w:val="61"/>
              <w:spacing w:line="240" w:lineRule="auto"/>
              <w:jc w:val="left"/>
              <w:rPr>
                <w:rFonts w:ascii="宋体" w:hAnsi="宋体" w:cs="宋体"/>
                <w:color w:val="auto"/>
              </w:rPr>
            </w:pPr>
            <w:r>
              <w:rPr>
                <w:rFonts w:hint="eastAsia" w:ascii="宋体" w:hAnsi="宋体" w:cs="宋体"/>
                <w:color w:val="auto"/>
              </w:rPr>
              <w:t>当外线停电时，及时断开</w:t>
            </w:r>
            <w:r>
              <w:rPr>
                <w:rFonts w:hint="eastAsia" w:ascii="宋体" w:hAnsi="宋体" w:cs="宋体"/>
                <w:color w:val="auto"/>
                <w:lang w:eastAsia="zh-CN"/>
              </w:rPr>
              <w:t>配电箱</w:t>
            </w:r>
            <w:r>
              <w:rPr>
                <w:rFonts w:hint="eastAsia" w:ascii="宋体" w:hAnsi="宋体" w:cs="宋体"/>
                <w:color w:val="auto"/>
              </w:rPr>
              <w:t>中外电总闸和加油站内设备及照明的电源开关。按发电操作规程启动发电设备。</w:t>
            </w:r>
          </w:p>
        </w:tc>
        <w:tc>
          <w:tcPr>
            <w:tcW w:w="1535" w:type="dxa"/>
            <w:tcBorders>
              <w:top w:val="single" w:color="auto" w:sz="4" w:space="0"/>
              <w:left w:val="nil"/>
              <w:bottom w:val="single" w:color="auto" w:sz="4" w:space="0"/>
              <w:right w:val="single" w:color="auto" w:sz="4" w:space="0"/>
            </w:tcBorders>
            <w:vAlign w:val="center"/>
          </w:tcPr>
          <w:p w14:paraId="7722A4B6">
            <w:pPr>
              <w:pStyle w:val="61"/>
              <w:spacing w:line="240" w:lineRule="auto"/>
              <w:rPr>
                <w:rFonts w:ascii="宋体" w:hAnsi="宋体" w:cs="宋体"/>
                <w:color w:val="auto"/>
              </w:rPr>
            </w:pPr>
            <w:r>
              <w:rPr>
                <w:rFonts w:hint="eastAsia" w:ascii="宋体" w:hAnsi="宋体" w:cs="宋体"/>
                <w:color w:val="auto"/>
              </w:rPr>
              <w:t>不涉及</w:t>
            </w:r>
          </w:p>
        </w:tc>
        <w:tc>
          <w:tcPr>
            <w:tcW w:w="790" w:type="dxa"/>
            <w:tcBorders>
              <w:top w:val="single" w:color="auto" w:sz="4" w:space="0"/>
              <w:left w:val="nil"/>
              <w:bottom w:val="single" w:color="auto" w:sz="4" w:space="0"/>
              <w:right w:val="single" w:color="auto" w:sz="4" w:space="0"/>
            </w:tcBorders>
            <w:vAlign w:val="center"/>
          </w:tcPr>
          <w:p w14:paraId="15845186">
            <w:pPr>
              <w:pStyle w:val="61"/>
              <w:spacing w:line="240" w:lineRule="auto"/>
              <w:rPr>
                <w:rFonts w:ascii="宋体" w:hAnsi="宋体" w:cs="宋体"/>
                <w:color w:val="auto"/>
              </w:rPr>
            </w:pPr>
            <w:r>
              <w:rPr>
                <w:rFonts w:hint="eastAsia" w:ascii="宋体" w:hAnsi="宋体" w:cs="宋体"/>
                <w:color w:val="auto"/>
              </w:rPr>
              <w:t>/</w:t>
            </w:r>
          </w:p>
        </w:tc>
      </w:tr>
      <w:tr w14:paraId="698991A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D564475">
            <w:pPr>
              <w:pStyle w:val="61"/>
              <w:spacing w:line="240" w:lineRule="auto"/>
              <w:rPr>
                <w:rFonts w:ascii="宋体" w:hAnsi="宋体" w:cs="宋体"/>
                <w:color w:val="auto"/>
              </w:rPr>
            </w:pPr>
            <w:r>
              <w:rPr>
                <w:rFonts w:hint="eastAsia" w:ascii="宋体" w:hAnsi="宋体" w:cs="宋体"/>
                <w:color w:val="auto"/>
              </w:rPr>
              <w:t>5.8</w:t>
            </w:r>
          </w:p>
        </w:tc>
        <w:tc>
          <w:tcPr>
            <w:tcW w:w="6310" w:type="dxa"/>
            <w:tcBorders>
              <w:top w:val="single" w:color="auto" w:sz="8" w:space="0"/>
              <w:left w:val="single" w:color="auto" w:sz="8" w:space="0"/>
              <w:bottom w:val="single" w:color="auto" w:sz="8" w:space="0"/>
              <w:right w:val="single" w:color="auto" w:sz="4" w:space="0"/>
            </w:tcBorders>
            <w:vAlign w:val="center"/>
          </w:tcPr>
          <w:p w14:paraId="0754AC00">
            <w:pPr>
              <w:rPr>
                <w:rFonts w:ascii="宋体" w:hAnsi="宋体" w:cs="宋体"/>
                <w:color w:val="auto"/>
              </w:rPr>
            </w:pPr>
            <w:r>
              <w:rPr>
                <w:rFonts w:hint="eastAsia" w:ascii="宋体" w:hAnsi="宋体" w:cs="宋体"/>
                <w:color w:val="auto"/>
              </w:rPr>
              <w:t>当外线来电时，注意观察外电指示灯及电压表变化情况，确认电压稳定后，按操作规程恢复常用电源。</w:t>
            </w:r>
          </w:p>
        </w:tc>
        <w:tc>
          <w:tcPr>
            <w:tcW w:w="1535" w:type="dxa"/>
            <w:tcBorders>
              <w:top w:val="single" w:color="auto" w:sz="4" w:space="0"/>
              <w:left w:val="nil"/>
              <w:bottom w:val="single" w:color="auto" w:sz="4" w:space="0"/>
              <w:right w:val="single" w:color="auto" w:sz="4" w:space="0"/>
            </w:tcBorders>
            <w:vAlign w:val="center"/>
          </w:tcPr>
          <w:p w14:paraId="7C813DB4">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54E8906">
            <w:pPr>
              <w:pStyle w:val="61"/>
              <w:spacing w:line="240" w:lineRule="auto"/>
              <w:rPr>
                <w:rFonts w:ascii="宋体" w:hAnsi="宋体" w:cs="宋体"/>
                <w:color w:val="auto"/>
              </w:rPr>
            </w:pPr>
            <w:r>
              <w:rPr>
                <w:rFonts w:hint="eastAsia" w:ascii="宋体" w:hAnsi="宋体" w:cs="宋体"/>
                <w:color w:val="auto"/>
              </w:rPr>
              <w:t>符合</w:t>
            </w:r>
          </w:p>
        </w:tc>
      </w:tr>
      <w:tr w14:paraId="69C72DD0">
        <w:tblPrEx>
          <w:tblCellMar>
            <w:top w:w="0" w:type="dxa"/>
            <w:left w:w="0" w:type="dxa"/>
            <w:bottom w:w="0" w:type="dxa"/>
            <w:right w:w="0" w:type="dxa"/>
          </w:tblCellMar>
        </w:tblPrEx>
        <w:trPr>
          <w:trHeight w:val="743"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9D8ECB7">
            <w:pPr>
              <w:pStyle w:val="61"/>
              <w:spacing w:line="240" w:lineRule="auto"/>
              <w:rPr>
                <w:rFonts w:ascii="宋体" w:hAnsi="宋体" w:cs="宋体"/>
                <w:color w:val="auto"/>
              </w:rPr>
            </w:pPr>
            <w:r>
              <w:rPr>
                <w:rFonts w:hint="eastAsia" w:ascii="宋体" w:hAnsi="宋体" w:cs="宋体"/>
                <w:color w:val="auto"/>
              </w:rPr>
              <w:t>5.9</w:t>
            </w:r>
          </w:p>
        </w:tc>
        <w:tc>
          <w:tcPr>
            <w:tcW w:w="6310" w:type="dxa"/>
            <w:tcBorders>
              <w:top w:val="single" w:color="auto" w:sz="8" w:space="0"/>
              <w:left w:val="single" w:color="auto" w:sz="8" w:space="0"/>
              <w:bottom w:val="single" w:color="auto" w:sz="8" w:space="0"/>
              <w:right w:val="single" w:color="auto" w:sz="4" w:space="0"/>
            </w:tcBorders>
            <w:vAlign w:val="center"/>
          </w:tcPr>
          <w:p w14:paraId="54013F2F">
            <w:pPr>
              <w:pStyle w:val="61"/>
              <w:spacing w:line="240" w:lineRule="auto"/>
              <w:jc w:val="left"/>
              <w:rPr>
                <w:rFonts w:ascii="宋体" w:hAnsi="宋体" w:cs="宋体"/>
                <w:color w:val="auto"/>
              </w:rPr>
            </w:pPr>
            <w:r>
              <w:rPr>
                <w:rFonts w:hint="eastAsia" w:ascii="宋体" w:hAnsi="宋体" w:cs="宋体"/>
                <w:color w:val="auto"/>
              </w:rPr>
              <w:t>不应随意拉设临时线路。</w:t>
            </w:r>
          </w:p>
        </w:tc>
        <w:tc>
          <w:tcPr>
            <w:tcW w:w="1535" w:type="dxa"/>
            <w:tcBorders>
              <w:top w:val="single" w:color="auto" w:sz="4" w:space="0"/>
              <w:left w:val="nil"/>
              <w:bottom w:val="single" w:color="auto" w:sz="4" w:space="0"/>
              <w:right w:val="single" w:color="auto" w:sz="4" w:space="0"/>
            </w:tcBorders>
            <w:vAlign w:val="center"/>
          </w:tcPr>
          <w:p w14:paraId="3BE42E28">
            <w:pPr>
              <w:pStyle w:val="61"/>
              <w:spacing w:line="240" w:lineRule="auto"/>
              <w:rPr>
                <w:rFonts w:ascii="宋体" w:hAnsi="宋体" w:cs="宋体"/>
                <w:color w:val="auto"/>
              </w:rPr>
            </w:pPr>
            <w:r>
              <w:rPr>
                <w:rFonts w:hint="eastAsia" w:ascii="宋体" w:hAnsi="宋体" w:cs="宋体"/>
                <w:color w:val="auto"/>
              </w:rPr>
              <w:t>未随意拉设临时线路</w:t>
            </w:r>
          </w:p>
        </w:tc>
        <w:tc>
          <w:tcPr>
            <w:tcW w:w="790" w:type="dxa"/>
            <w:tcBorders>
              <w:top w:val="single" w:color="auto" w:sz="4" w:space="0"/>
              <w:left w:val="nil"/>
              <w:bottom w:val="single" w:color="auto" w:sz="4" w:space="0"/>
              <w:right w:val="single" w:color="auto" w:sz="4" w:space="0"/>
            </w:tcBorders>
            <w:vAlign w:val="center"/>
          </w:tcPr>
          <w:p w14:paraId="2E6119C6">
            <w:pPr>
              <w:pStyle w:val="61"/>
              <w:spacing w:line="240" w:lineRule="auto"/>
              <w:rPr>
                <w:rFonts w:ascii="宋体" w:hAnsi="宋体" w:cs="宋体"/>
                <w:color w:val="auto"/>
              </w:rPr>
            </w:pPr>
            <w:r>
              <w:rPr>
                <w:rFonts w:hint="eastAsia" w:ascii="宋体" w:hAnsi="宋体" w:cs="宋体"/>
                <w:color w:val="auto"/>
              </w:rPr>
              <w:t>符合</w:t>
            </w:r>
          </w:p>
        </w:tc>
      </w:tr>
    </w:tbl>
    <w:p w14:paraId="74F26104">
      <w:pPr>
        <w:pStyle w:val="32"/>
        <w:adjustRightInd w:val="0"/>
        <w:snapToGrid w:val="0"/>
        <w:spacing w:line="600" w:lineRule="exact"/>
        <w:ind w:left="0" w:leftChars="0" w:firstLine="560"/>
        <w:rPr>
          <w:rFonts w:ascii="宋体" w:hAnsi="宋体"/>
          <w:color w:val="auto"/>
          <w:kern w:val="2"/>
        </w:rPr>
      </w:pPr>
      <w:r>
        <w:rPr>
          <w:rFonts w:hint="eastAsia" w:ascii="宋体" w:hAnsi="宋体"/>
          <w:color w:val="auto"/>
          <w:kern w:val="2"/>
        </w:rPr>
        <w:t>评价结论：从上表可知。该加油站</w:t>
      </w:r>
      <w:r>
        <w:rPr>
          <w:rFonts w:hint="eastAsia" w:ascii="宋体" w:hAnsi="宋体"/>
          <w:color w:val="auto"/>
          <w:kern w:val="2"/>
          <w:lang w:eastAsia="zh-CN"/>
        </w:rPr>
        <w:t>符合</w:t>
      </w:r>
      <w:r>
        <w:rPr>
          <w:rFonts w:hint="eastAsia" w:ascii="宋体" w:hAnsi="宋体"/>
          <w:color w:val="auto"/>
          <w:kern w:val="2"/>
        </w:rPr>
        <w:t>相关的规定，严格执行加油站作业规范。</w:t>
      </w:r>
    </w:p>
    <w:p w14:paraId="121745A8">
      <w:pPr>
        <w:pStyle w:val="3"/>
        <w:jc w:val="center"/>
        <w:rPr>
          <w:rFonts w:ascii="宋体" w:hAnsi="宋体"/>
          <w:color w:val="auto"/>
          <w:sz w:val="30"/>
          <w:szCs w:val="30"/>
        </w:rPr>
      </w:pPr>
      <w:bookmarkStart w:id="188" w:name="_Toc13503"/>
      <w:bookmarkStart w:id="189" w:name="_Toc92712597"/>
      <w:bookmarkStart w:id="190" w:name="_Toc23537"/>
      <w:bookmarkStart w:id="191" w:name="_Toc9462"/>
      <w:r>
        <w:rPr>
          <w:rFonts w:hint="eastAsia" w:ascii="宋体" w:hAnsi="宋体"/>
          <w:color w:val="auto"/>
          <w:sz w:val="30"/>
          <w:szCs w:val="30"/>
        </w:rPr>
        <w:t>5.11 重点监管的危险化学品安全措施落实情况</w:t>
      </w:r>
      <w:bookmarkEnd w:id="188"/>
      <w:bookmarkEnd w:id="189"/>
      <w:bookmarkEnd w:id="190"/>
    </w:p>
    <w:p w14:paraId="0170EE1A">
      <w:pPr>
        <w:spacing w:line="600" w:lineRule="exact"/>
        <w:ind w:firstLine="570"/>
        <w:rPr>
          <w:rFonts w:ascii="宋体" w:hAnsi="宋体"/>
          <w:color w:val="auto"/>
          <w:sz w:val="28"/>
          <w:szCs w:val="28"/>
        </w:rPr>
      </w:pPr>
      <w:r>
        <w:rPr>
          <w:rFonts w:ascii="宋体" w:hAnsi="宋体"/>
          <w:color w:val="auto"/>
          <w:sz w:val="28"/>
          <w:szCs w:val="28"/>
        </w:rPr>
        <w:t>根据《</w:t>
      </w:r>
      <w:r>
        <w:rPr>
          <w:rFonts w:hint="eastAsia" w:ascii="宋体" w:hAnsi="宋体"/>
          <w:color w:val="auto"/>
          <w:sz w:val="28"/>
          <w:szCs w:val="28"/>
        </w:rPr>
        <w:t>国家安全监管总局关于公布首批重点监管的危险化学品名录的通知</w:t>
      </w:r>
      <w:r>
        <w:rPr>
          <w:rFonts w:ascii="宋体" w:hAnsi="宋体"/>
          <w:color w:val="auto"/>
          <w:sz w:val="28"/>
          <w:szCs w:val="28"/>
        </w:rPr>
        <w:t>》</w:t>
      </w:r>
      <w:r>
        <w:rPr>
          <w:rFonts w:hint="eastAsia" w:ascii="宋体" w:hAnsi="宋体"/>
          <w:color w:val="auto"/>
          <w:sz w:val="28"/>
          <w:szCs w:val="28"/>
        </w:rPr>
        <w:t>（安监总管三〔2011〕95号</w:t>
      </w:r>
      <w:r>
        <w:rPr>
          <w:rFonts w:hint="eastAsia" w:ascii="宋体" w:hAnsi="宋体"/>
          <w:color w:val="auto"/>
          <w:sz w:val="28"/>
          <w:szCs w:val="28"/>
          <w:lang w:eastAsia="zh-CN"/>
        </w:rPr>
        <w:t>）和</w:t>
      </w:r>
      <w:r>
        <w:rPr>
          <w:rFonts w:hint="eastAsia" w:ascii="宋体" w:hAnsi="宋体"/>
          <w:color w:val="auto"/>
          <w:sz w:val="28"/>
          <w:szCs w:val="28"/>
        </w:rPr>
        <w:t>《国家安全监管总局办公厅关于印发首批重点监管的危险化学品安全措施和应急处置原则的通知》（安监总厅管三〔2011〕142号）、《国家安全监管总局关于公布第二批重点监管危险化学品名录的通知》（安监总管三〔2013〕12号）</w:t>
      </w:r>
      <w:r>
        <w:rPr>
          <w:rFonts w:ascii="宋体" w:hAnsi="宋体"/>
          <w:color w:val="auto"/>
          <w:sz w:val="28"/>
          <w:szCs w:val="28"/>
        </w:rPr>
        <w:t>制定检查表，对</w:t>
      </w:r>
      <w:r>
        <w:rPr>
          <w:rFonts w:hint="eastAsia" w:ascii="宋体" w:hAnsi="宋体"/>
          <w:color w:val="auto"/>
          <w:sz w:val="28"/>
          <w:szCs w:val="28"/>
        </w:rPr>
        <w:t>该加油站重点监管的危险化学品的安全措施落实情况</w:t>
      </w:r>
      <w:r>
        <w:rPr>
          <w:rFonts w:ascii="宋体" w:hAnsi="宋体"/>
          <w:color w:val="auto"/>
          <w:sz w:val="28"/>
          <w:szCs w:val="28"/>
        </w:rPr>
        <w:t>进行评价，</w:t>
      </w:r>
      <w:r>
        <w:rPr>
          <w:rFonts w:hint="eastAsia" w:ascii="宋体" w:hAnsi="宋体"/>
          <w:color w:val="auto"/>
          <w:sz w:val="28"/>
          <w:szCs w:val="28"/>
        </w:rPr>
        <w:t>该站涉重点监管的危险化学品——汽油，</w:t>
      </w:r>
      <w:r>
        <w:rPr>
          <w:rFonts w:ascii="宋体" w:hAnsi="宋体"/>
          <w:color w:val="auto"/>
          <w:sz w:val="28"/>
          <w:szCs w:val="28"/>
        </w:rPr>
        <w:t>评价结果见下表</w:t>
      </w:r>
      <w:r>
        <w:rPr>
          <w:rFonts w:hint="eastAsia" w:ascii="宋体" w:hAnsi="宋体"/>
          <w:color w:val="auto"/>
          <w:sz w:val="28"/>
          <w:szCs w:val="28"/>
        </w:rPr>
        <w:t>5.10-1</w:t>
      </w:r>
      <w:r>
        <w:rPr>
          <w:rFonts w:ascii="宋体" w:hAnsi="宋体"/>
          <w:color w:val="auto"/>
          <w:sz w:val="28"/>
          <w:szCs w:val="28"/>
        </w:rPr>
        <w:t>。</w:t>
      </w:r>
    </w:p>
    <w:p w14:paraId="4E630382">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 xml:space="preserve">5.10-1 </w:t>
      </w:r>
      <w:r>
        <w:rPr>
          <w:rFonts w:ascii="宋体" w:hAnsi="宋体"/>
          <w:color w:val="auto"/>
          <w:sz w:val="28"/>
          <w:szCs w:val="28"/>
        </w:rPr>
        <w:t xml:space="preserve"> 重</w:t>
      </w:r>
      <w:r>
        <w:rPr>
          <w:rFonts w:hint="eastAsia" w:ascii="宋体" w:hAnsi="宋体"/>
          <w:color w:val="auto"/>
          <w:sz w:val="30"/>
          <w:szCs w:val="30"/>
        </w:rPr>
        <w:t>点监管的危险化学品安全措施落实情况</w:t>
      </w:r>
      <w:r>
        <w:rPr>
          <w:rFonts w:ascii="宋体" w:hAnsi="宋体"/>
          <w:color w:val="auto"/>
          <w:sz w:val="28"/>
          <w:szCs w:val="28"/>
        </w:rPr>
        <w:t>安全检查表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1"/>
        <w:gridCol w:w="5380"/>
        <w:gridCol w:w="2432"/>
        <w:gridCol w:w="678"/>
      </w:tblGrid>
      <w:tr w14:paraId="52EB7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pct"/>
            <w:vAlign w:val="center"/>
          </w:tcPr>
          <w:p w14:paraId="70AF5CEC">
            <w:pPr>
              <w:spacing w:line="260" w:lineRule="exact"/>
              <w:jc w:val="center"/>
              <w:rPr>
                <w:rFonts w:ascii="宋体" w:hAnsi="宋体"/>
                <w:b/>
                <w:color w:val="auto"/>
              </w:rPr>
            </w:pPr>
            <w:r>
              <w:rPr>
                <w:rFonts w:hint="eastAsia" w:ascii="宋体" w:hAnsi="宋体"/>
                <w:b/>
                <w:color w:val="auto"/>
              </w:rPr>
              <w:t>序号</w:t>
            </w:r>
          </w:p>
        </w:tc>
        <w:tc>
          <w:tcPr>
            <w:tcW w:w="2898" w:type="pct"/>
            <w:vAlign w:val="center"/>
          </w:tcPr>
          <w:p w14:paraId="174F7B76">
            <w:pPr>
              <w:spacing w:line="260" w:lineRule="exact"/>
              <w:jc w:val="center"/>
              <w:rPr>
                <w:rFonts w:ascii="宋体" w:hAnsi="宋体"/>
                <w:b/>
                <w:color w:val="auto"/>
              </w:rPr>
            </w:pPr>
            <w:r>
              <w:rPr>
                <w:rFonts w:hint="eastAsia" w:ascii="宋体" w:hAnsi="宋体"/>
                <w:b/>
                <w:color w:val="auto"/>
              </w:rPr>
              <w:t>检查内容</w:t>
            </w:r>
          </w:p>
        </w:tc>
        <w:tc>
          <w:tcPr>
            <w:tcW w:w="1310" w:type="pct"/>
            <w:vAlign w:val="center"/>
          </w:tcPr>
          <w:p w14:paraId="2A8BCC42">
            <w:pPr>
              <w:spacing w:line="260" w:lineRule="exact"/>
              <w:jc w:val="center"/>
              <w:rPr>
                <w:rFonts w:ascii="宋体" w:hAnsi="宋体"/>
                <w:b/>
                <w:color w:val="auto"/>
              </w:rPr>
            </w:pPr>
            <w:r>
              <w:rPr>
                <w:rFonts w:hint="eastAsia" w:ascii="宋体" w:hAnsi="宋体"/>
                <w:b/>
                <w:color w:val="auto"/>
              </w:rPr>
              <w:t>检查记录</w:t>
            </w:r>
          </w:p>
        </w:tc>
        <w:tc>
          <w:tcPr>
            <w:tcW w:w="364" w:type="pct"/>
            <w:vAlign w:val="center"/>
          </w:tcPr>
          <w:p w14:paraId="54E0981C">
            <w:pPr>
              <w:spacing w:line="260" w:lineRule="exact"/>
              <w:jc w:val="center"/>
              <w:rPr>
                <w:rFonts w:ascii="宋体" w:hAnsi="宋体"/>
                <w:b/>
                <w:color w:val="auto"/>
              </w:rPr>
            </w:pPr>
            <w:r>
              <w:rPr>
                <w:rFonts w:hint="eastAsia" w:ascii="宋体" w:hAnsi="宋体"/>
                <w:b/>
                <w:color w:val="auto"/>
              </w:rPr>
              <w:t>检查结果</w:t>
            </w:r>
          </w:p>
        </w:tc>
      </w:tr>
      <w:tr w14:paraId="1DC339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3E94942">
            <w:pPr>
              <w:spacing w:line="260" w:lineRule="exact"/>
              <w:jc w:val="center"/>
              <w:rPr>
                <w:rFonts w:ascii="宋体" w:hAnsi="宋体"/>
                <w:b/>
                <w:color w:val="auto"/>
              </w:rPr>
            </w:pPr>
            <w:r>
              <w:rPr>
                <w:rFonts w:hint="eastAsia" w:ascii="宋体" w:hAnsi="宋体"/>
                <w:b/>
                <w:color w:val="auto"/>
              </w:rPr>
              <w:t>1</w:t>
            </w:r>
          </w:p>
        </w:tc>
        <w:tc>
          <w:tcPr>
            <w:tcW w:w="4573" w:type="pct"/>
            <w:gridSpan w:val="3"/>
            <w:vAlign w:val="center"/>
          </w:tcPr>
          <w:p w14:paraId="45ECEC12">
            <w:pPr>
              <w:spacing w:line="260" w:lineRule="exact"/>
              <w:rPr>
                <w:rFonts w:ascii="宋体" w:hAnsi="宋体"/>
                <w:b/>
                <w:color w:val="auto"/>
              </w:rPr>
            </w:pPr>
            <w:r>
              <w:rPr>
                <w:rFonts w:hint="eastAsia" w:ascii="宋体" w:hAnsi="宋体"/>
                <w:b/>
                <w:color w:val="auto"/>
              </w:rPr>
              <w:t>安全措施</w:t>
            </w:r>
          </w:p>
        </w:tc>
      </w:tr>
      <w:tr w14:paraId="250B8E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0ED72FF6">
            <w:pPr>
              <w:spacing w:line="260" w:lineRule="exact"/>
              <w:jc w:val="center"/>
              <w:rPr>
                <w:rFonts w:ascii="宋体" w:hAnsi="宋体"/>
                <w:color w:val="auto"/>
              </w:rPr>
            </w:pPr>
            <w:r>
              <w:rPr>
                <w:rFonts w:hint="eastAsia" w:ascii="宋体" w:hAnsi="宋体"/>
                <w:color w:val="auto"/>
              </w:rPr>
              <w:t>1.1</w:t>
            </w:r>
          </w:p>
        </w:tc>
        <w:tc>
          <w:tcPr>
            <w:tcW w:w="4573" w:type="pct"/>
            <w:gridSpan w:val="3"/>
            <w:vAlign w:val="center"/>
          </w:tcPr>
          <w:p w14:paraId="0A56EE3F">
            <w:pPr>
              <w:spacing w:line="260" w:lineRule="exact"/>
              <w:rPr>
                <w:rFonts w:ascii="宋体" w:hAnsi="宋体"/>
                <w:color w:val="auto"/>
              </w:rPr>
            </w:pPr>
            <w:r>
              <w:rPr>
                <w:color w:val="auto"/>
              </w:rPr>
              <w:t>【一般要求】</w:t>
            </w:r>
          </w:p>
        </w:tc>
      </w:tr>
      <w:tr w14:paraId="4A7D6D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7" w:hRule="atLeast"/>
        </w:trPr>
        <w:tc>
          <w:tcPr>
            <w:tcW w:w="426" w:type="pct"/>
            <w:vAlign w:val="center"/>
          </w:tcPr>
          <w:p w14:paraId="45A9428D">
            <w:pPr>
              <w:spacing w:line="260" w:lineRule="exact"/>
              <w:jc w:val="center"/>
              <w:rPr>
                <w:rFonts w:ascii="宋体" w:hAnsi="宋体"/>
                <w:color w:val="auto"/>
              </w:rPr>
            </w:pPr>
            <w:r>
              <w:rPr>
                <w:rFonts w:hint="eastAsia" w:ascii="宋体" w:hAnsi="宋体"/>
                <w:color w:val="auto"/>
              </w:rPr>
              <w:t>1.1.1</w:t>
            </w:r>
          </w:p>
        </w:tc>
        <w:tc>
          <w:tcPr>
            <w:tcW w:w="2898" w:type="pct"/>
            <w:vAlign w:val="center"/>
          </w:tcPr>
          <w:p w14:paraId="67CA1BC2">
            <w:pPr>
              <w:spacing w:line="260" w:lineRule="exact"/>
              <w:rPr>
                <w:color w:val="auto"/>
              </w:rPr>
            </w:pPr>
            <w:r>
              <w:rPr>
                <w:color w:val="auto"/>
              </w:rPr>
              <w:t>操作人员必须经过专门培训，严格遵守操作规程，熟练掌握操作技能，具备应急处置知识。</w:t>
            </w:r>
          </w:p>
        </w:tc>
        <w:tc>
          <w:tcPr>
            <w:tcW w:w="1310" w:type="pct"/>
            <w:vAlign w:val="center"/>
          </w:tcPr>
          <w:p w14:paraId="24EF55E1">
            <w:pPr>
              <w:spacing w:line="260" w:lineRule="exact"/>
              <w:rPr>
                <w:rFonts w:ascii="宋体" w:hAnsi="宋体"/>
                <w:color w:val="auto"/>
              </w:rPr>
            </w:pPr>
            <w:r>
              <w:rPr>
                <w:rFonts w:hint="eastAsia" w:ascii="宋体" w:hAnsi="宋体"/>
                <w:color w:val="auto"/>
              </w:rPr>
              <w:t>全员经过培训合格。</w:t>
            </w:r>
          </w:p>
        </w:tc>
        <w:tc>
          <w:tcPr>
            <w:tcW w:w="364" w:type="pct"/>
            <w:vAlign w:val="center"/>
          </w:tcPr>
          <w:p w14:paraId="45E430C8">
            <w:pPr>
              <w:spacing w:line="260" w:lineRule="exact"/>
              <w:jc w:val="center"/>
              <w:rPr>
                <w:rFonts w:ascii="宋体" w:hAnsi="宋体"/>
                <w:color w:val="auto"/>
              </w:rPr>
            </w:pPr>
            <w:r>
              <w:rPr>
                <w:rFonts w:hint="eastAsia" w:ascii="宋体" w:hAnsi="宋体"/>
                <w:color w:val="auto"/>
              </w:rPr>
              <w:t>符合</w:t>
            </w:r>
          </w:p>
        </w:tc>
      </w:tr>
      <w:tr w14:paraId="36D2A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1D7F6F3D">
            <w:pPr>
              <w:spacing w:line="260" w:lineRule="exact"/>
              <w:jc w:val="center"/>
              <w:rPr>
                <w:rFonts w:ascii="宋体" w:hAnsi="宋体"/>
                <w:color w:val="auto"/>
              </w:rPr>
            </w:pPr>
            <w:r>
              <w:rPr>
                <w:rFonts w:hint="eastAsia" w:ascii="宋体" w:hAnsi="宋体"/>
                <w:color w:val="auto"/>
              </w:rPr>
              <w:t>1.1.2</w:t>
            </w:r>
          </w:p>
        </w:tc>
        <w:tc>
          <w:tcPr>
            <w:tcW w:w="2898" w:type="pct"/>
            <w:vAlign w:val="center"/>
          </w:tcPr>
          <w:p w14:paraId="1A84DF42">
            <w:pPr>
              <w:spacing w:line="260" w:lineRule="exact"/>
              <w:rPr>
                <w:color w:val="auto"/>
              </w:rPr>
            </w:pPr>
            <w:r>
              <w:rPr>
                <w:color w:val="auto"/>
              </w:rPr>
              <w:t>密闭操作，防止泄漏，工作场所全面通风。远离火种、热源，工作场所严禁吸烟。配备易燃气体泄漏监测报警仪，使用防爆型通风系统和设备，配备两套以上重型防护服。操作人员穿防静电工作服，戴耐油橡胶手套。</w:t>
            </w:r>
          </w:p>
        </w:tc>
        <w:tc>
          <w:tcPr>
            <w:tcW w:w="1310" w:type="pct"/>
            <w:vAlign w:val="center"/>
          </w:tcPr>
          <w:p w14:paraId="723D94C6">
            <w:pPr>
              <w:spacing w:line="260" w:lineRule="exact"/>
              <w:rPr>
                <w:rFonts w:ascii="宋体" w:hAnsi="宋体"/>
                <w:color w:val="auto"/>
              </w:rPr>
            </w:pPr>
            <w:r>
              <w:rPr>
                <w:rFonts w:hint="eastAsia" w:ascii="宋体" w:hAnsi="宋体"/>
                <w:color w:val="auto"/>
              </w:rPr>
              <w:t>密闭卸油、密闭加油，有油气回收系统。</w:t>
            </w:r>
          </w:p>
        </w:tc>
        <w:tc>
          <w:tcPr>
            <w:tcW w:w="364" w:type="pct"/>
            <w:vAlign w:val="center"/>
          </w:tcPr>
          <w:p w14:paraId="5F552667">
            <w:pPr>
              <w:spacing w:line="260" w:lineRule="exact"/>
              <w:jc w:val="center"/>
              <w:rPr>
                <w:rFonts w:ascii="宋体" w:hAnsi="宋体"/>
                <w:color w:val="auto"/>
              </w:rPr>
            </w:pPr>
            <w:r>
              <w:rPr>
                <w:rFonts w:hint="eastAsia" w:ascii="宋体" w:hAnsi="宋体"/>
                <w:color w:val="auto"/>
              </w:rPr>
              <w:t>符合</w:t>
            </w:r>
          </w:p>
        </w:tc>
      </w:tr>
      <w:tr w14:paraId="6FD56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28B5CCF8">
            <w:pPr>
              <w:spacing w:line="260" w:lineRule="exact"/>
              <w:jc w:val="center"/>
              <w:rPr>
                <w:rFonts w:ascii="宋体" w:hAnsi="宋体"/>
                <w:color w:val="auto"/>
              </w:rPr>
            </w:pPr>
            <w:r>
              <w:rPr>
                <w:rFonts w:hint="eastAsia" w:ascii="宋体" w:hAnsi="宋体"/>
                <w:color w:val="auto"/>
              </w:rPr>
              <w:t>1.1.3</w:t>
            </w:r>
          </w:p>
        </w:tc>
        <w:tc>
          <w:tcPr>
            <w:tcW w:w="2898" w:type="pct"/>
            <w:vAlign w:val="center"/>
          </w:tcPr>
          <w:p w14:paraId="4D08B907">
            <w:pPr>
              <w:spacing w:line="260" w:lineRule="exact"/>
              <w:rPr>
                <w:color w:val="auto"/>
              </w:rPr>
            </w:pPr>
            <w:r>
              <w:rPr>
                <w:color w:val="auto"/>
              </w:rPr>
              <w:t>储罐等容器和设备应设置液位计、温度计，并应装有带液位、温度远传记录和报警功能的安全装置。</w:t>
            </w:r>
          </w:p>
        </w:tc>
        <w:tc>
          <w:tcPr>
            <w:tcW w:w="1310" w:type="pct"/>
            <w:vAlign w:val="center"/>
          </w:tcPr>
          <w:p w14:paraId="7ED1C304">
            <w:pPr>
              <w:spacing w:line="260" w:lineRule="exact"/>
              <w:rPr>
                <w:rFonts w:ascii="宋体" w:hAnsi="宋体"/>
                <w:color w:val="auto"/>
              </w:rPr>
            </w:pPr>
            <w:r>
              <w:rPr>
                <w:rFonts w:hint="eastAsia" w:ascii="宋体" w:hAnsi="宋体"/>
                <w:color w:val="auto"/>
              </w:rPr>
              <w:t>油罐配备有液位监视报警仪，监控储罐液位，并远传到站房。</w:t>
            </w:r>
          </w:p>
        </w:tc>
        <w:tc>
          <w:tcPr>
            <w:tcW w:w="364" w:type="pct"/>
            <w:vAlign w:val="center"/>
          </w:tcPr>
          <w:p w14:paraId="3CBA3940">
            <w:pPr>
              <w:spacing w:line="260" w:lineRule="exact"/>
              <w:jc w:val="center"/>
              <w:rPr>
                <w:rFonts w:ascii="宋体" w:hAnsi="宋体"/>
                <w:color w:val="auto"/>
              </w:rPr>
            </w:pPr>
            <w:r>
              <w:rPr>
                <w:rFonts w:hint="eastAsia" w:ascii="宋体" w:hAnsi="宋体"/>
                <w:color w:val="auto"/>
              </w:rPr>
              <w:t>符合</w:t>
            </w:r>
          </w:p>
        </w:tc>
      </w:tr>
      <w:tr w14:paraId="5CDC66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73949ECC">
            <w:pPr>
              <w:spacing w:line="260" w:lineRule="exact"/>
              <w:jc w:val="center"/>
              <w:rPr>
                <w:rFonts w:ascii="宋体" w:hAnsi="宋体"/>
                <w:color w:val="auto"/>
              </w:rPr>
            </w:pPr>
            <w:r>
              <w:rPr>
                <w:rFonts w:hint="eastAsia" w:ascii="宋体" w:hAnsi="宋体"/>
                <w:color w:val="auto"/>
              </w:rPr>
              <w:t>1.1.4</w:t>
            </w:r>
          </w:p>
        </w:tc>
        <w:tc>
          <w:tcPr>
            <w:tcW w:w="2898" w:type="pct"/>
            <w:vAlign w:val="center"/>
          </w:tcPr>
          <w:p w14:paraId="1883CBA6">
            <w:pPr>
              <w:spacing w:line="260" w:lineRule="exact"/>
              <w:rPr>
                <w:color w:val="auto"/>
              </w:rPr>
            </w:pPr>
            <w:r>
              <w:rPr>
                <w:color w:val="auto"/>
              </w:rPr>
              <w:t>避免与氧化剂接触。</w:t>
            </w:r>
          </w:p>
        </w:tc>
        <w:tc>
          <w:tcPr>
            <w:tcW w:w="1310" w:type="pct"/>
            <w:vAlign w:val="center"/>
          </w:tcPr>
          <w:p w14:paraId="5A1B333E">
            <w:pPr>
              <w:spacing w:line="260" w:lineRule="exact"/>
              <w:rPr>
                <w:rFonts w:ascii="宋体" w:hAnsi="宋体"/>
                <w:color w:val="auto"/>
              </w:rPr>
            </w:pPr>
            <w:r>
              <w:rPr>
                <w:rFonts w:hint="eastAsia" w:ascii="宋体" w:hAnsi="宋体"/>
                <w:color w:val="auto"/>
              </w:rPr>
              <w:t>站内无氧化剂。</w:t>
            </w:r>
          </w:p>
        </w:tc>
        <w:tc>
          <w:tcPr>
            <w:tcW w:w="364" w:type="pct"/>
            <w:vAlign w:val="center"/>
          </w:tcPr>
          <w:p w14:paraId="1E7F7B91">
            <w:pPr>
              <w:spacing w:line="260" w:lineRule="exact"/>
              <w:jc w:val="center"/>
              <w:rPr>
                <w:rFonts w:ascii="宋体" w:hAnsi="宋体"/>
                <w:color w:val="auto"/>
              </w:rPr>
            </w:pPr>
            <w:r>
              <w:rPr>
                <w:rFonts w:hint="eastAsia" w:ascii="宋体" w:hAnsi="宋体"/>
                <w:color w:val="auto"/>
              </w:rPr>
              <w:t>符合</w:t>
            </w:r>
          </w:p>
        </w:tc>
      </w:tr>
      <w:tr w14:paraId="79B28D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88FCB47">
            <w:pPr>
              <w:spacing w:line="260" w:lineRule="exact"/>
              <w:jc w:val="center"/>
              <w:rPr>
                <w:rFonts w:ascii="宋体" w:hAnsi="宋体"/>
                <w:color w:val="auto"/>
              </w:rPr>
            </w:pPr>
            <w:r>
              <w:rPr>
                <w:rFonts w:hint="eastAsia" w:ascii="宋体" w:hAnsi="宋体"/>
                <w:color w:val="auto"/>
              </w:rPr>
              <w:t>1.1.5</w:t>
            </w:r>
          </w:p>
        </w:tc>
        <w:tc>
          <w:tcPr>
            <w:tcW w:w="2898" w:type="pct"/>
            <w:vAlign w:val="center"/>
          </w:tcPr>
          <w:p w14:paraId="7754FCEE">
            <w:pPr>
              <w:spacing w:line="260" w:lineRule="exact"/>
              <w:rPr>
                <w:color w:val="auto"/>
              </w:rPr>
            </w:pPr>
            <w:r>
              <w:rPr>
                <w:color w:val="auto"/>
              </w:rPr>
              <w:t>生产、储存区域应设置安全警示标志。灌装时应控制流速，且有接地装置，防止静电积聚。搬运时要轻装轻卸，防止包装及容器损坏。配备相应品种和数量的消防器材及泄漏应急处理设备。</w:t>
            </w:r>
          </w:p>
        </w:tc>
        <w:tc>
          <w:tcPr>
            <w:tcW w:w="1310" w:type="pct"/>
            <w:vAlign w:val="center"/>
          </w:tcPr>
          <w:p w14:paraId="1255A437">
            <w:pPr>
              <w:spacing w:line="260" w:lineRule="exact"/>
              <w:rPr>
                <w:rFonts w:ascii="宋体" w:hAnsi="宋体"/>
                <w:color w:val="auto"/>
              </w:rPr>
            </w:pPr>
            <w:r>
              <w:rPr>
                <w:rFonts w:hint="eastAsia" w:ascii="宋体" w:hAnsi="宋体"/>
                <w:color w:val="auto"/>
              </w:rPr>
              <w:t>有警示标志。有加油操作规程。静电接地完善。</w:t>
            </w:r>
          </w:p>
        </w:tc>
        <w:tc>
          <w:tcPr>
            <w:tcW w:w="364" w:type="pct"/>
            <w:vAlign w:val="center"/>
          </w:tcPr>
          <w:p w14:paraId="6120080C">
            <w:pPr>
              <w:spacing w:line="260" w:lineRule="exact"/>
              <w:jc w:val="center"/>
              <w:rPr>
                <w:rFonts w:ascii="宋体" w:hAnsi="宋体"/>
                <w:color w:val="auto"/>
              </w:rPr>
            </w:pPr>
            <w:r>
              <w:rPr>
                <w:rFonts w:hint="eastAsia" w:ascii="宋体" w:hAnsi="宋体"/>
                <w:color w:val="auto"/>
              </w:rPr>
              <w:t>符合</w:t>
            </w:r>
          </w:p>
        </w:tc>
      </w:tr>
      <w:tr w14:paraId="3C93BA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31CB6AE">
            <w:pPr>
              <w:spacing w:line="260" w:lineRule="exact"/>
              <w:jc w:val="center"/>
              <w:rPr>
                <w:rFonts w:ascii="宋体" w:hAnsi="宋体"/>
                <w:color w:val="auto"/>
              </w:rPr>
            </w:pPr>
            <w:r>
              <w:rPr>
                <w:rFonts w:hint="eastAsia" w:ascii="宋体" w:hAnsi="宋体"/>
                <w:color w:val="auto"/>
              </w:rPr>
              <w:t>1.2</w:t>
            </w:r>
          </w:p>
        </w:tc>
        <w:tc>
          <w:tcPr>
            <w:tcW w:w="4573" w:type="pct"/>
            <w:gridSpan w:val="3"/>
            <w:vAlign w:val="center"/>
          </w:tcPr>
          <w:p w14:paraId="5C1CF958">
            <w:pPr>
              <w:spacing w:line="260" w:lineRule="exact"/>
              <w:rPr>
                <w:color w:val="auto"/>
              </w:rPr>
            </w:pPr>
            <w:r>
              <w:rPr>
                <w:color w:val="auto"/>
              </w:rPr>
              <w:t>【特殊要求】</w:t>
            </w:r>
          </w:p>
          <w:p w14:paraId="01545F0A">
            <w:pPr>
              <w:spacing w:line="260" w:lineRule="exact"/>
              <w:rPr>
                <w:rFonts w:ascii="宋体" w:hAnsi="宋体"/>
                <w:color w:val="auto"/>
              </w:rPr>
            </w:pPr>
            <w:r>
              <w:rPr>
                <w:rFonts w:hint="eastAsia"/>
                <w:color w:val="auto"/>
              </w:rPr>
              <w:t>无</w:t>
            </w:r>
            <w:r>
              <w:rPr>
                <w:color w:val="auto"/>
              </w:rPr>
              <w:t>特殊要求</w:t>
            </w:r>
            <w:r>
              <w:rPr>
                <w:rFonts w:hint="eastAsia"/>
                <w:color w:val="auto"/>
              </w:rPr>
              <w:t>。</w:t>
            </w:r>
          </w:p>
        </w:tc>
      </w:tr>
      <w:tr w14:paraId="714D7F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075A07C">
            <w:pPr>
              <w:spacing w:line="260" w:lineRule="exact"/>
              <w:jc w:val="center"/>
              <w:rPr>
                <w:rFonts w:ascii="宋体" w:hAnsi="宋体"/>
                <w:color w:val="auto"/>
              </w:rPr>
            </w:pPr>
            <w:r>
              <w:rPr>
                <w:rFonts w:hint="eastAsia" w:ascii="宋体" w:hAnsi="宋体"/>
                <w:color w:val="auto"/>
              </w:rPr>
              <w:t>1.3</w:t>
            </w:r>
          </w:p>
        </w:tc>
        <w:tc>
          <w:tcPr>
            <w:tcW w:w="4573" w:type="pct"/>
            <w:gridSpan w:val="3"/>
            <w:vAlign w:val="center"/>
          </w:tcPr>
          <w:p w14:paraId="1763835D">
            <w:pPr>
              <w:spacing w:line="260" w:lineRule="exact"/>
              <w:rPr>
                <w:rFonts w:ascii="宋体" w:hAnsi="宋体"/>
                <w:color w:val="auto"/>
              </w:rPr>
            </w:pPr>
            <w:r>
              <w:rPr>
                <w:color w:val="auto"/>
              </w:rPr>
              <w:t>【操作安全】</w:t>
            </w:r>
          </w:p>
        </w:tc>
      </w:tr>
      <w:tr w14:paraId="32DDC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14158A76">
            <w:pPr>
              <w:spacing w:line="260" w:lineRule="exact"/>
              <w:jc w:val="center"/>
              <w:rPr>
                <w:rFonts w:ascii="宋体" w:hAnsi="宋体"/>
                <w:color w:val="auto"/>
              </w:rPr>
            </w:pPr>
            <w:r>
              <w:rPr>
                <w:rFonts w:hint="eastAsia" w:ascii="宋体" w:hAnsi="宋体"/>
                <w:color w:val="auto"/>
              </w:rPr>
              <w:t>1.3.1</w:t>
            </w:r>
          </w:p>
        </w:tc>
        <w:tc>
          <w:tcPr>
            <w:tcW w:w="2898" w:type="pct"/>
            <w:vAlign w:val="center"/>
          </w:tcPr>
          <w:p w14:paraId="1A602362">
            <w:pPr>
              <w:spacing w:line="260" w:lineRule="exact"/>
              <w:rPr>
                <w:color w:val="auto"/>
              </w:rPr>
            </w:pPr>
            <w:r>
              <w:rPr>
                <w:color w:val="auto"/>
              </w:rPr>
              <w:t>（1）油罐及贮存桶装汽油附近要严禁烟火。禁止将汽油与其他易燃物放在一起。</w:t>
            </w:r>
          </w:p>
        </w:tc>
        <w:tc>
          <w:tcPr>
            <w:tcW w:w="1310" w:type="pct"/>
            <w:vAlign w:val="center"/>
          </w:tcPr>
          <w:p w14:paraId="375EDBCD">
            <w:pPr>
              <w:spacing w:line="260" w:lineRule="exact"/>
              <w:rPr>
                <w:rFonts w:ascii="宋体" w:hAnsi="宋体"/>
                <w:color w:val="auto"/>
              </w:rPr>
            </w:pPr>
            <w:r>
              <w:rPr>
                <w:rFonts w:hint="eastAsia" w:ascii="宋体" w:hAnsi="宋体"/>
                <w:color w:val="auto"/>
              </w:rPr>
              <w:t>埋地油罐。</w:t>
            </w:r>
          </w:p>
        </w:tc>
        <w:tc>
          <w:tcPr>
            <w:tcW w:w="364" w:type="pct"/>
            <w:vAlign w:val="center"/>
          </w:tcPr>
          <w:p w14:paraId="039C337F">
            <w:pPr>
              <w:spacing w:line="260" w:lineRule="exact"/>
              <w:jc w:val="center"/>
              <w:rPr>
                <w:rFonts w:ascii="宋体" w:hAnsi="宋体"/>
                <w:color w:val="auto"/>
              </w:rPr>
            </w:pPr>
            <w:r>
              <w:rPr>
                <w:rFonts w:hint="eastAsia" w:ascii="宋体" w:hAnsi="宋体"/>
                <w:color w:val="auto"/>
              </w:rPr>
              <w:t>符合</w:t>
            </w:r>
          </w:p>
        </w:tc>
      </w:tr>
      <w:tr w14:paraId="236F1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42520F80">
            <w:pPr>
              <w:spacing w:line="260" w:lineRule="exact"/>
              <w:jc w:val="center"/>
              <w:rPr>
                <w:rFonts w:ascii="宋体" w:hAnsi="宋体"/>
                <w:color w:val="auto"/>
              </w:rPr>
            </w:pPr>
            <w:r>
              <w:rPr>
                <w:rFonts w:hint="eastAsia" w:ascii="宋体" w:hAnsi="宋体"/>
                <w:color w:val="auto"/>
              </w:rPr>
              <w:t>1.3.2</w:t>
            </w:r>
          </w:p>
        </w:tc>
        <w:tc>
          <w:tcPr>
            <w:tcW w:w="2898" w:type="pct"/>
            <w:vAlign w:val="center"/>
          </w:tcPr>
          <w:p w14:paraId="521DA4C6">
            <w:pPr>
              <w:spacing w:line="260" w:lineRule="exact"/>
              <w:rPr>
                <w:color w:val="auto"/>
              </w:rPr>
            </w:pPr>
            <w:r>
              <w:rPr>
                <w:color w:val="auto"/>
              </w:rPr>
              <w:t>（2）往油罐或油罐汽车装油时，输油管要插入油面以下或接近罐的底部，以减少油料的冲击和与空气的摩擦。沾油料的布、油棉纱头、油手套等不要放在油库、车库内，以免自燃。不要用铁器工具敲击汽油桶，特别是空汽油桶更危险。因为桶内充满汽油与空气的混合气，而且经常处于爆炸极限之内，一遇明火，就能引起爆炸。</w:t>
            </w:r>
          </w:p>
        </w:tc>
        <w:tc>
          <w:tcPr>
            <w:tcW w:w="1310" w:type="pct"/>
            <w:vAlign w:val="center"/>
          </w:tcPr>
          <w:p w14:paraId="716944E2">
            <w:pPr>
              <w:spacing w:line="260" w:lineRule="exact"/>
              <w:rPr>
                <w:rFonts w:ascii="宋体" w:hAnsi="宋体"/>
                <w:color w:val="auto"/>
              </w:rPr>
            </w:pPr>
            <w:r>
              <w:rPr>
                <w:rFonts w:hint="eastAsia" w:ascii="宋体" w:hAnsi="宋体"/>
                <w:color w:val="auto"/>
              </w:rPr>
              <w:t>进油管按规范设计。油手套等回收至指定地点。</w:t>
            </w:r>
          </w:p>
        </w:tc>
        <w:tc>
          <w:tcPr>
            <w:tcW w:w="364" w:type="pct"/>
            <w:vAlign w:val="center"/>
          </w:tcPr>
          <w:p w14:paraId="22D2CAA9">
            <w:pPr>
              <w:spacing w:line="260" w:lineRule="exact"/>
              <w:jc w:val="center"/>
              <w:rPr>
                <w:rFonts w:ascii="宋体" w:hAnsi="宋体"/>
                <w:color w:val="auto"/>
              </w:rPr>
            </w:pPr>
            <w:r>
              <w:rPr>
                <w:rFonts w:hint="eastAsia" w:ascii="宋体" w:hAnsi="宋体"/>
                <w:color w:val="auto"/>
              </w:rPr>
              <w:t>符合</w:t>
            </w:r>
          </w:p>
        </w:tc>
      </w:tr>
      <w:tr w14:paraId="690E2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29EABD7E">
            <w:pPr>
              <w:spacing w:line="260" w:lineRule="exact"/>
              <w:jc w:val="center"/>
              <w:rPr>
                <w:rFonts w:ascii="宋体" w:hAnsi="宋体"/>
                <w:color w:val="auto"/>
              </w:rPr>
            </w:pPr>
            <w:r>
              <w:rPr>
                <w:rFonts w:hint="eastAsia" w:ascii="宋体" w:hAnsi="宋体"/>
                <w:color w:val="auto"/>
              </w:rPr>
              <w:t>1.3.3</w:t>
            </w:r>
          </w:p>
        </w:tc>
        <w:tc>
          <w:tcPr>
            <w:tcW w:w="2898" w:type="pct"/>
            <w:vAlign w:val="center"/>
          </w:tcPr>
          <w:p w14:paraId="019CFD29">
            <w:pPr>
              <w:spacing w:line="260" w:lineRule="exact"/>
              <w:rPr>
                <w:color w:val="auto"/>
              </w:rPr>
            </w:pPr>
            <w:r>
              <w:rPr>
                <w:color w:val="auto"/>
              </w:rPr>
              <w:t>（3）当进行灌装汽油时，邻近的汽车、拖拉机的排气管要戴上防火帽后才能发动，存汽油地点附近严禁检修车辆。</w:t>
            </w:r>
          </w:p>
        </w:tc>
        <w:tc>
          <w:tcPr>
            <w:tcW w:w="1310" w:type="pct"/>
            <w:vAlign w:val="center"/>
          </w:tcPr>
          <w:p w14:paraId="21FFD78F">
            <w:pPr>
              <w:spacing w:line="260" w:lineRule="exact"/>
              <w:rPr>
                <w:rFonts w:ascii="宋体" w:hAnsi="宋体"/>
                <w:color w:val="auto"/>
              </w:rPr>
            </w:pPr>
            <w:r>
              <w:rPr>
                <w:rFonts w:hint="eastAsia" w:ascii="宋体" w:hAnsi="宋体"/>
                <w:color w:val="auto"/>
              </w:rPr>
              <w:t>有加油操作规程并督促司机遵守。附近无汽修间。</w:t>
            </w:r>
          </w:p>
        </w:tc>
        <w:tc>
          <w:tcPr>
            <w:tcW w:w="364" w:type="pct"/>
            <w:vAlign w:val="center"/>
          </w:tcPr>
          <w:p w14:paraId="124F9749">
            <w:pPr>
              <w:spacing w:line="260" w:lineRule="exact"/>
              <w:jc w:val="center"/>
              <w:rPr>
                <w:rFonts w:ascii="宋体" w:hAnsi="宋体"/>
                <w:color w:val="auto"/>
              </w:rPr>
            </w:pPr>
            <w:r>
              <w:rPr>
                <w:rFonts w:hint="eastAsia" w:ascii="宋体" w:hAnsi="宋体"/>
                <w:color w:val="auto"/>
              </w:rPr>
              <w:t>符合</w:t>
            </w:r>
          </w:p>
        </w:tc>
      </w:tr>
      <w:tr w14:paraId="33175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9" w:hRule="atLeast"/>
        </w:trPr>
        <w:tc>
          <w:tcPr>
            <w:tcW w:w="426" w:type="pct"/>
            <w:vAlign w:val="center"/>
          </w:tcPr>
          <w:p w14:paraId="51274E49">
            <w:pPr>
              <w:spacing w:line="260" w:lineRule="exact"/>
              <w:jc w:val="center"/>
              <w:rPr>
                <w:rFonts w:ascii="宋体" w:hAnsi="宋体"/>
                <w:color w:val="auto"/>
              </w:rPr>
            </w:pPr>
            <w:r>
              <w:rPr>
                <w:rFonts w:hint="eastAsia" w:ascii="宋体" w:hAnsi="宋体"/>
                <w:color w:val="auto"/>
              </w:rPr>
              <w:t>1.3.4</w:t>
            </w:r>
          </w:p>
        </w:tc>
        <w:tc>
          <w:tcPr>
            <w:tcW w:w="2898" w:type="pct"/>
            <w:vAlign w:val="center"/>
          </w:tcPr>
          <w:p w14:paraId="3F146132">
            <w:pPr>
              <w:spacing w:line="260" w:lineRule="exact"/>
              <w:rPr>
                <w:color w:val="auto"/>
              </w:rPr>
            </w:pPr>
            <w:r>
              <w:rPr>
                <w:color w:val="auto"/>
              </w:rPr>
              <w:t>（4）汽油油罐和贮存汽油区的上空，不应有电线通过。油罐、库房与电线的距离要为电杆长度的 1.5 倍以上。</w:t>
            </w:r>
          </w:p>
        </w:tc>
        <w:tc>
          <w:tcPr>
            <w:tcW w:w="1310" w:type="pct"/>
            <w:vAlign w:val="center"/>
          </w:tcPr>
          <w:p w14:paraId="336FEAD2">
            <w:pPr>
              <w:spacing w:line="260" w:lineRule="exact"/>
              <w:rPr>
                <w:rFonts w:ascii="宋体" w:hAnsi="宋体"/>
                <w:color w:val="auto"/>
              </w:rPr>
            </w:pPr>
            <w:r>
              <w:rPr>
                <w:rFonts w:hint="eastAsia" w:ascii="宋体" w:hAnsi="宋体"/>
                <w:color w:val="auto"/>
              </w:rPr>
              <w:t>加油站上空无电线通过。</w:t>
            </w:r>
          </w:p>
        </w:tc>
        <w:tc>
          <w:tcPr>
            <w:tcW w:w="364" w:type="pct"/>
            <w:vAlign w:val="center"/>
          </w:tcPr>
          <w:p w14:paraId="6A0D7D4B">
            <w:pPr>
              <w:spacing w:line="260" w:lineRule="exact"/>
              <w:jc w:val="center"/>
              <w:rPr>
                <w:rFonts w:ascii="宋体" w:hAnsi="宋体"/>
                <w:color w:val="auto"/>
              </w:rPr>
            </w:pPr>
            <w:r>
              <w:rPr>
                <w:rFonts w:hint="eastAsia" w:ascii="宋体" w:hAnsi="宋体"/>
                <w:color w:val="auto"/>
              </w:rPr>
              <w:t>符合</w:t>
            </w:r>
          </w:p>
        </w:tc>
      </w:tr>
      <w:tr w14:paraId="457C0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8" w:hRule="atLeast"/>
        </w:trPr>
        <w:tc>
          <w:tcPr>
            <w:tcW w:w="426" w:type="pct"/>
            <w:vAlign w:val="center"/>
          </w:tcPr>
          <w:p w14:paraId="46BA11EB">
            <w:pPr>
              <w:spacing w:line="260" w:lineRule="exact"/>
              <w:jc w:val="center"/>
              <w:rPr>
                <w:rFonts w:ascii="宋体" w:hAnsi="宋体"/>
                <w:color w:val="auto"/>
              </w:rPr>
            </w:pPr>
            <w:r>
              <w:rPr>
                <w:rFonts w:hint="eastAsia" w:ascii="宋体" w:hAnsi="宋体"/>
                <w:color w:val="auto"/>
              </w:rPr>
              <w:t>1.3.5</w:t>
            </w:r>
          </w:p>
        </w:tc>
        <w:tc>
          <w:tcPr>
            <w:tcW w:w="2898" w:type="pct"/>
            <w:vAlign w:val="center"/>
          </w:tcPr>
          <w:p w14:paraId="5C1E85B6">
            <w:pPr>
              <w:spacing w:line="260" w:lineRule="exact"/>
              <w:rPr>
                <w:color w:val="auto"/>
              </w:rPr>
            </w:pPr>
            <w:r>
              <w:rPr>
                <w:color w:val="auto"/>
              </w:rPr>
              <w:t>（5）注意仓库及操作场所的通风，使油蒸气容易逸散。</w:t>
            </w:r>
          </w:p>
        </w:tc>
        <w:tc>
          <w:tcPr>
            <w:tcW w:w="1310" w:type="pct"/>
            <w:vAlign w:val="center"/>
          </w:tcPr>
          <w:p w14:paraId="734A0A1F">
            <w:pPr>
              <w:spacing w:line="260" w:lineRule="exact"/>
              <w:rPr>
                <w:rFonts w:ascii="宋体" w:hAnsi="宋体"/>
                <w:color w:val="auto"/>
              </w:rPr>
            </w:pPr>
            <w:r>
              <w:rPr>
                <w:rFonts w:hint="eastAsia" w:ascii="宋体" w:hAnsi="宋体"/>
                <w:color w:val="auto"/>
              </w:rPr>
              <w:t>加油区三面通风，罩棚高</w:t>
            </w:r>
            <w:r>
              <w:rPr>
                <w:rFonts w:hint="eastAsia" w:ascii="宋体" w:hAnsi="宋体"/>
                <w:color w:val="auto"/>
                <w:lang w:val="en-US" w:eastAsia="zh-CN"/>
              </w:rPr>
              <w:t>6</w:t>
            </w:r>
            <w:r>
              <w:rPr>
                <w:rFonts w:hint="eastAsia" w:ascii="宋体" w:hAnsi="宋体"/>
                <w:color w:val="auto"/>
              </w:rPr>
              <w:t>米。</w:t>
            </w:r>
          </w:p>
        </w:tc>
        <w:tc>
          <w:tcPr>
            <w:tcW w:w="364" w:type="pct"/>
            <w:vAlign w:val="center"/>
          </w:tcPr>
          <w:p w14:paraId="34E18217">
            <w:pPr>
              <w:spacing w:line="260" w:lineRule="exact"/>
              <w:jc w:val="center"/>
              <w:rPr>
                <w:rFonts w:ascii="宋体" w:hAnsi="宋体"/>
                <w:color w:val="auto"/>
              </w:rPr>
            </w:pPr>
            <w:r>
              <w:rPr>
                <w:rFonts w:hint="eastAsia" w:ascii="宋体" w:hAnsi="宋体"/>
                <w:color w:val="auto"/>
              </w:rPr>
              <w:t>符合</w:t>
            </w:r>
          </w:p>
        </w:tc>
      </w:tr>
      <w:tr w14:paraId="48A04E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755CABF7">
            <w:pPr>
              <w:spacing w:line="260" w:lineRule="exact"/>
              <w:jc w:val="center"/>
              <w:rPr>
                <w:rFonts w:ascii="宋体" w:hAnsi="宋体"/>
                <w:color w:val="auto"/>
              </w:rPr>
            </w:pPr>
            <w:r>
              <w:rPr>
                <w:rFonts w:hint="eastAsia" w:ascii="宋体" w:hAnsi="宋体"/>
                <w:color w:val="auto"/>
              </w:rPr>
              <w:t>1.4</w:t>
            </w:r>
          </w:p>
        </w:tc>
        <w:tc>
          <w:tcPr>
            <w:tcW w:w="4573" w:type="pct"/>
            <w:gridSpan w:val="3"/>
            <w:vAlign w:val="center"/>
          </w:tcPr>
          <w:p w14:paraId="376F185B">
            <w:pPr>
              <w:spacing w:line="260" w:lineRule="exact"/>
              <w:rPr>
                <w:rFonts w:ascii="宋体" w:hAnsi="宋体"/>
                <w:color w:val="auto"/>
              </w:rPr>
            </w:pPr>
            <w:r>
              <w:rPr>
                <w:color w:val="auto"/>
              </w:rPr>
              <w:t>【储存安全】</w:t>
            </w:r>
          </w:p>
        </w:tc>
      </w:tr>
      <w:tr w14:paraId="57B49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66879A2B">
            <w:pPr>
              <w:spacing w:line="260" w:lineRule="exact"/>
              <w:jc w:val="center"/>
              <w:rPr>
                <w:rFonts w:ascii="宋体" w:hAnsi="宋体"/>
                <w:color w:val="auto"/>
              </w:rPr>
            </w:pPr>
          </w:p>
        </w:tc>
        <w:tc>
          <w:tcPr>
            <w:tcW w:w="2898" w:type="pct"/>
            <w:vAlign w:val="center"/>
          </w:tcPr>
          <w:p w14:paraId="0A8F86F3">
            <w:pPr>
              <w:spacing w:line="260" w:lineRule="exact"/>
              <w:rPr>
                <w:color w:val="auto"/>
              </w:rPr>
            </w:pPr>
            <w:r>
              <w:rPr>
                <w:color w:val="auto"/>
              </w:rPr>
              <w:t>（1）储存于阴凉、通风的库房。远离火种、热源。库房温度不宜超过 30</w:t>
            </w:r>
            <w:r>
              <w:rPr>
                <w:rFonts w:hint="eastAsia" w:ascii="宋体" w:hAnsi="宋体" w:cs="宋体"/>
                <w:color w:val="auto"/>
              </w:rPr>
              <w:t>℃</w:t>
            </w:r>
            <w:r>
              <w:rPr>
                <w:color w:val="auto"/>
              </w:rPr>
              <w:t>。炎热季节应采取喷淋、通风等降温措施。</w:t>
            </w:r>
          </w:p>
        </w:tc>
        <w:tc>
          <w:tcPr>
            <w:tcW w:w="1310" w:type="pct"/>
            <w:vAlign w:val="center"/>
          </w:tcPr>
          <w:p w14:paraId="7204812C">
            <w:pPr>
              <w:spacing w:line="260" w:lineRule="exact"/>
              <w:rPr>
                <w:rFonts w:ascii="宋体" w:hAnsi="宋体"/>
                <w:color w:val="auto"/>
              </w:rPr>
            </w:pPr>
            <w:r>
              <w:rPr>
                <w:rFonts w:hint="eastAsia" w:ascii="宋体" w:hAnsi="宋体"/>
                <w:color w:val="auto"/>
              </w:rPr>
              <w:t>无库房。埋地油罐储存，对油罐内温度监控报警。</w:t>
            </w:r>
          </w:p>
        </w:tc>
        <w:tc>
          <w:tcPr>
            <w:tcW w:w="364" w:type="pct"/>
            <w:vAlign w:val="center"/>
          </w:tcPr>
          <w:p w14:paraId="6A2CA69E">
            <w:pPr>
              <w:spacing w:line="260" w:lineRule="exact"/>
              <w:jc w:val="center"/>
              <w:rPr>
                <w:rFonts w:ascii="宋体" w:hAnsi="宋体"/>
                <w:color w:val="auto"/>
              </w:rPr>
            </w:pPr>
            <w:r>
              <w:rPr>
                <w:rFonts w:hint="eastAsia" w:ascii="宋体" w:hAnsi="宋体"/>
                <w:color w:val="auto"/>
              </w:rPr>
              <w:t>符合</w:t>
            </w:r>
          </w:p>
        </w:tc>
      </w:tr>
      <w:tr w14:paraId="1D3B8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2FDDEC55">
            <w:pPr>
              <w:spacing w:line="260" w:lineRule="exact"/>
              <w:jc w:val="center"/>
              <w:rPr>
                <w:rFonts w:ascii="宋体" w:hAnsi="宋体"/>
                <w:color w:val="auto"/>
              </w:rPr>
            </w:pPr>
          </w:p>
        </w:tc>
        <w:tc>
          <w:tcPr>
            <w:tcW w:w="2898" w:type="pct"/>
            <w:vAlign w:val="center"/>
          </w:tcPr>
          <w:p w14:paraId="667106F2">
            <w:pPr>
              <w:spacing w:line="260" w:lineRule="exact"/>
              <w:rPr>
                <w:color w:val="auto"/>
              </w:rPr>
            </w:pPr>
            <w:r>
              <w:rPr>
                <w:color w:val="auto"/>
              </w:rPr>
              <w:t>（2）应与氧化剂分开存放，切忌混储。用储罐、铁桶等容器盛装，不要用塑料桶来存放汽油。盛装时，切不可充满，要留出必要的安全空间。</w:t>
            </w:r>
          </w:p>
        </w:tc>
        <w:tc>
          <w:tcPr>
            <w:tcW w:w="1310" w:type="pct"/>
            <w:vAlign w:val="center"/>
          </w:tcPr>
          <w:p w14:paraId="537FDFF6">
            <w:pPr>
              <w:spacing w:line="260" w:lineRule="exact"/>
              <w:rPr>
                <w:rFonts w:ascii="宋体" w:hAnsi="宋体"/>
                <w:color w:val="auto"/>
              </w:rPr>
            </w:pPr>
            <w:r>
              <w:rPr>
                <w:rFonts w:hint="eastAsia" w:ascii="宋体" w:hAnsi="宋体"/>
                <w:color w:val="auto"/>
              </w:rPr>
              <w:t>站内无氧化剂。</w:t>
            </w:r>
          </w:p>
        </w:tc>
        <w:tc>
          <w:tcPr>
            <w:tcW w:w="364" w:type="pct"/>
            <w:vAlign w:val="center"/>
          </w:tcPr>
          <w:p w14:paraId="13C44B64">
            <w:pPr>
              <w:spacing w:line="260" w:lineRule="exact"/>
              <w:jc w:val="center"/>
              <w:rPr>
                <w:rFonts w:ascii="宋体" w:hAnsi="宋体"/>
                <w:color w:val="auto"/>
              </w:rPr>
            </w:pPr>
            <w:r>
              <w:rPr>
                <w:rFonts w:hint="eastAsia" w:ascii="宋体" w:hAnsi="宋体"/>
                <w:color w:val="auto"/>
              </w:rPr>
              <w:t>符合</w:t>
            </w:r>
          </w:p>
        </w:tc>
      </w:tr>
      <w:tr w14:paraId="339CE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39722F12">
            <w:pPr>
              <w:spacing w:line="260" w:lineRule="exact"/>
              <w:jc w:val="center"/>
              <w:rPr>
                <w:rFonts w:ascii="宋体" w:hAnsi="宋体"/>
                <w:color w:val="auto"/>
              </w:rPr>
            </w:pPr>
          </w:p>
        </w:tc>
        <w:tc>
          <w:tcPr>
            <w:tcW w:w="2898" w:type="pct"/>
            <w:tcBorders>
              <w:right w:val="single" w:color="auto" w:sz="4" w:space="0"/>
            </w:tcBorders>
            <w:vAlign w:val="center"/>
          </w:tcPr>
          <w:p w14:paraId="47DF0906">
            <w:pPr>
              <w:spacing w:line="260" w:lineRule="exact"/>
              <w:rPr>
                <w:color w:val="auto"/>
              </w:rPr>
            </w:pPr>
            <w:r>
              <w:rPr>
                <w:color w:val="auto"/>
              </w:rPr>
              <w:t>（3）采用防爆型照明、通风设施。禁止使用易产生火花的机械设备和工具。储存区应备有泄漏应急处理设备和合适的收容材料。罐储时要有防火防爆技术措施。对于 1000m</w:t>
            </w:r>
            <w:r>
              <w:rPr>
                <w:color w:val="auto"/>
                <w:vertAlign w:val="superscript"/>
              </w:rPr>
              <w:t>3</w:t>
            </w:r>
            <w:r>
              <w:rPr>
                <w:color w:val="auto"/>
              </w:rPr>
              <w:t>及以上的储罐顶部应有泡沫灭火设施等。</w:t>
            </w:r>
          </w:p>
        </w:tc>
        <w:tc>
          <w:tcPr>
            <w:tcW w:w="1310" w:type="pct"/>
            <w:tcBorders>
              <w:left w:val="single" w:color="auto" w:sz="4" w:space="0"/>
              <w:right w:val="single" w:color="auto" w:sz="4" w:space="0"/>
            </w:tcBorders>
            <w:vAlign w:val="center"/>
          </w:tcPr>
          <w:p w14:paraId="1F602AB3">
            <w:pPr>
              <w:spacing w:line="260" w:lineRule="exact"/>
              <w:rPr>
                <w:rFonts w:ascii="宋体" w:hAnsi="宋体"/>
                <w:color w:val="auto"/>
              </w:rPr>
            </w:pPr>
            <w:r>
              <w:rPr>
                <w:rFonts w:hint="eastAsia" w:ascii="宋体" w:hAnsi="宋体"/>
                <w:color w:val="auto"/>
              </w:rPr>
              <w:t>照明设在爆炸危险区域外。油罐，潜油泵、监控仪表等均是防爆型。</w:t>
            </w:r>
          </w:p>
        </w:tc>
        <w:tc>
          <w:tcPr>
            <w:tcW w:w="364" w:type="pct"/>
            <w:tcBorders>
              <w:left w:val="single" w:color="auto" w:sz="4" w:space="0"/>
            </w:tcBorders>
            <w:vAlign w:val="center"/>
          </w:tcPr>
          <w:p w14:paraId="087D69AC">
            <w:pPr>
              <w:spacing w:line="260" w:lineRule="exact"/>
              <w:jc w:val="center"/>
              <w:rPr>
                <w:rFonts w:ascii="宋体" w:hAnsi="宋体"/>
                <w:color w:val="auto"/>
              </w:rPr>
            </w:pPr>
            <w:r>
              <w:rPr>
                <w:rFonts w:hint="eastAsia" w:ascii="宋体" w:hAnsi="宋体"/>
                <w:color w:val="auto"/>
              </w:rPr>
              <w:t>符合</w:t>
            </w:r>
          </w:p>
        </w:tc>
      </w:tr>
      <w:tr w14:paraId="434C76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230E8223">
            <w:pPr>
              <w:spacing w:line="260" w:lineRule="exact"/>
              <w:jc w:val="center"/>
              <w:rPr>
                <w:rFonts w:ascii="宋体" w:hAnsi="宋体"/>
                <w:color w:val="auto"/>
              </w:rPr>
            </w:pPr>
            <w:r>
              <w:rPr>
                <w:rFonts w:hint="eastAsia" w:ascii="宋体" w:hAnsi="宋体"/>
                <w:color w:val="auto"/>
              </w:rPr>
              <w:t>1.4</w:t>
            </w:r>
          </w:p>
        </w:tc>
        <w:tc>
          <w:tcPr>
            <w:tcW w:w="2898" w:type="pct"/>
            <w:tcBorders>
              <w:right w:val="single" w:color="auto" w:sz="4" w:space="0"/>
            </w:tcBorders>
            <w:vAlign w:val="center"/>
          </w:tcPr>
          <w:p w14:paraId="61738D22">
            <w:pPr>
              <w:spacing w:line="260" w:lineRule="exact"/>
              <w:rPr>
                <w:rFonts w:ascii="宋体" w:hAnsi="宋体"/>
                <w:color w:val="auto"/>
              </w:rPr>
            </w:pPr>
            <w:r>
              <w:rPr>
                <w:color w:val="auto"/>
              </w:rPr>
              <w:t>【运输安全】</w:t>
            </w:r>
          </w:p>
        </w:tc>
        <w:tc>
          <w:tcPr>
            <w:tcW w:w="1310" w:type="pct"/>
            <w:tcBorders>
              <w:left w:val="single" w:color="auto" w:sz="4" w:space="0"/>
              <w:right w:val="single" w:color="auto" w:sz="4" w:space="0"/>
            </w:tcBorders>
            <w:vAlign w:val="center"/>
          </w:tcPr>
          <w:p w14:paraId="401BD136">
            <w:pPr>
              <w:spacing w:line="260" w:lineRule="exact"/>
              <w:rPr>
                <w:rFonts w:ascii="宋体" w:hAnsi="宋体"/>
                <w:color w:val="auto"/>
              </w:rPr>
            </w:pPr>
            <w:r>
              <w:rPr>
                <w:rFonts w:hint="eastAsia"/>
                <w:color w:val="auto"/>
              </w:rPr>
              <w:t>第三方运输</w:t>
            </w:r>
          </w:p>
        </w:tc>
        <w:tc>
          <w:tcPr>
            <w:tcW w:w="364" w:type="pct"/>
            <w:tcBorders>
              <w:left w:val="single" w:color="auto" w:sz="4" w:space="0"/>
            </w:tcBorders>
            <w:vAlign w:val="center"/>
          </w:tcPr>
          <w:p w14:paraId="572B08F0">
            <w:pPr>
              <w:spacing w:line="260" w:lineRule="exact"/>
              <w:jc w:val="center"/>
              <w:rPr>
                <w:rFonts w:ascii="宋体" w:hAnsi="宋体"/>
                <w:color w:val="auto"/>
              </w:rPr>
            </w:pPr>
            <w:r>
              <w:rPr>
                <w:rFonts w:hint="eastAsia" w:ascii="宋体" w:hAnsi="宋体"/>
                <w:color w:val="auto"/>
              </w:rPr>
              <w:t>/</w:t>
            </w:r>
          </w:p>
        </w:tc>
      </w:tr>
      <w:tr w14:paraId="45C07D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6FEF05D7">
            <w:pPr>
              <w:spacing w:line="260" w:lineRule="exact"/>
              <w:jc w:val="center"/>
              <w:rPr>
                <w:b/>
                <w:color w:val="auto"/>
              </w:rPr>
            </w:pPr>
            <w:r>
              <w:rPr>
                <w:rFonts w:hint="eastAsia"/>
                <w:b/>
                <w:color w:val="auto"/>
              </w:rPr>
              <w:t>2</w:t>
            </w:r>
          </w:p>
        </w:tc>
        <w:tc>
          <w:tcPr>
            <w:tcW w:w="4573" w:type="pct"/>
            <w:gridSpan w:val="3"/>
            <w:vAlign w:val="center"/>
          </w:tcPr>
          <w:p w14:paraId="1D1B9FB8">
            <w:pPr>
              <w:spacing w:line="260" w:lineRule="exact"/>
              <w:rPr>
                <w:b/>
                <w:color w:val="auto"/>
              </w:rPr>
            </w:pPr>
            <w:r>
              <w:rPr>
                <w:rFonts w:hint="eastAsia" w:ascii="宋体" w:hAnsi="宋体"/>
                <w:b/>
                <w:color w:val="auto"/>
              </w:rPr>
              <w:t>应急处置原则</w:t>
            </w:r>
          </w:p>
        </w:tc>
      </w:tr>
      <w:tr w14:paraId="09FD2F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E6D64B4">
            <w:pPr>
              <w:spacing w:line="260" w:lineRule="exact"/>
              <w:jc w:val="center"/>
              <w:rPr>
                <w:color w:val="auto"/>
              </w:rPr>
            </w:pPr>
            <w:r>
              <w:rPr>
                <w:rFonts w:hint="eastAsia"/>
                <w:color w:val="auto"/>
              </w:rPr>
              <w:t>2.1</w:t>
            </w:r>
          </w:p>
        </w:tc>
        <w:tc>
          <w:tcPr>
            <w:tcW w:w="4573" w:type="pct"/>
            <w:gridSpan w:val="3"/>
            <w:vAlign w:val="center"/>
          </w:tcPr>
          <w:p w14:paraId="6E7A214F">
            <w:pPr>
              <w:spacing w:line="260" w:lineRule="exact"/>
              <w:rPr>
                <w:rFonts w:ascii="宋体" w:hAnsi="宋体"/>
                <w:color w:val="auto"/>
              </w:rPr>
            </w:pPr>
            <w:r>
              <w:rPr>
                <w:color w:val="auto"/>
              </w:rPr>
              <w:t>【急救措施】</w:t>
            </w:r>
          </w:p>
        </w:tc>
      </w:tr>
      <w:tr w14:paraId="284568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91398A9">
            <w:pPr>
              <w:spacing w:line="260" w:lineRule="exact"/>
              <w:jc w:val="center"/>
              <w:rPr>
                <w:color w:val="auto"/>
              </w:rPr>
            </w:pPr>
            <w:r>
              <w:rPr>
                <w:rFonts w:hint="eastAsia"/>
                <w:color w:val="auto"/>
              </w:rPr>
              <w:t>2.1.1</w:t>
            </w:r>
          </w:p>
        </w:tc>
        <w:tc>
          <w:tcPr>
            <w:tcW w:w="2898" w:type="pct"/>
            <w:vAlign w:val="center"/>
          </w:tcPr>
          <w:p w14:paraId="1B11FB95">
            <w:pPr>
              <w:spacing w:line="260" w:lineRule="exact"/>
              <w:rPr>
                <w:rFonts w:ascii="宋体" w:hAnsi="宋体"/>
                <w:color w:val="auto"/>
              </w:rPr>
            </w:pPr>
            <w:r>
              <w:rPr>
                <w:color w:val="auto"/>
              </w:rPr>
              <w:t>吸入：迅速脱离现场至空气新鲜处。保持呼吸道通畅。如呼吸困难，给氧。如呼吸停止，立即进行人工呼吸。就医。</w:t>
            </w:r>
          </w:p>
        </w:tc>
        <w:tc>
          <w:tcPr>
            <w:tcW w:w="1310" w:type="pct"/>
            <w:vMerge w:val="restart"/>
            <w:vAlign w:val="center"/>
          </w:tcPr>
          <w:p w14:paraId="013F0834">
            <w:pPr>
              <w:spacing w:line="260" w:lineRule="exact"/>
              <w:rPr>
                <w:rFonts w:ascii="宋体" w:hAnsi="宋体"/>
                <w:color w:val="auto"/>
              </w:rPr>
            </w:pPr>
            <w:r>
              <w:rPr>
                <w:rFonts w:hint="eastAsia" w:ascii="宋体" w:hAnsi="宋体"/>
                <w:color w:val="auto"/>
              </w:rPr>
              <w:t>全员接受了救援、急救知识培训并演练。配有急救箱。</w:t>
            </w:r>
          </w:p>
        </w:tc>
        <w:tc>
          <w:tcPr>
            <w:tcW w:w="364" w:type="pct"/>
            <w:vAlign w:val="center"/>
          </w:tcPr>
          <w:p w14:paraId="652A54AD">
            <w:pPr>
              <w:spacing w:line="260" w:lineRule="exact"/>
              <w:jc w:val="center"/>
              <w:rPr>
                <w:rFonts w:ascii="宋体" w:hAnsi="宋体"/>
                <w:color w:val="auto"/>
              </w:rPr>
            </w:pPr>
            <w:r>
              <w:rPr>
                <w:rFonts w:hint="eastAsia" w:ascii="宋体" w:hAnsi="宋体"/>
                <w:color w:val="auto"/>
              </w:rPr>
              <w:t>符合</w:t>
            </w:r>
          </w:p>
        </w:tc>
      </w:tr>
      <w:tr w14:paraId="7B69E7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1D481584">
            <w:pPr>
              <w:spacing w:line="260" w:lineRule="exact"/>
              <w:jc w:val="center"/>
              <w:rPr>
                <w:color w:val="auto"/>
              </w:rPr>
            </w:pPr>
            <w:r>
              <w:rPr>
                <w:rFonts w:hint="eastAsia"/>
                <w:color w:val="auto"/>
              </w:rPr>
              <w:t>2.1.2</w:t>
            </w:r>
          </w:p>
        </w:tc>
        <w:tc>
          <w:tcPr>
            <w:tcW w:w="2898" w:type="pct"/>
            <w:vAlign w:val="center"/>
          </w:tcPr>
          <w:p w14:paraId="763D633F">
            <w:pPr>
              <w:spacing w:line="260" w:lineRule="exact"/>
              <w:rPr>
                <w:color w:val="auto"/>
              </w:rPr>
            </w:pPr>
            <w:r>
              <w:rPr>
                <w:color w:val="auto"/>
              </w:rPr>
              <w:t>食入：给饮牛奶或用植物油洗胃和灌肠。就医。</w:t>
            </w:r>
          </w:p>
        </w:tc>
        <w:tc>
          <w:tcPr>
            <w:tcW w:w="1310" w:type="pct"/>
            <w:vMerge w:val="continue"/>
            <w:vAlign w:val="center"/>
          </w:tcPr>
          <w:p w14:paraId="160CD082">
            <w:pPr>
              <w:spacing w:line="260" w:lineRule="exact"/>
              <w:rPr>
                <w:rFonts w:ascii="宋体" w:hAnsi="宋体"/>
                <w:color w:val="auto"/>
              </w:rPr>
            </w:pPr>
          </w:p>
        </w:tc>
        <w:tc>
          <w:tcPr>
            <w:tcW w:w="364" w:type="pct"/>
            <w:vAlign w:val="center"/>
          </w:tcPr>
          <w:p w14:paraId="752F473F">
            <w:pPr>
              <w:spacing w:line="260" w:lineRule="exact"/>
              <w:jc w:val="center"/>
              <w:rPr>
                <w:rFonts w:ascii="宋体" w:hAnsi="宋体"/>
                <w:color w:val="auto"/>
              </w:rPr>
            </w:pPr>
            <w:r>
              <w:rPr>
                <w:rFonts w:hint="eastAsia" w:ascii="宋体" w:hAnsi="宋体"/>
                <w:color w:val="auto"/>
              </w:rPr>
              <w:t>符合</w:t>
            </w:r>
          </w:p>
        </w:tc>
      </w:tr>
      <w:tr w14:paraId="1CD8D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375236D3">
            <w:pPr>
              <w:spacing w:line="260" w:lineRule="exact"/>
              <w:jc w:val="center"/>
              <w:rPr>
                <w:color w:val="auto"/>
              </w:rPr>
            </w:pPr>
            <w:r>
              <w:rPr>
                <w:rFonts w:hint="eastAsia"/>
                <w:color w:val="auto"/>
              </w:rPr>
              <w:t>2.1.3</w:t>
            </w:r>
          </w:p>
        </w:tc>
        <w:tc>
          <w:tcPr>
            <w:tcW w:w="2898" w:type="pct"/>
            <w:vAlign w:val="center"/>
          </w:tcPr>
          <w:p w14:paraId="031FC7C5">
            <w:pPr>
              <w:spacing w:line="260" w:lineRule="exact"/>
              <w:rPr>
                <w:color w:val="auto"/>
              </w:rPr>
            </w:pPr>
            <w:r>
              <w:rPr>
                <w:color w:val="auto"/>
              </w:rPr>
              <w:t>皮肤接触：立即脱去污染的衣着，用肥皂水和清水彻底冲洗皮肤。就医。</w:t>
            </w:r>
          </w:p>
        </w:tc>
        <w:tc>
          <w:tcPr>
            <w:tcW w:w="1310" w:type="pct"/>
            <w:vMerge w:val="continue"/>
            <w:vAlign w:val="center"/>
          </w:tcPr>
          <w:p w14:paraId="17B10F5B">
            <w:pPr>
              <w:spacing w:line="260" w:lineRule="exact"/>
              <w:rPr>
                <w:rFonts w:ascii="宋体" w:hAnsi="宋体"/>
                <w:color w:val="auto"/>
              </w:rPr>
            </w:pPr>
          </w:p>
        </w:tc>
        <w:tc>
          <w:tcPr>
            <w:tcW w:w="364" w:type="pct"/>
            <w:vAlign w:val="center"/>
          </w:tcPr>
          <w:p w14:paraId="7805B4FC">
            <w:pPr>
              <w:spacing w:line="260" w:lineRule="exact"/>
              <w:jc w:val="center"/>
              <w:rPr>
                <w:rFonts w:ascii="宋体" w:hAnsi="宋体"/>
                <w:color w:val="auto"/>
              </w:rPr>
            </w:pPr>
            <w:r>
              <w:rPr>
                <w:rFonts w:hint="eastAsia" w:ascii="宋体" w:hAnsi="宋体"/>
                <w:color w:val="auto"/>
              </w:rPr>
              <w:t>符合</w:t>
            </w:r>
          </w:p>
        </w:tc>
      </w:tr>
      <w:tr w14:paraId="6C160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058CB764">
            <w:pPr>
              <w:spacing w:line="260" w:lineRule="exact"/>
              <w:jc w:val="center"/>
              <w:rPr>
                <w:color w:val="auto"/>
              </w:rPr>
            </w:pPr>
            <w:r>
              <w:rPr>
                <w:rFonts w:hint="eastAsia"/>
                <w:color w:val="auto"/>
              </w:rPr>
              <w:t>2.1.4</w:t>
            </w:r>
          </w:p>
        </w:tc>
        <w:tc>
          <w:tcPr>
            <w:tcW w:w="2898" w:type="pct"/>
            <w:vAlign w:val="center"/>
          </w:tcPr>
          <w:p w14:paraId="28F4B5EA">
            <w:pPr>
              <w:spacing w:line="260" w:lineRule="exact"/>
              <w:rPr>
                <w:color w:val="auto"/>
              </w:rPr>
            </w:pPr>
            <w:r>
              <w:rPr>
                <w:color w:val="auto"/>
              </w:rPr>
              <w:t>眼睛接触：立即提起眼睑，用大量流动清水或生理盐水彻底冲洗至少 15分钟。就医</w:t>
            </w:r>
            <w:r>
              <w:rPr>
                <w:rFonts w:hint="eastAsia"/>
                <w:color w:val="auto"/>
              </w:rPr>
              <w:t>。</w:t>
            </w:r>
          </w:p>
        </w:tc>
        <w:tc>
          <w:tcPr>
            <w:tcW w:w="1310" w:type="pct"/>
            <w:vMerge w:val="continue"/>
            <w:vAlign w:val="center"/>
          </w:tcPr>
          <w:p w14:paraId="50AFD50A">
            <w:pPr>
              <w:spacing w:line="260" w:lineRule="exact"/>
              <w:rPr>
                <w:rFonts w:ascii="宋体" w:hAnsi="宋体"/>
                <w:color w:val="auto"/>
              </w:rPr>
            </w:pPr>
          </w:p>
        </w:tc>
        <w:tc>
          <w:tcPr>
            <w:tcW w:w="364" w:type="pct"/>
            <w:vAlign w:val="center"/>
          </w:tcPr>
          <w:p w14:paraId="0C3951EC">
            <w:pPr>
              <w:spacing w:line="260" w:lineRule="exact"/>
              <w:jc w:val="center"/>
              <w:rPr>
                <w:rFonts w:ascii="宋体" w:hAnsi="宋体"/>
                <w:color w:val="auto"/>
              </w:rPr>
            </w:pPr>
            <w:r>
              <w:rPr>
                <w:rFonts w:hint="eastAsia" w:ascii="宋体" w:hAnsi="宋体"/>
                <w:color w:val="auto"/>
              </w:rPr>
              <w:t>符合</w:t>
            </w:r>
          </w:p>
        </w:tc>
      </w:tr>
      <w:tr w14:paraId="7559E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23E9B7EA">
            <w:pPr>
              <w:spacing w:line="260" w:lineRule="exact"/>
              <w:jc w:val="center"/>
              <w:rPr>
                <w:color w:val="auto"/>
              </w:rPr>
            </w:pPr>
            <w:r>
              <w:rPr>
                <w:rFonts w:hint="eastAsia"/>
                <w:color w:val="auto"/>
              </w:rPr>
              <w:t>2.2</w:t>
            </w:r>
          </w:p>
        </w:tc>
        <w:tc>
          <w:tcPr>
            <w:tcW w:w="4573" w:type="pct"/>
            <w:gridSpan w:val="3"/>
            <w:vAlign w:val="center"/>
          </w:tcPr>
          <w:p w14:paraId="1551834E">
            <w:pPr>
              <w:spacing w:line="260" w:lineRule="exact"/>
              <w:rPr>
                <w:rFonts w:ascii="宋体" w:hAnsi="宋体"/>
                <w:color w:val="auto"/>
              </w:rPr>
            </w:pPr>
            <w:r>
              <w:rPr>
                <w:color w:val="auto"/>
              </w:rPr>
              <w:t>【灭火方法】</w:t>
            </w:r>
          </w:p>
        </w:tc>
      </w:tr>
      <w:tr w14:paraId="06281B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CAC5125">
            <w:pPr>
              <w:spacing w:line="260" w:lineRule="exact"/>
              <w:jc w:val="center"/>
              <w:rPr>
                <w:color w:val="auto"/>
              </w:rPr>
            </w:pPr>
            <w:r>
              <w:rPr>
                <w:rFonts w:hint="eastAsia"/>
                <w:color w:val="auto"/>
              </w:rPr>
              <w:t>2.2.1</w:t>
            </w:r>
          </w:p>
        </w:tc>
        <w:tc>
          <w:tcPr>
            <w:tcW w:w="2898" w:type="pct"/>
            <w:vAlign w:val="center"/>
          </w:tcPr>
          <w:p w14:paraId="79814F68">
            <w:pPr>
              <w:spacing w:line="260" w:lineRule="exact"/>
              <w:rPr>
                <w:color w:val="auto"/>
              </w:rPr>
            </w:pPr>
            <w:r>
              <w:rPr>
                <w:color w:val="auto"/>
              </w:rPr>
              <w:t>喷水冷却容器，尽可能将容器从火场移至空旷处。</w:t>
            </w:r>
          </w:p>
        </w:tc>
        <w:tc>
          <w:tcPr>
            <w:tcW w:w="1310" w:type="pct"/>
            <w:vAlign w:val="center"/>
          </w:tcPr>
          <w:p w14:paraId="2D3F5F46">
            <w:pPr>
              <w:spacing w:line="260" w:lineRule="exact"/>
              <w:rPr>
                <w:rFonts w:ascii="宋体" w:hAnsi="宋体"/>
                <w:color w:val="auto"/>
              </w:rPr>
            </w:pPr>
            <w:r>
              <w:rPr>
                <w:rFonts w:hint="eastAsia" w:ascii="宋体" w:hAnsi="宋体"/>
                <w:color w:val="auto"/>
              </w:rPr>
              <w:t>埋地油罐</w:t>
            </w:r>
          </w:p>
        </w:tc>
        <w:tc>
          <w:tcPr>
            <w:tcW w:w="364" w:type="pct"/>
            <w:vAlign w:val="center"/>
          </w:tcPr>
          <w:p w14:paraId="642D0B4F">
            <w:pPr>
              <w:spacing w:line="260" w:lineRule="exact"/>
              <w:jc w:val="center"/>
              <w:rPr>
                <w:rFonts w:ascii="宋体" w:hAnsi="宋体"/>
                <w:color w:val="auto"/>
              </w:rPr>
            </w:pPr>
            <w:r>
              <w:rPr>
                <w:rFonts w:hint="eastAsia" w:ascii="宋体" w:hAnsi="宋体"/>
                <w:color w:val="auto"/>
              </w:rPr>
              <w:t>/</w:t>
            </w:r>
          </w:p>
        </w:tc>
      </w:tr>
      <w:tr w14:paraId="4881E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069B716C">
            <w:pPr>
              <w:spacing w:line="260" w:lineRule="exact"/>
              <w:jc w:val="center"/>
              <w:rPr>
                <w:color w:val="auto"/>
              </w:rPr>
            </w:pPr>
            <w:r>
              <w:rPr>
                <w:rFonts w:hint="eastAsia"/>
                <w:color w:val="auto"/>
              </w:rPr>
              <w:t>2.2.2</w:t>
            </w:r>
          </w:p>
        </w:tc>
        <w:tc>
          <w:tcPr>
            <w:tcW w:w="2898" w:type="pct"/>
            <w:vAlign w:val="center"/>
          </w:tcPr>
          <w:p w14:paraId="2E37A49C">
            <w:pPr>
              <w:spacing w:line="260" w:lineRule="exact"/>
              <w:rPr>
                <w:color w:val="auto"/>
              </w:rPr>
            </w:pPr>
            <w:r>
              <w:rPr>
                <w:color w:val="auto"/>
              </w:rPr>
              <w:t>灭火剂：泡沫、干粉、二氧化碳。用水灭火无效。</w:t>
            </w:r>
          </w:p>
        </w:tc>
        <w:tc>
          <w:tcPr>
            <w:tcW w:w="1310" w:type="pct"/>
            <w:vAlign w:val="center"/>
          </w:tcPr>
          <w:p w14:paraId="37996FF3">
            <w:pPr>
              <w:spacing w:line="260" w:lineRule="exact"/>
              <w:rPr>
                <w:rFonts w:ascii="宋体" w:hAnsi="宋体"/>
                <w:color w:val="auto"/>
              </w:rPr>
            </w:pPr>
            <w:r>
              <w:rPr>
                <w:rFonts w:hint="eastAsia" w:ascii="宋体" w:hAnsi="宋体"/>
                <w:color w:val="auto"/>
              </w:rPr>
              <w:t>油罐区、加油区配备了干粉灭火器。</w:t>
            </w:r>
          </w:p>
        </w:tc>
        <w:tc>
          <w:tcPr>
            <w:tcW w:w="364" w:type="pct"/>
            <w:vAlign w:val="center"/>
          </w:tcPr>
          <w:p w14:paraId="2629EC9F">
            <w:pPr>
              <w:spacing w:line="260" w:lineRule="exact"/>
              <w:jc w:val="center"/>
              <w:rPr>
                <w:rFonts w:ascii="宋体" w:hAnsi="宋体"/>
                <w:color w:val="auto"/>
              </w:rPr>
            </w:pPr>
            <w:r>
              <w:rPr>
                <w:rFonts w:hint="eastAsia" w:ascii="宋体" w:hAnsi="宋体"/>
                <w:color w:val="auto"/>
              </w:rPr>
              <w:t>符合</w:t>
            </w:r>
          </w:p>
        </w:tc>
      </w:tr>
      <w:tr w14:paraId="57FB2D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7326F768">
            <w:pPr>
              <w:spacing w:line="260" w:lineRule="exact"/>
              <w:jc w:val="center"/>
              <w:rPr>
                <w:color w:val="auto"/>
              </w:rPr>
            </w:pPr>
            <w:r>
              <w:rPr>
                <w:rFonts w:hint="eastAsia"/>
                <w:color w:val="auto"/>
              </w:rPr>
              <w:t>2.3</w:t>
            </w:r>
          </w:p>
        </w:tc>
        <w:tc>
          <w:tcPr>
            <w:tcW w:w="4573" w:type="pct"/>
            <w:gridSpan w:val="3"/>
            <w:vAlign w:val="center"/>
          </w:tcPr>
          <w:p w14:paraId="5DC16B38">
            <w:pPr>
              <w:spacing w:line="260" w:lineRule="exact"/>
              <w:rPr>
                <w:rFonts w:ascii="宋体" w:hAnsi="宋体"/>
                <w:color w:val="auto"/>
              </w:rPr>
            </w:pPr>
            <w:r>
              <w:rPr>
                <w:color w:val="auto"/>
              </w:rPr>
              <w:t>【泄漏应急处置】</w:t>
            </w:r>
          </w:p>
        </w:tc>
      </w:tr>
      <w:tr w14:paraId="01D6AF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137036C">
            <w:pPr>
              <w:spacing w:line="260" w:lineRule="exact"/>
              <w:jc w:val="center"/>
              <w:rPr>
                <w:color w:val="auto"/>
              </w:rPr>
            </w:pPr>
            <w:r>
              <w:rPr>
                <w:rFonts w:hint="eastAsia"/>
                <w:color w:val="auto"/>
              </w:rPr>
              <w:t>2.3.1</w:t>
            </w:r>
          </w:p>
        </w:tc>
        <w:tc>
          <w:tcPr>
            <w:tcW w:w="2898" w:type="pct"/>
            <w:vAlign w:val="center"/>
          </w:tcPr>
          <w:p w14:paraId="5397F3E0">
            <w:pPr>
              <w:spacing w:line="260" w:lineRule="exact"/>
              <w:rPr>
                <w:color w:val="auto"/>
              </w:rPr>
            </w:pPr>
            <w:r>
              <w:rPr>
                <w:color w:val="auto"/>
              </w:rPr>
              <w:t>消除所有点火源。根据液体流动和蒸气扩散的影响区域划定警戒区，无关人员从侧风、上风向撤离至安全区。建议应急处理人员戴正压自给式空气呼吸器，穿防毒、防静电服。作业时使用的所有设备应接地。禁止接触或跨越泄漏物。尽可能切断泄漏源。防止泄漏物进入水体、下水道、地下室或密闭性空间。</w:t>
            </w:r>
          </w:p>
        </w:tc>
        <w:tc>
          <w:tcPr>
            <w:tcW w:w="1310" w:type="pct"/>
            <w:vAlign w:val="center"/>
          </w:tcPr>
          <w:p w14:paraId="22222D08">
            <w:pPr>
              <w:spacing w:line="260" w:lineRule="exact"/>
              <w:rPr>
                <w:rFonts w:ascii="宋体" w:hAnsi="宋体"/>
                <w:color w:val="auto"/>
              </w:rPr>
            </w:pPr>
            <w:r>
              <w:rPr>
                <w:rFonts w:hint="eastAsia" w:ascii="宋体" w:hAnsi="宋体"/>
                <w:color w:val="auto"/>
              </w:rPr>
              <w:t>制定了禁烟、禁火制度并有效实施。</w:t>
            </w:r>
          </w:p>
          <w:p w14:paraId="6281483F">
            <w:pPr>
              <w:spacing w:line="260" w:lineRule="exact"/>
              <w:rPr>
                <w:rFonts w:ascii="宋体" w:hAnsi="宋体"/>
                <w:color w:val="auto"/>
              </w:rPr>
            </w:pPr>
            <w:r>
              <w:rPr>
                <w:rFonts w:hint="eastAsia" w:ascii="宋体" w:hAnsi="宋体"/>
                <w:color w:val="auto"/>
              </w:rPr>
              <w:t>卸油、加油设备均配备了防拉脱设施。</w:t>
            </w:r>
          </w:p>
          <w:p w14:paraId="0EE133CD">
            <w:pPr>
              <w:spacing w:line="260" w:lineRule="exact"/>
              <w:rPr>
                <w:rFonts w:ascii="宋体" w:hAnsi="宋体"/>
                <w:color w:val="auto"/>
              </w:rPr>
            </w:pPr>
            <w:r>
              <w:rPr>
                <w:rFonts w:hint="eastAsia" w:ascii="宋体" w:hAnsi="宋体"/>
                <w:color w:val="auto"/>
              </w:rPr>
              <w:t>设置了消防器材柜。</w:t>
            </w:r>
          </w:p>
          <w:p w14:paraId="137F5AAE">
            <w:pPr>
              <w:spacing w:line="260" w:lineRule="exact"/>
              <w:rPr>
                <w:rFonts w:ascii="宋体" w:hAnsi="宋体"/>
                <w:color w:val="auto"/>
              </w:rPr>
            </w:pPr>
            <w:r>
              <w:rPr>
                <w:rFonts w:hint="eastAsia" w:ascii="宋体" w:hAnsi="宋体"/>
                <w:color w:val="auto"/>
              </w:rPr>
              <w:t>卸油区、加油区设置了环保沟，隔油池。</w:t>
            </w:r>
          </w:p>
        </w:tc>
        <w:tc>
          <w:tcPr>
            <w:tcW w:w="364" w:type="pct"/>
            <w:vAlign w:val="center"/>
          </w:tcPr>
          <w:p w14:paraId="27BB62DA">
            <w:pPr>
              <w:spacing w:line="260" w:lineRule="exact"/>
              <w:jc w:val="center"/>
              <w:rPr>
                <w:rFonts w:ascii="宋体" w:hAnsi="宋体"/>
                <w:color w:val="auto"/>
              </w:rPr>
            </w:pPr>
            <w:r>
              <w:rPr>
                <w:rFonts w:hint="eastAsia" w:ascii="宋体" w:hAnsi="宋体"/>
                <w:color w:val="auto"/>
              </w:rPr>
              <w:t>符合</w:t>
            </w:r>
          </w:p>
        </w:tc>
      </w:tr>
      <w:tr w14:paraId="23D01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52155E36">
            <w:pPr>
              <w:spacing w:line="260" w:lineRule="exact"/>
              <w:jc w:val="center"/>
              <w:rPr>
                <w:color w:val="auto"/>
              </w:rPr>
            </w:pPr>
            <w:r>
              <w:rPr>
                <w:rFonts w:hint="eastAsia"/>
                <w:color w:val="auto"/>
              </w:rPr>
              <w:t>2.3.2</w:t>
            </w:r>
          </w:p>
        </w:tc>
        <w:tc>
          <w:tcPr>
            <w:tcW w:w="2898" w:type="pct"/>
            <w:vAlign w:val="center"/>
          </w:tcPr>
          <w:p w14:paraId="53C5E142">
            <w:pPr>
              <w:spacing w:line="260" w:lineRule="exact"/>
              <w:rPr>
                <w:color w:val="auto"/>
              </w:rPr>
            </w:pPr>
            <w:r>
              <w:rPr>
                <w:color w:val="auto"/>
              </w:rPr>
              <w:t>小量泄漏：用砂土或</w:t>
            </w:r>
            <w:r>
              <w:rPr>
                <w:rFonts w:hint="eastAsia"/>
                <w:color w:val="auto"/>
                <w:lang w:eastAsia="zh-CN"/>
              </w:rPr>
              <w:t>其他不</w:t>
            </w:r>
            <w:r>
              <w:rPr>
                <w:color w:val="auto"/>
              </w:rPr>
              <w:t>燃材料吸收。使用洁净的无火花工具收集吸收材料。</w:t>
            </w:r>
          </w:p>
        </w:tc>
        <w:tc>
          <w:tcPr>
            <w:tcW w:w="1310" w:type="pct"/>
            <w:vAlign w:val="center"/>
          </w:tcPr>
          <w:p w14:paraId="15CDE692">
            <w:pPr>
              <w:spacing w:line="260" w:lineRule="exact"/>
              <w:rPr>
                <w:rFonts w:ascii="宋体" w:hAnsi="宋体"/>
                <w:color w:val="auto"/>
              </w:rPr>
            </w:pPr>
            <w:r>
              <w:rPr>
                <w:rFonts w:hint="eastAsia" w:ascii="宋体" w:hAnsi="宋体"/>
                <w:color w:val="auto"/>
              </w:rPr>
              <w:t>配备了灭火毯、消防桶等。卸油区、加油区设置了环保沟，隔油池。</w:t>
            </w:r>
          </w:p>
        </w:tc>
        <w:tc>
          <w:tcPr>
            <w:tcW w:w="364" w:type="pct"/>
            <w:vAlign w:val="center"/>
          </w:tcPr>
          <w:p w14:paraId="4F327556">
            <w:pPr>
              <w:spacing w:line="260" w:lineRule="exact"/>
              <w:jc w:val="center"/>
              <w:rPr>
                <w:rFonts w:ascii="宋体" w:hAnsi="宋体"/>
                <w:color w:val="auto"/>
              </w:rPr>
            </w:pPr>
            <w:r>
              <w:rPr>
                <w:rFonts w:hint="eastAsia" w:ascii="宋体" w:hAnsi="宋体"/>
                <w:color w:val="auto"/>
              </w:rPr>
              <w:t>符合</w:t>
            </w:r>
          </w:p>
        </w:tc>
      </w:tr>
      <w:tr w14:paraId="58122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4A65956A">
            <w:pPr>
              <w:spacing w:line="260" w:lineRule="exact"/>
              <w:jc w:val="center"/>
              <w:rPr>
                <w:color w:val="auto"/>
              </w:rPr>
            </w:pPr>
            <w:r>
              <w:rPr>
                <w:rFonts w:hint="eastAsia"/>
                <w:color w:val="auto"/>
              </w:rPr>
              <w:t>2.3.3</w:t>
            </w:r>
          </w:p>
        </w:tc>
        <w:tc>
          <w:tcPr>
            <w:tcW w:w="2898" w:type="pct"/>
            <w:vAlign w:val="center"/>
          </w:tcPr>
          <w:p w14:paraId="475FB6A7">
            <w:pPr>
              <w:spacing w:line="260" w:lineRule="exact"/>
              <w:rPr>
                <w:color w:val="auto"/>
              </w:rPr>
            </w:pPr>
            <w:r>
              <w:rPr>
                <w:color w:val="auto"/>
              </w:rPr>
              <w:t>大量泄漏：构筑围堤或挖坑收容。用泡沫覆盖，减少蒸发。喷水雾能减少蒸发，但不能降低泄漏物在受限制空间内的易燃性。用防爆泵转移至槽车或专用收集器内。</w:t>
            </w:r>
          </w:p>
        </w:tc>
        <w:tc>
          <w:tcPr>
            <w:tcW w:w="1310" w:type="pct"/>
            <w:vAlign w:val="center"/>
          </w:tcPr>
          <w:p w14:paraId="1E38EA73">
            <w:pPr>
              <w:spacing w:line="260" w:lineRule="exact"/>
              <w:rPr>
                <w:rFonts w:ascii="宋体" w:hAnsi="宋体"/>
                <w:color w:val="auto"/>
              </w:rPr>
            </w:pPr>
            <w:r>
              <w:rPr>
                <w:rFonts w:hint="eastAsia" w:ascii="宋体" w:hAnsi="宋体"/>
                <w:color w:val="auto"/>
              </w:rPr>
              <w:t>SF双层储罐</w:t>
            </w:r>
          </w:p>
        </w:tc>
        <w:tc>
          <w:tcPr>
            <w:tcW w:w="364" w:type="pct"/>
            <w:vAlign w:val="center"/>
          </w:tcPr>
          <w:p w14:paraId="55DFAD7A">
            <w:pPr>
              <w:spacing w:line="260" w:lineRule="exact"/>
              <w:jc w:val="center"/>
              <w:rPr>
                <w:rFonts w:ascii="宋体" w:hAnsi="宋体"/>
                <w:color w:val="auto"/>
              </w:rPr>
            </w:pPr>
            <w:r>
              <w:rPr>
                <w:rFonts w:hint="eastAsia" w:ascii="宋体" w:hAnsi="宋体"/>
                <w:color w:val="auto"/>
              </w:rPr>
              <w:t>符合</w:t>
            </w:r>
          </w:p>
        </w:tc>
      </w:tr>
      <w:tr w14:paraId="69B80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018FE065">
            <w:pPr>
              <w:spacing w:line="260" w:lineRule="exact"/>
              <w:jc w:val="center"/>
              <w:rPr>
                <w:color w:val="auto"/>
              </w:rPr>
            </w:pPr>
            <w:r>
              <w:rPr>
                <w:rFonts w:hint="eastAsia"/>
                <w:color w:val="auto"/>
              </w:rPr>
              <w:t>2.3.4</w:t>
            </w:r>
          </w:p>
        </w:tc>
        <w:tc>
          <w:tcPr>
            <w:tcW w:w="2898" w:type="pct"/>
            <w:vAlign w:val="center"/>
          </w:tcPr>
          <w:p w14:paraId="1ADA9638">
            <w:pPr>
              <w:spacing w:line="260" w:lineRule="exact"/>
              <w:rPr>
                <w:color w:val="auto"/>
              </w:rPr>
            </w:pPr>
            <w:r>
              <w:rPr>
                <w:color w:val="auto"/>
              </w:rPr>
              <w:t>作为一项紧急预防措施，泄漏隔离距离至少为 50m。如果为大量泄漏，下风向的初始疏散距离应至少为 300m。</w:t>
            </w:r>
          </w:p>
        </w:tc>
        <w:tc>
          <w:tcPr>
            <w:tcW w:w="1310" w:type="pct"/>
            <w:vAlign w:val="center"/>
          </w:tcPr>
          <w:p w14:paraId="525BA2F0">
            <w:pPr>
              <w:spacing w:line="260" w:lineRule="exact"/>
              <w:rPr>
                <w:rFonts w:ascii="宋体" w:hAnsi="宋体"/>
                <w:color w:val="auto"/>
              </w:rPr>
            </w:pPr>
            <w:r>
              <w:rPr>
                <w:rFonts w:hint="eastAsia" w:ascii="宋体" w:hAnsi="宋体"/>
                <w:color w:val="auto"/>
              </w:rPr>
              <w:t>制定了应急预案并备案，按要求定期组织了演练。</w:t>
            </w:r>
          </w:p>
        </w:tc>
        <w:tc>
          <w:tcPr>
            <w:tcW w:w="364" w:type="pct"/>
            <w:vAlign w:val="center"/>
          </w:tcPr>
          <w:p w14:paraId="34ABF537">
            <w:pPr>
              <w:spacing w:line="260" w:lineRule="exact"/>
              <w:jc w:val="center"/>
              <w:rPr>
                <w:rFonts w:ascii="宋体" w:hAnsi="宋体"/>
                <w:color w:val="auto"/>
              </w:rPr>
            </w:pPr>
            <w:r>
              <w:rPr>
                <w:rFonts w:hint="eastAsia" w:ascii="宋体" w:hAnsi="宋体"/>
                <w:color w:val="auto"/>
              </w:rPr>
              <w:t>符合</w:t>
            </w:r>
          </w:p>
        </w:tc>
      </w:tr>
    </w:tbl>
    <w:p w14:paraId="7E668DCC">
      <w:pPr>
        <w:spacing w:line="600" w:lineRule="exact"/>
        <w:ind w:firstLine="57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该站对重点监管的危险化学品汽油按规章要求落实了相关安全措施和应急处置要求。</w:t>
      </w:r>
    </w:p>
    <w:p w14:paraId="7413E044">
      <w:pPr>
        <w:pStyle w:val="3"/>
        <w:jc w:val="center"/>
        <w:rPr>
          <w:rFonts w:ascii="宋体" w:hAnsi="宋体"/>
          <w:color w:val="auto"/>
          <w:sz w:val="30"/>
          <w:szCs w:val="30"/>
        </w:rPr>
      </w:pPr>
      <w:bookmarkStart w:id="192" w:name="_Toc9959"/>
      <w:bookmarkStart w:id="193" w:name="_Toc8063"/>
      <w:bookmarkStart w:id="194" w:name="_Toc92712598"/>
      <w:r>
        <w:rPr>
          <w:rFonts w:hint="eastAsia" w:ascii="宋体" w:hAnsi="宋体"/>
          <w:color w:val="auto"/>
          <w:sz w:val="30"/>
          <w:szCs w:val="30"/>
        </w:rPr>
        <w:t>5.12 重大事故隐患情况分析</w:t>
      </w:r>
      <w:bookmarkEnd w:id="191"/>
      <w:bookmarkEnd w:id="192"/>
      <w:bookmarkEnd w:id="193"/>
      <w:bookmarkEnd w:id="194"/>
    </w:p>
    <w:p w14:paraId="06F4FA1B">
      <w:pPr>
        <w:spacing w:line="600" w:lineRule="exact"/>
        <w:ind w:firstLine="570"/>
        <w:rPr>
          <w:rFonts w:ascii="宋体" w:hAnsi="宋体"/>
          <w:color w:val="auto"/>
          <w:sz w:val="28"/>
          <w:szCs w:val="28"/>
        </w:rPr>
      </w:pPr>
      <w:r>
        <w:rPr>
          <w:rFonts w:ascii="宋体" w:hAnsi="宋体"/>
          <w:color w:val="auto"/>
          <w:sz w:val="28"/>
          <w:szCs w:val="28"/>
        </w:rPr>
        <w:t>根据《危险化学品生产经营单位和化工重大生产安全事故隐患判定标准（试行）》</w:t>
      </w:r>
      <w:r>
        <w:rPr>
          <w:rFonts w:hint="eastAsia" w:ascii="宋体" w:hAnsi="宋体"/>
          <w:color w:val="auto"/>
          <w:sz w:val="28"/>
          <w:szCs w:val="28"/>
        </w:rPr>
        <w:t>（安监总管三〔2017〕121号）</w:t>
      </w:r>
      <w:r>
        <w:rPr>
          <w:rFonts w:ascii="宋体" w:hAnsi="宋体"/>
          <w:color w:val="auto"/>
          <w:sz w:val="28"/>
          <w:szCs w:val="28"/>
        </w:rPr>
        <w:t>制定检查表，对</w:t>
      </w:r>
      <w:r>
        <w:rPr>
          <w:rFonts w:hint="eastAsia" w:ascii="宋体" w:hAnsi="宋体"/>
          <w:color w:val="auto"/>
          <w:sz w:val="28"/>
          <w:szCs w:val="28"/>
        </w:rPr>
        <w:t>该加油站</w:t>
      </w:r>
      <w:r>
        <w:rPr>
          <w:rFonts w:ascii="宋体" w:hAnsi="宋体"/>
          <w:color w:val="auto"/>
          <w:sz w:val="28"/>
          <w:szCs w:val="28"/>
        </w:rPr>
        <w:t>是否存在重大安全隐患项进行评价，评价结果见下表</w:t>
      </w:r>
      <w:r>
        <w:rPr>
          <w:rFonts w:hint="eastAsia" w:ascii="宋体" w:hAnsi="宋体"/>
          <w:color w:val="auto"/>
          <w:sz w:val="28"/>
          <w:szCs w:val="28"/>
        </w:rPr>
        <w:t>5.12-1</w:t>
      </w:r>
      <w:r>
        <w:rPr>
          <w:rFonts w:ascii="宋体" w:hAnsi="宋体"/>
          <w:color w:val="auto"/>
          <w:sz w:val="28"/>
          <w:szCs w:val="28"/>
        </w:rPr>
        <w:t>。</w:t>
      </w:r>
    </w:p>
    <w:p w14:paraId="4ADB61F9">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 xml:space="preserve">5.12-1 </w:t>
      </w:r>
      <w:r>
        <w:rPr>
          <w:rFonts w:ascii="宋体" w:hAnsi="宋体"/>
          <w:color w:val="auto"/>
          <w:sz w:val="28"/>
          <w:szCs w:val="28"/>
        </w:rPr>
        <w:t xml:space="preserve"> 重大事故隐患安全检查表</w:t>
      </w:r>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76"/>
        <w:gridCol w:w="5254"/>
        <w:gridCol w:w="2551"/>
        <w:gridCol w:w="700"/>
      </w:tblGrid>
      <w:tr w14:paraId="3F9EF3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5" w:hRule="atLeast"/>
          <w:jc w:val="center"/>
        </w:trPr>
        <w:tc>
          <w:tcPr>
            <w:tcW w:w="418" w:type="pct"/>
            <w:vAlign w:val="center"/>
          </w:tcPr>
          <w:p w14:paraId="578F176B">
            <w:pPr>
              <w:spacing w:line="400" w:lineRule="exact"/>
              <w:jc w:val="center"/>
              <w:rPr>
                <w:b/>
                <w:color w:val="auto"/>
              </w:rPr>
            </w:pPr>
            <w:r>
              <w:rPr>
                <w:rFonts w:hint="eastAsia"/>
                <w:b/>
                <w:color w:val="auto"/>
              </w:rPr>
              <w:t>序号</w:t>
            </w:r>
          </w:p>
        </w:tc>
        <w:tc>
          <w:tcPr>
            <w:tcW w:w="2830" w:type="pct"/>
            <w:vAlign w:val="center"/>
          </w:tcPr>
          <w:p w14:paraId="4A3A04A2">
            <w:pPr>
              <w:spacing w:line="400" w:lineRule="exact"/>
              <w:jc w:val="center"/>
              <w:rPr>
                <w:b/>
                <w:color w:val="auto"/>
              </w:rPr>
            </w:pPr>
            <w:r>
              <w:rPr>
                <w:rFonts w:hint="eastAsia"/>
                <w:b/>
                <w:color w:val="auto"/>
              </w:rPr>
              <w:t>项目和内容</w:t>
            </w:r>
          </w:p>
        </w:tc>
        <w:tc>
          <w:tcPr>
            <w:tcW w:w="1374" w:type="pct"/>
            <w:vAlign w:val="center"/>
          </w:tcPr>
          <w:p w14:paraId="46039F7F">
            <w:pPr>
              <w:spacing w:line="400" w:lineRule="exact"/>
              <w:jc w:val="center"/>
              <w:rPr>
                <w:b/>
                <w:color w:val="auto"/>
              </w:rPr>
            </w:pPr>
            <w:r>
              <w:rPr>
                <w:rFonts w:hint="eastAsia"/>
                <w:b/>
                <w:color w:val="auto"/>
              </w:rPr>
              <w:t>检查情况记录</w:t>
            </w:r>
          </w:p>
        </w:tc>
        <w:tc>
          <w:tcPr>
            <w:tcW w:w="377" w:type="pct"/>
            <w:vAlign w:val="center"/>
          </w:tcPr>
          <w:p w14:paraId="5AD2D937">
            <w:pPr>
              <w:spacing w:line="400" w:lineRule="exact"/>
              <w:jc w:val="center"/>
              <w:rPr>
                <w:b/>
                <w:color w:val="auto"/>
              </w:rPr>
            </w:pPr>
            <w:r>
              <w:rPr>
                <w:rFonts w:hint="eastAsia"/>
                <w:b/>
                <w:color w:val="auto"/>
              </w:rPr>
              <w:t>检查结果</w:t>
            </w:r>
          </w:p>
        </w:tc>
      </w:tr>
      <w:tr w14:paraId="2EC8F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418" w:type="pct"/>
            <w:vAlign w:val="center"/>
          </w:tcPr>
          <w:p w14:paraId="0234D876">
            <w:pPr>
              <w:numPr>
                <w:ilvl w:val="0"/>
                <w:numId w:val="11"/>
              </w:numPr>
              <w:spacing w:line="400" w:lineRule="exact"/>
              <w:jc w:val="center"/>
              <w:rPr>
                <w:color w:val="auto"/>
              </w:rPr>
            </w:pPr>
          </w:p>
        </w:tc>
        <w:tc>
          <w:tcPr>
            <w:tcW w:w="2830" w:type="pct"/>
            <w:vAlign w:val="center"/>
          </w:tcPr>
          <w:p w14:paraId="1B22D5ED">
            <w:pPr>
              <w:spacing w:line="400" w:lineRule="exact"/>
              <w:rPr>
                <w:rFonts w:ascii="宋体" w:hAnsi="宋体"/>
                <w:color w:val="auto"/>
              </w:rPr>
            </w:pPr>
            <w:r>
              <w:rPr>
                <w:rFonts w:hint="eastAsia" w:ascii="宋体" w:hAnsi="宋体"/>
                <w:color w:val="auto"/>
              </w:rPr>
              <w:t>一、危险化学品生产、经营单位主要负责人和安全生产管理人员未依法经考核合格。</w:t>
            </w:r>
          </w:p>
        </w:tc>
        <w:tc>
          <w:tcPr>
            <w:tcW w:w="1374" w:type="pct"/>
            <w:vAlign w:val="center"/>
          </w:tcPr>
          <w:p w14:paraId="614E36C9">
            <w:pPr>
              <w:spacing w:line="400" w:lineRule="exact"/>
              <w:rPr>
                <w:color w:val="auto"/>
              </w:rPr>
            </w:pPr>
            <w:r>
              <w:rPr>
                <w:rFonts w:hint="eastAsia" w:ascii="宋体" w:hAnsi="宋体"/>
                <w:color w:val="auto"/>
              </w:rPr>
              <w:t>主要负责人取证且在有效期内。</w:t>
            </w:r>
          </w:p>
        </w:tc>
        <w:tc>
          <w:tcPr>
            <w:tcW w:w="377" w:type="pct"/>
            <w:vAlign w:val="center"/>
          </w:tcPr>
          <w:p w14:paraId="57160CBC">
            <w:pPr>
              <w:spacing w:line="400" w:lineRule="exact"/>
              <w:jc w:val="center"/>
              <w:rPr>
                <w:rFonts w:ascii="宋体" w:hAnsi="宋体"/>
                <w:color w:val="auto"/>
              </w:rPr>
            </w:pPr>
            <w:r>
              <w:rPr>
                <w:rFonts w:hint="eastAsia" w:ascii="宋体" w:hAnsi="宋体"/>
                <w:color w:val="auto"/>
              </w:rPr>
              <w:t>符合</w:t>
            </w:r>
          </w:p>
        </w:tc>
      </w:tr>
      <w:tr w14:paraId="15BB59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418" w:type="pct"/>
            <w:vAlign w:val="center"/>
          </w:tcPr>
          <w:p w14:paraId="0AA7C385">
            <w:pPr>
              <w:numPr>
                <w:ilvl w:val="0"/>
                <w:numId w:val="11"/>
              </w:numPr>
              <w:spacing w:line="400" w:lineRule="exact"/>
              <w:jc w:val="center"/>
              <w:rPr>
                <w:color w:val="auto"/>
              </w:rPr>
            </w:pPr>
          </w:p>
        </w:tc>
        <w:tc>
          <w:tcPr>
            <w:tcW w:w="2830" w:type="pct"/>
            <w:vAlign w:val="center"/>
          </w:tcPr>
          <w:p w14:paraId="0AC75650">
            <w:pPr>
              <w:spacing w:line="400" w:lineRule="exact"/>
              <w:rPr>
                <w:rFonts w:ascii="宋体" w:hAnsi="宋体"/>
                <w:color w:val="auto"/>
              </w:rPr>
            </w:pPr>
            <w:r>
              <w:rPr>
                <w:rFonts w:hint="eastAsia" w:ascii="宋体" w:hAnsi="宋体"/>
                <w:color w:val="auto"/>
              </w:rPr>
              <w:t>二、特种作业人员未持证上岗。</w:t>
            </w:r>
          </w:p>
        </w:tc>
        <w:tc>
          <w:tcPr>
            <w:tcW w:w="1374" w:type="pct"/>
            <w:vAlign w:val="center"/>
          </w:tcPr>
          <w:p w14:paraId="368AB2ED">
            <w:pPr>
              <w:spacing w:line="400" w:lineRule="exact"/>
              <w:rPr>
                <w:rFonts w:ascii="宋体" w:hAnsi="宋体"/>
                <w:color w:val="auto"/>
              </w:rPr>
            </w:pPr>
            <w:r>
              <w:rPr>
                <w:rFonts w:hint="eastAsia" w:ascii="宋体" w:hAnsi="宋体"/>
                <w:color w:val="auto"/>
              </w:rPr>
              <w:t>站内无特种作业人员</w:t>
            </w:r>
          </w:p>
        </w:tc>
        <w:tc>
          <w:tcPr>
            <w:tcW w:w="377" w:type="pct"/>
            <w:vAlign w:val="center"/>
          </w:tcPr>
          <w:p w14:paraId="66415658">
            <w:pPr>
              <w:spacing w:line="400" w:lineRule="exact"/>
              <w:jc w:val="center"/>
              <w:rPr>
                <w:rFonts w:ascii="宋体" w:hAnsi="宋体"/>
                <w:color w:val="auto"/>
              </w:rPr>
            </w:pPr>
            <w:r>
              <w:rPr>
                <w:rFonts w:hint="eastAsia" w:ascii="宋体" w:hAnsi="宋体"/>
                <w:color w:val="auto"/>
              </w:rPr>
              <w:t>符合</w:t>
            </w:r>
          </w:p>
        </w:tc>
      </w:tr>
      <w:tr w14:paraId="1506D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5" w:hRule="atLeast"/>
          <w:jc w:val="center"/>
        </w:trPr>
        <w:tc>
          <w:tcPr>
            <w:tcW w:w="418" w:type="pct"/>
            <w:vAlign w:val="center"/>
          </w:tcPr>
          <w:p w14:paraId="787A2C55">
            <w:pPr>
              <w:numPr>
                <w:ilvl w:val="0"/>
                <w:numId w:val="11"/>
              </w:numPr>
              <w:spacing w:line="400" w:lineRule="exact"/>
              <w:jc w:val="center"/>
              <w:rPr>
                <w:color w:val="auto"/>
              </w:rPr>
            </w:pPr>
          </w:p>
        </w:tc>
        <w:tc>
          <w:tcPr>
            <w:tcW w:w="2830" w:type="pct"/>
            <w:vAlign w:val="center"/>
          </w:tcPr>
          <w:p w14:paraId="188892F3">
            <w:pPr>
              <w:spacing w:line="400" w:lineRule="exact"/>
              <w:rPr>
                <w:rFonts w:ascii="宋体" w:hAnsi="宋体"/>
                <w:color w:val="auto"/>
              </w:rPr>
            </w:pPr>
            <w:r>
              <w:rPr>
                <w:rFonts w:hint="eastAsia" w:ascii="宋体" w:hAnsi="宋体"/>
                <w:color w:val="auto"/>
              </w:rPr>
              <w:t>三、涉及“两重点一重大”的生产装置、储存设施外部安全防护距离不符合国家标准要求。</w:t>
            </w:r>
          </w:p>
        </w:tc>
        <w:tc>
          <w:tcPr>
            <w:tcW w:w="1374" w:type="pct"/>
            <w:vAlign w:val="center"/>
          </w:tcPr>
          <w:p w14:paraId="74D3AEBF">
            <w:pPr>
              <w:spacing w:line="400" w:lineRule="exact"/>
              <w:rPr>
                <w:rFonts w:ascii="宋体" w:hAnsi="宋体"/>
                <w:color w:val="auto"/>
              </w:rPr>
            </w:pPr>
            <w:r>
              <w:rPr>
                <w:rFonts w:hint="eastAsia" w:ascii="宋体" w:hAnsi="宋体"/>
                <w:color w:val="auto"/>
              </w:rPr>
              <w:t>安全距离符合GB 50156-2021的要求</w:t>
            </w:r>
          </w:p>
        </w:tc>
        <w:tc>
          <w:tcPr>
            <w:tcW w:w="377" w:type="pct"/>
            <w:vAlign w:val="center"/>
          </w:tcPr>
          <w:p w14:paraId="56D0B4BB">
            <w:pPr>
              <w:spacing w:line="400" w:lineRule="exact"/>
              <w:jc w:val="center"/>
              <w:rPr>
                <w:rFonts w:ascii="宋体" w:hAnsi="宋体"/>
                <w:color w:val="auto"/>
              </w:rPr>
            </w:pPr>
            <w:r>
              <w:rPr>
                <w:rFonts w:hint="eastAsia" w:ascii="宋体" w:hAnsi="宋体"/>
                <w:color w:val="auto"/>
              </w:rPr>
              <w:t>符合</w:t>
            </w:r>
          </w:p>
        </w:tc>
      </w:tr>
      <w:tr w14:paraId="29DC6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5" w:hRule="atLeast"/>
          <w:jc w:val="center"/>
        </w:trPr>
        <w:tc>
          <w:tcPr>
            <w:tcW w:w="418" w:type="pct"/>
            <w:vAlign w:val="center"/>
          </w:tcPr>
          <w:p w14:paraId="640B12B1">
            <w:pPr>
              <w:numPr>
                <w:ilvl w:val="0"/>
                <w:numId w:val="11"/>
              </w:numPr>
              <w:spacing w:line="400" w:lineRule="exact"/>
              <w:jc w:val="center"/>
              <w:rPr>
                <w:color w:val="auto"/>
              </w:rPr>
            </w:pPr>
          </w:p>
        </w:tc>
        <w:tc>
          <w:tcPr>
            <w:tcW w:w="2830" w:type="pct"/>
            <w:vAlign w:val="center"/>
          </w:tcPr>
          <w:p w14:paraId="51DC6C90">
            <w:pPr>
              <w:spacing w:line="400" w:lineRule="exact"/>
              <w:rPr>
                <w:rFonts w:ascii="宋体" w:hAnsi="宋体"/>
                <w:color w:val="auto"/>
              </w:rPr>
            </w:pPr>
            <w:r>
              <w:rPr>
                <w:rFonts w:hint="eastAsia" w:ascii="宋体" w:hAnsi="宋体"/>
                <w:color w:val="auto"/>
              </w:rPr>
              <w:t>四、涉及重点监管危险化工工艺的装置未实现自动化控制，系统未实现紧急停车功能，装备的自动化控制系统、紧急停车系统未投入使用。</w:t>
            </w:r>
          </w:p>
        </w:tc>
        <w:tc>
          <w:tcPr>
            <w:tcW w:w="1374" w:type="pct"/>
            <w:vAlign w:val="center"/>
          </w:tcPr>
          <w:p w14:paraId="2606FE20">
            <w:pPr>
              <w:spacing w:line="400" w:lineRule="exact"/>
              <w:rPr>
                <w:rFonts w:ascii="宋体" w:hAnsi="宋体"/>
                <w:color w:val="auto"/>
              </w:rPr>
            </w:pPr>
            <w:r>
              <w:rPr>
                <w:rFonts w:hint="eastAsia" w:ascii="宋体" w:hAnsi="宋体"/>
                <w:color w:val="auto"/>
              </w:rPr>
              <w:t>不涉及重点监管危险化工工艺</w:t>
            </w:r>
          </w:p>
        </w:tc>
        <w:tc>
          <w:tcPr>
            <w:tcW w:w="377" w:type="pct"/>
            <w:vAlign w:val="center"/>
          </w:tcPr>
          <w:p w14:paraId="1EB90D59">
            <w:pPr>
              <w:spacing w:line="400" w:lineRule="exact"/>
              <w:jc w:val="center"/>
              <w:rPr>
                <w:rFonts w:ascii="宋体" w:hAnsi="宋体"/>
                <w:color w:val="auto"/>
              </w:rPr>
            </w:pPr>
            <w:r>
              <w:rPr>
                <w:rFonts w:hint="eastAsia" w:ascii="宋体" w:hAnsi="宋体"/>
                <w:color w:val="auto"/>
              </w:rPr>
              <w:t>符合</w:t>
            </w:r>
          </w:p>
        </w:tc>
      </w:tr>
      <w:tr w14:paraId="37BEE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3362969D">
            <w:pPr>
              <w:numPr>
                <w:ilvl w:val="0"/>
                <w:numId w:val="11"/>
              </w:numPr>
              <w:spacing w:line="400" w:lineRule="exact"/>
              <w:jc w:val="center"/>
              <w:rPr>
                <w:color w:val="auto"/>
              </w:rPr>
            </w:pPr>
          </w:p>
        </w:tc>
        <w:tc>
          <w:tcPr>
            <w:tcW w:w="2830" w:type="pct"/>
            <w:vAlign w:val="center"/>
          </w:tcPr>
          <w:p w14:paraId="3CE5F0D9">
            <w:pPr>
              <w:spacing w:line="400" w:lineRule="exact"/>
              <w:rPr>
                <w:rFonts w:ascii="宋体" w:hAnsi="宋体"/>
                <w:color w:val="auto"/>
              </w:rPr>
            </w:pPr>
            <w:r>
              <w:rPr>
                <w:rFonts w:hint="eastAsia" w:ascii="宋体" w:hAnsi="宋体"/>
                <w:color w:val="auto"/>
              </w:rPr>
              <w:t>五、构成一级、二级重大危险源的危险化学品罐区未实现紧急切断功能；涉及毒性气体、液化气体、剧毒液体的一级、二级重大危险源的危险化学品罐区未配备独立的安全仪表系统。</w:t>
            </w:r>
          </w:p>
        </w:tc>
        <w:tc>
          <w:tcPr>
            <w:tcW w:w="1374" w:type="pct"/>
            <w:vAlign w:val="center"/>
          </w:tcPr>
          <w:p w14:paraId="5486A653">
            <w:pPr>
              <w:spacing w:line="400" w:lineRule="exact"/>
              <w:rPr>
                <w:rFonts w:ascii="宋体" w:hAnsi="宋体"/>
                <w:color w:val="auto"/>
              </w:rPr>
            </w:pPr>
            <w:r>
              <w:rPr>
                <w:rFonts w:hint="eastAsia" w:ascii="宋体" w:hAnsi="宋体"/>
                <w:color w:val="auto"/>
              </w:rPr>
              <w:t>不构成重大危险源</w:t>
            </w:r>
          </w:p>
        </w:tc>
        <w:tc>
          <w:tcPr>
            <w:tcW w:w="377" w:type="pct"/>
            <w:vAlign w:val="center"/>
          </w:tcPr>
          <w:p w14:paraId="666F500E">
            <w:pPr>
              <w:spacing w:line="400" w:lineRule="exact"/>
              <w:jc w:val="center"/>
              <w:rPr>
                <w:rFonts w:ascii="宋体" w:hAnsi="宋体"/>
                <w:color w:val="auto"/>
              </w:rPr>
            </w:pPr>
            <w:r>
              <w:rPr>
                <w:rFonts w:hint="eastAsia" w:ascii="宋体" w:hAnsi="宋体"/>
                <w:color w:val="auto"/>
              </w:rPr>
              <w:t>符合</w:t>
            </w:r>
          </w:p>
        </w:tc>
      </w:tr>
      <w:tr w14:paraId="6F2579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5" w:hRule="atLeast"/>
          <w:jc w:val="center"/>
        </w:trPr>
        <w:tc>
          <w:tcPr>
            <w:tcW w:w="418" w:type="pct"/>
            <w:vAlign w:val="center"/>
          </w:tcPr>
          <w:p w14:paraId="7999076B">
            <w:pPr>
              <w:numPr>
                <w:ilvl w:val="0"/>
                <w:numId w:val="11"/>
              </w:numPr>
              <w:spacing w:line="400" w:lineRule="exact"/>
              <w:jc w:val="center"/>
              <w:rPr>
                <w:color w:val="auto"/>
              </w:rPr>
            </w:pPr>
          </w:p>
        </w:tc>
        <w:tc>
          <w:tcPr>
            <w:tcW w:w="2830" w:type="pct"/>
            <w:vAlign w:val="center"/>
          </w:tcPr>
          <w:p w14:paraId="77D02D9E">
            <w:pPr>
              <w:spacing w:line="400" w:lineRule="exact"/>
              <w:rPr>
                <w:rFonts w:ascii="宋体" w:hAnsi="宋体"/>
                <w:color w:val="auto"/>
              </w:rPr>
            </w:pPr>
            <w:r>
              <w:rPr>
                <w:rFonts w:hint="eastAsia" w:ascii="宋体" w:hAnsi="宋体"/>
                <w:color w:val="auto"/>
              </w:rPr>
              <w:t>六、全压力式液化烃储罐未按国家标准设置注水措施。</w:t>
            </w:r>
          </w:p>
        </w:tc>
        <w:tc>
          <w:tcPr>
            <w:tcW w:w="1374" w:type="pct"/>
            <w:vAlign w:val="center"/>
          </w:tcPr>
          <w:p w14:paraId="554291A9">
            <w:pPr>
              <w:spacing w:line="400" w:lineRule="exact"/>
              <w:rPr>
                <w:rFonts w:ascii="宋体" w:hAnsi="宋体"/>
                <w:color w:val="auto"/>
              </w:rPr>
            </w:pPr>
            <w:r>
              <w:rPr>
                <w:rFonts w:hint="eastAsia" w:ascii="宋体" w:hAnsi="宋体"/>
                <w:color w:val="auto"/>
              </w:rPr>
              <w:t>不涉及液化烃储罐</w:t>
            </w:r>
          </w:p>
        </w:tc>
        <w:tc>
          <w:tcPr>
            <w:tcW w:w="377" w:type="pct"/>
            <w:vAlign w:val="center"/>
          </w:tcPr>
          <w:p w14:paraId="263C1583">
            <w:pPr>
              <w:spacing w:line="400" w:lineRule="exact"/>
              <w:jc w:val="center"/>
              <w:rPr>
                <w:rFonts w:ascii="宋体" w:hAnsi="宋体"/>
                <w:color w:val="auto"/>
              </w:rPr>
            </w:pPr>
            <w:r>
              <w:rPr>
                <w:rFonts w:hint="eastAsia" w:ascii="宋体" w:hAnsi="宋体"/>
                <w:color w:val="auto"/>
              </w:rPr>
              <w:t>符合</w:t>
            </w:r>
          </w:p>
        </w:tc>
      </w:tr>
      <w:tr w14:paraId="112246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5A8C5E4B">
            <w:pPr>
              <w:numPr>
                <w:ilvl w:val="0"/>
                <w:numId w:val="11"/>
              </w:numPr>
              <w:spacing w:line="400" w:lineRule="exact"/>
              <w:jc w:val="center"/>
              <w:rPr>
                <w:color w:val="auto"/>
              </w:rPr>
            </w:pPr>
          </w:p>
        </w:tc>
        <w:tc>
          <w:tcPr>
            <w:tcW w:w="2830" w:type="pct"/>
            <w:vAlign w:val="center"/>
          </w:tcPr>
          <w:p w14:paraId="6355B0FE">
            <w:pPr>
              <w:spacing w:line="400" w:lineRule="exact"/>
              <w:rPr>
                <w:rFonts w:ascii="宋体" w:hAnsi="宋体"/>
                <w:color w:val="auto"/>
              </w:rPr>
            </w:pPr>
            <w:r>
              <w:rPr>
                <w:rFonts w:hint="eastAsia" w:ascii="宋体" w:hAnsi="宋体"/>
                <w:color w:val="auto"/>
              </w:rPr>
              <w:t>七、液化烃、液氨、液氯等易燃易爆、有毒有害液化气体的充装未使用万向管道充装系统。</w:t>
            </w:r>
          </w:p>
        </w:tc>
        <w:tc>
          <w:tcPr>
            <w:tcW w:w="1374" w:type="pct"/>
            <w:vAlign w:val="center"/>
          </w:tcPr>
          <w:p w14:paraId="39190794">
            <w:pPr>
              <w:spacing w:line="400" w:lineRule="exact"/>
              <w:rPr>
                <w:rFonts w:ascii="宋体" w:hAnsi="宋体"/>
                <w:color w:val="auto"/>
              </w:rPr>
            </w:pPr>
            <w:r>
              <w:rPr>
                <w:rFonts w:hint="eastAsia" w:ascii="宋体" w:hAnsi="宋体"/>
                <w:color w:val="auto"/>
              </w:rPr>
              <w:t>不涉及液化气体充装</w:t>
            </w:r>
          </w:p>
        </w:tc>
        <w:tc>
          <w:tcPr>
            <w:tcW w:w="377" w:type="pct"/>
            <w:vAlign w:val="center"/>
          </w:tcPr>
          <w:p w14:paraId="7EEA2567">
            <w:pPr>
              <w:spacing w:line="400" w:lineRule="exact"/>
              <w:jc w:val="center"/>
              <w:rPr>
                <w:rFonts w:ascii="宋体" w:hAnsi="宋体"/>
                <w:color w:val="auto"/>
              </w:rPr>
            </w:pPr>
            <w:r>
              <w:rPr>
                <w:rFonts w:hint="eastAsia" w:ascii="宋体" w:hAnsi="宋体"/>
                <w:color w:val="auto"/>
              </w:rPr>
              <w:t>符合</w:t>
            </w:r>
          </w:p>
        </w:tc>
      </w:tr>
      <w:tr w14:paraId="2CD43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418" w:type="pct"/>
            <w:vAlign w:val="center"/>
          </w:tcPr>
          <w:p w14:paraId="775F5D10">
            <w:pPr>
              <w:numPr>
                <w:ilvl w:val="0"/>
                <w:numId w:val="11"/>
              </w:numPr>
              <w:spacing w:line="400" w:lineRule="exact"/>
              <w:jc w:val="center"/>
              <w:rPr>
                <w:color w:val="auto"/>
              </w:rPr>
            </w:pPr>
          </w:p>
        </w:tc>
        <w:tc>
          <w:tcPr>
            <w:tcW w:w="2830" w:type="pct"/>
            <w:vAlign w:val="center"/>
          </w:tcPr>
          <w:p w14:paraId="67D73BCB">
            <w:pPr>
              <w:spacing w:line="400" w:lineRule="exact"/>
              <w:rPr>
                <w:rFonts w:ascii="宋体" w:hAnsi="宋体"/>
                <w:color w:val="auto"/>
              </w:rPr>
            </w:pPr>
            <w:r>
              <w:rPr>
                <w:rFonts w:hint="eastAsia" w:ascii="宋体" w:hAnsi="宋体"/>
                <w:color w:val="auto"/>
              </w:rPr>
              <w:t>八、光气、氯气等剧毒气体及硫化氢气体管道穿越除厂区</w:t>
            </w:r>
            <w:r>
              <w:rPr>
                <w:rFonts w:hint="eastAsia" w:ascii="宋体" w:hAnsi="宋体"/>
                <w:color w:val="auto"/>
                <w:lang w:eastAsia="zh-CN"/>
              </w:rPr>
              <w:t>（</w:t>
            </w:r>
            <w:r>
              <w:rPr>
                <w:rFonts w:hint="eastAsia" w:ascii="宋体" w:hAnsi="宋体"/>
                <w:color w:val="auto"/>
              </w:rPr>
              <w:t>包括化工园区、工业园区）外的公共区域。</w:t>
            </w:r>
          </w:p>
        </w:tc>
        <w:tc>
          <w:tcPr>
            <w:tcW w:w="1374" w:type="pct"/>
            <w:vAlign w:val="center"/>
          </w:tcPr>
          <w:p w14:paraId="21D87AFC">
            <w:pPr>
              <w:spacing w:line="400" w:lineRule="exact"/>
              <w:rPr>
                <w:rFonts w:ascii="宋体" w:hAnsi="宋体"/>
                <w:color w:val="auto"/>
              </w:rPr>
            </w:pPr>
            <w:r>
              <w:rPr>
                <w:rFonts w:hint="eastAsia" w:ascii="宋体" w:hAnsi="宋体"/>
                <w:color w:val="auto"/>
              </w:rPr>
              <w:t>不涉及剧毒气体及硫化氢气体管道</w:t>
            </w:r>
          </w:p>
        </w:tc>
        <w:tc>
          <w:tcPr>
            <w:tcW w:w="377" w:type="pct"/>
            <w:vAlign w:val="center"/>
          </w:tcPr>
          <w:p w14:paraId="72CF812E">
            <w:pPr>
              <w:spacing w:line="400" w:lineRule="exact"/>
              <w:jc w:val="center"/>
              <w:rPr>
                <w:rFonts w:ascii="宋体" w:hAnsi="宋体"/>
                <w:color w:val="auto"/>
              </w:rPr>
            </w:pPr>
            <w:r>
              <w:rPr>
                <w:rFonts w:hint="eastAsia" w:ascii="宋体" w:hAnsi="宋体"/>
                <w:color w:val="auto"/>
              </w:rPr>
              <w:t>符合</w:t>
            </w:r>
          </w:p>
        </w:tc>
      </w:tr>
      <w:tr w14:paraId="2A2BD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0FB179FF">
            <w:pPr>
              <w:numPr>
                <w:ilvl w:val="0"/>
                <w:numId w:val="11"/>
              </w:numPr>
              <w:spacing w:line="400" w:lineRule="exact"/>
              <w:jc w:val="center"/>
              <w:rPr>
                <w:color w:val="auto"/>
              </w:rPr>
            </w:pPr>
          </w:p>
        </w:tc>
        <w:tc>
          <w:tcPr>
            <w:tcW w:w="2830" w:type="pct"/>
            <w:vAlign w:val="center"/>
          </w:tcPr>
          <w:p w14:paraId="279254A1">
            <w:pPr>
              <w:spacing w:line="400" w:lineRule="exact"/>
              <w:rPr>
                <w:rFonts w:ascii="宋体" w:hAnsi="宋体"/>
                <w:color w:val="auto"/>
              </w:rPr>
            </w:pPr>
            <w:r>
              <w:rPr>
                <w:rFonts w:hint="eastAsia" w:ascii="宋体" w:hAnsi="宋体"/>
                <w:color w:val="auto"/>
              </w:rPr>
              <w:t>九、地区架空电力线路穿越生产区且不符合国家标准要求。</w:t>
            </w:r>
          </w:p>
        </w:tc>
        <w:tc>
          <w:tcPr>
            <w:tcW w:w="1374" w:type="pct"/>
            <w:vAlign w:val="center"/>
          </w:tcPr>
          <w:p w14:paraId="08A294C3">
            <w:pPr>
              <w:spacing w:line="400" w:lineRule="exact"/>
              <w:rPr>
                <w:rFonts w:ascii="宋体" w:hAnsi="宋体"/>
                <w:color w:val="auto"/>
              </w:rPr>
            </w:pPr>
            <w:r>
              <w:rPr>
                <w:rFonts w:hint="eastAsia" w:ascii="宋体" w:hAnsi="宋体"/>
                <w:color w:val="auto"/>
              </w:rPr>
              <w:t>架空电力线从站外架空通过，未穿越生产区</w:t>
            </w:r>
          </w:p>
        </w:tc>
        <w:tc>
          <w:tcPr>
            <w:tcW w:w="377" w:type="pct"/>
            <w:vAlign w:val="center"/>
          </w:tcPr>
          <w:p w14:paraId="10FF5C3A">
            <w:pPr>
              <w:spacing w:line="400" w:lineRule="exact"/>
              <w:jc w:val="center"/>
              <w:rPr>
                <w:rFonts w:ascii="宋体" w:hAnsi="宋体"/>
                <w:color w:val="auto"/>
              </w:rPr>
            </w:pPr>
            <w:r>
              <w:rPr>
                <w:rFonts w:hint="eastAsia" w:ascii="宋体" w:hAnsi="宋体"/>
                <w:color w:val="auto"/>
              </w:rPr>
              <w:t>符合</w:t>
            </w:r>
          </w:p>
        </w:tc>
      </w:tr>
      <w:tr w14:paraId="22CEF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78A66EC8">
            <w:pPr>
              <w:numPr>
                <w:ilvl w:val="0"/>
                <w:numId w:val="11"/>
              </w:numPr>
              <w:spacing w:line="400" w:lineRule="exact"/>
              <w:jc w:val="center"/>
              <w:rPr>
                <w:color w:val="auto"/>
              </w:rPr>
            </w:pPr>
          </w:p>
        </w:tc>
        <w:tc>
          <w:tcPr>
            <w:tcW w:w="2830" w:type="pct"/>
            <w:vAlign w:val="center"/>
          </w:tcPr>
          <w:p w14:paraId="6A8C1A8A">
            <w:pPr>
              <w:spacing w:line="400" w:lineRule="exact"/>
              <w:rPr>
                <w:rFonts w:ascii="宋体" w:hAnsi="宋体"/>
                <w:color w:val="auto"/>
              </w:rPr>
            </w:pPr>
            <w:r>
              <w:rPr>
                <w:rFonts w:hint="eastAsia" w:ascii="宋体" w:hAnsi="宋体"/>
                <w:color w:val="auto"/>
              </w:rPr>
              <w:t>十、在役化工装置未经正规设计且未进行安全设计诊断。</w:t>
            </w:r>
          </w:p>
        </w:tc>
        <w:tc>
          <w:tcPr>
            <w:tcW w:w="1374" w:type="pct"/>
            <w:vAlign w:val="center"/>
          </w:tcPr>
          <w:p w14:paraId="63A9D533">
            <w:pPr>
              <w:spacing w:line="400" w:lineRule="exact"/>
              <w:rPr>
                <w:rFonts w:ascii="宋体" w:hAnsi="宋体"/>
                <w:color w:val="auto"/>
              </w:rPr>
            </w:pPr>
            <w:r>
              <w:rPr>
                <w:rFonts w:hint="eastAsia"/>
                <w:color w:val="auto"/>
              </w:rPr>
              <w:t>海湾工程有限公司（石化甲级）</w:t>
            </w:r>
            <w:r>
              <w:rPr>
                <w:rFonts w:hint="eastAsia" w:ascii="宋体" w:hAnsi="宋体"/>
                <w:color w:val="auto"/>
              </w:rPr>
              <w:t>进行安全设计诊断</w:t>
            </w:r>
          </w:p>
        </w:tc>
        <w:tc>
          <w:tcPr>
            <w:tcW w:w="377" w:type="pct"/>
            <w:vAlign w:val="center"/>
          </w:tcPr>
          <w:p w14:paraId="688091F7">
            <w:pPr>
              <w:spacing w:line="400" w:lineRule="exact"/>
              <w:jc w:val="center"/>
              <w:rPr>
                <w:rFonts w:ascii="宋体" w:hAnsi="宋体"/>
                <w:color w:val="auto"/>
              </w:rPr>
            </w:pPr>
            <w:r>
              <w:rPr>
                <w:rFonts w:hint="eastAsia" w:ascii="宋体" w:hAnsi="宋体"/>
                <w:color w:val="auto"/>
              </w:rPr>
              <w:t>符合</w:t>
            </w:r>
          </w:p>
        </w:tc>
      </w:tr>
      <w:tr w14:paraId="204A6A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3BBBE3B0">
            <w:pPr>
              <w:numPr>
                <w:ilvl w:val="0"/>
                <w:numId w:val="11"/>
              </w:numPr>
              <w:spacing w:line="400" w:lineRule="exact"/>
              <w:jc w:val="center"/>
              <w:rPr>
                <w:color w:val="auto"/>
              </w:rPr>
            </w:pPr>
          </w:p>
        </w:tc>
        <w:tc>
          <w:tcPr>
            <w:tcW w:w="2830" w:type="pct"/>
            <w:vAlign w:val="center"/>
          </w:tcPr>
          <w:p w14:paraId="1599246E">
            <w:pPr>
              <w:spacing w:line="400" w:lineRule="exact"/>
              <w:rPr>
                <w:rFonts w:ascii="宋体" w:hAnsi="宋体"/>
                <w:color w:val="auto"/>
              </w:rPr>
            </w:pPr>
            <w:r>
              <w:rPr>
                <w:rFonts w:hint="eastAsia" w:ascii="宋体" w:hAnsi="宋体"/>
                <w:color w:val="auto"/>
              </w:rPr>
              <w:t>十一、使用淘汰落后安全技术工艺、设备目录列出的工艺、设备。</w:t>
            </w:r>
          </w:p>
        </w:tc>
        <w:tc>
          <w:tcPr>
            <w:tcW w:w="1374" w:type="pct"/>
            <w:vAlign w:val="center"/>
          </w:tcPr>
          <w:p w14:paraId="39DDD99B">
            <w:pPr>
              <w:spacing w:line="400" w:lineRule="exact"/>
              <w:rPr>
                <w:rFonts w:ascii="宋体" w:hAnsi="宋体"/>
                <w:color w:val="auto"/>
              </w:rPr>
            </w:pPr>
            <w:r>
              <w:rPr>
                <w:rFonts w:hint="eastAsia" w:ascii="宋体" w:hAnsi="宋体"/>
                <w:color w:val="auto"/>
              </w:rPr>
              <w:t>未使用淘汰落后安全技术工艺、设备目录列出的工艺、设备</w:t>
            </w:r>
          </w:p>
        </w:tc>
        <w:tc>
          <w:tcPr>
            <w:tcW w:w="377" w:type="pct"/>
            <w:vAlign w:val="center"/>
          </w:tcPr>
          <w:p w14:paraId="5DDC8408">
            <w:pPr>
              <w:spacing w:line="400" w:lineRule="exact"/>
              <w:jc w:val="center"/>
              <w:rPr>
                <w:rFonts w:ascii="宋体" w:hAnsi="宋体"/>
                <w:color w:val="auto"/>
              </w:rPr>
            </w:pPr>
            <w:r>
              <w:rPr>
                <w:rFonts w:hint="eastAsia" w:ascii="宋体" w:hAnsi="宋体"/>
                <w:color w:val="auto"/>
              </w:rPr>
              <w:t>符合</w:t>
            </w:r>
          </w:p>
        </w:tc>
      </w:tr>
      <w:tr w14:paraId="5780A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466124E6">
            <w:pPr>
              <w:numPr>
                <w:ilvl w:val="0"/>
                <w:numId w:val="11"/>
              </w:numPr>
              <w:spacing w:line="400" w:lineRule="exact"/>
              <w:jc w:val="center"/>
              <w:rPr>
                <w:color w:val="auto"/>
              </w:rPr>
            </w:pPr>
          </w:p>
        </w:tc>
        <w:tc>
          <w:tcPr>
            <w:tcW w:w="2830" w:type="pct"/>
            <w:vAlign w:val="center"/>
          </w:tcPr>
          <w:p w14:paraId="3D10D064">
            <w:pPr>
              <w:spacing w:line="400" w:lineRule="exact"/>
              <w:rPr>
                <w:rFonts w:ascii="宋体" w:hAnsi="宋体"/>
                <w:color w:val="auto"/>
              </w:rPr>
            </w:pPr>
            <w:r>
              <w:rPr>
                <w:rFonts w:hint="eastAsia" w:ascii="宋体" w:hAnsi="宋体"/>
                <w:color w:val="auto"/>
              </w:rPr>
              <w:t>十二、涉及可燃和有毒有害气体泄漏的场所未按国家标准设置检测报警装置，爆炸危险场所未按国家标准安装使用防爆电气设备。</w:t>
            </w:r>
          </w:p>
        </w:tc>
        <w:tc>
          <w:tcPr>
            <w:tcW w:w="1374" w:type="pct"/>
            <w:vAlign w:val="center"/>
          </w:tcPr>
          <w:p w14:paraId="6CA8903C">
            <w:pPr>
              <w:spacing w:line="400" w:lineRule="exact"/>
              <w:rPr>
                <w:rFonts w:ascii="宋体" w:hAnsi="宋体"/>
                <w:color w:val="auto"/>
              </w:rPr>
            </w:pPr>
            <w:r>
              <w:rPr>
                <w:rFonts w:hint="eastAsia" w:ascii="宋体" w:hAnsi="宋体"/>
                <w:color w:val="auto"/>
              </w:rPr>
              <w:t>按国家标准设置检测报警装置，</w:t>
            </w:r>
            <w:r>
              <w:rPr>
                <w:rFonts w:ascii="宋体" w:hAnsi="宋体"/>
                <w:color w:val="auto"/>
              </w:rPr>
              <w:t>按照国家标准安装使用防爆电气设备</w:t>
            </w:r>
          </w:p>
        </w:tc>
        <w:tc>
          <w:tcPr>
            <w:tcW w:w="377" w:type="pct"/>
            <w:vAlign w:val="center"/>
          </w:tcPr>
          <w:p w14:paraId="420DFF12">
            <w:pPr>
              <w:spacing w:line="400" w:lineRule="exact"/>
              <w:jc w:val="center"/>
              <w:rPr>
                <w:rFonts w:ascii="宋体" w:hAnsi="宋体"/>
                <w:color w:val="auto"/>
              </w:rPr>
            </w:pPr>
            <w:r>
              <w:rPr>
                <w:rFonts w:hint="eastAsia" w:ascii="宋体" w:hAnsi="宋体"/>
                <w:color w:val="auto"/>
              </w:rPr>
              <w:t>符合</w:t>
            </w:r>
          </w:p>
        </w:tc>
      </w:tr>
      <w:tr w14:paraId="60A13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7627765D">
            <w:pPr>
              <w:numPr>
                <w:ilvl w:val="0"/>
                <w:numId w:val="11"/>
              </w:numPr>
              <w:spacing w:line="400" w:lineRule="exact"/>
              <w:jc w:val="center"/>
              <w:rPr>
                <w:color w:val="auto"/>
              </w:rPr>
            </w:pPr>
          </w:p>
        </w:tc>
        <w:tc>
          <w:tcPr>
            <w:tcW w:w="2830" w:type="pct"/>
            <w:vAlign w:val="center"/>
          </w:tcPr>
          <w:p w14:paraId="6648D32A">
            <w:pPr>
              <w:spacing w:line="400" w:lineRule="exact"/>
              <w:rPr>
                <w:rFonts w:ascii="宋体" w:hAnsi="宋体"/>
                <w:color w:val="auto"/>
              </w:rPr>
            </w:pPr>
            <w:r>
              <w:rPr>
                <w:rFonts w:hint="eastAsia" w:ascii="宋体" w:hAnsi="宋体"/>
                <w:color w:val="auto"/>
              </w:rPr>
              <w:t>十三、控制室或机柜间面向具有火灾、爆炸危险性装置一侧不满足国家标准关于防火防爆的要求。</w:t>
            </w:r>
          </w:p>
        </w:tc>
        <w:tc>
          <w:tcPr>
            <w:tcW w:w="1374" w:type="pct"/>
            <w:vAlign w:val="center"/>
          </w:tcPr>
          <w:p w14:paraId="46A7CA11">
            <w:pPr>
              <w:spacing w:line="400" w:lineRule="exact"/>
              <w:rPr>
                <w:rFonts w:ascii="宋体" w:hAnsi="宋体"/>
                <w:color w:val="auto"/>
              </w:rPr>
            </w:pPr>
            <w:r>
              <w:rPr>
                <w:rFonts w:hint="eastAsia" w:ascii="宋体" w:hAnsi="宋体"/>
                <w:color w:val="auto"/>
              </w:rPr>
              <w:t>不涉及控制室或机柜间</w:t>
            </w:r>
          </w:p>
        </w:tc>
        <w:tc>
          <w:tcPr>
            <w:tcW w:w="377" w:type="pct"/>
            <w:vAlign w:val="center"/>
          </w:tcPr>
          <w:p w14:paraId="34B0023F">
            <w:pPr>
              <w:spacing w:line="400" w:lineRule="exact"/>
              <w:jc w:val="center"/>
              <w:rPr>
                <w:rFonts w:ascii="宋体" w:hAnsi="宋体"/>
                <w:color w:val="auto"/>
              </w:rPr>
            </w:pPr>
            <w:r>
              <w:rPr>
                <w:rFonts w:hint="eastAsia" w:ascii="宋体" w:hAnsi="宋体"/>
                <w:color w:val="auto"/>
              </w:rPr>
              <w:t>符合</w:t>
            </w:r>
          </w:p>
        </w:tc>
      </w:tr>
      <w:tr w14:paraId="0B3D0A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566BD3A5">
            <w:pPr>
              <w:numPr>
                <w:ilvl w:val="0"/>
                <w:numId w:val="11"/>
              </w:numPr>
              <w:spacing w:line="400" w:lineRule="exact"/>
              <w:jc w:val="center"/>
              <w:rPr>
                <w:color w:val="auto"/>
              </w:rPr>
            </w:pPr>
          </w:p>
        </w:tc>
        <w:tc>
          <w:tcPr>
            <w:tcW w:w="2830" w:type="pct"/>
            <w:vAlign w:val="center"/>
          </w:tcPr>
          <w:p w14:paraId="1356FE1F">
            <w:pPr>
              <w:spacing w:line="400" w:lineRule="exact"/>
              <w:rPr>
                <w:rFonts w:ascii="宋体" w:hAnsi="宋体"/>
                <w:color w:val="auto"/>
              </w:rPr>
            </w:pPr>
            <w:r>
              <w:rPr>
                <w:rFonts w:hint="eastAsia" w:ascii="宋体" w:hAnsi="宋体"/>
                <w:color w:val="auto"/>
              </w:rPr>
              <w:t>十四、化工生产装置未按国家标准要求设置双重电源供电，自动化控制系统未设置不间断电源。</w:t>
            </w:r>
          </w:p>
        </w:tc>
        <w:tc>
          <w:tcPr>
            <w:tcW w:w="1374" w:type="pct"/>
            <w:vAlign w:val="center"/>
          </w:tcPr>
          <w:p w14:paraId="5B004087">
            <w:pPr>
              <w:spacing w:line="400" w:lineRule="exact"/>
              <w:rPr>
                <w:rFonts w:ascii="宋体" w:hAnsi="宋体"/>
                <w:color w:val="auto"/>
              </w:rPr>
            </w:pPr>
            <w:r>
              <w:rPr>
                <w:rFonts w:hint="eastAsia" w:ascii="宋体" w:hAnsi="宋体"/>
                <w:color w:val="auto"/>
              </w:rPr>
              <w:t>非生产装置配备UPS电源</w:t>
            </w:r>
          </w:p>
        </w:tc>
        <w:tc>
          <w:tcPr>
            <w:tcW w:w="377" w:type="pct"/>
            <w:vAlign w:val="center"/>
          </w:tcPr>
          <w:p w14:paraId="547930F7">
            <w:pPr>
              <w:spacing w:line="400" w:lineRule="exact"/>
              <w:jc w:val="center"/>
              <w:rPr>
                <w:rFonts w:ascii="宋体" w:hAnsi="宋体"/>
                <w:color w:val="auto"/>
              </w:rPr>
            </w:pPr>
            <w:r>
              <w:rPr>
                <w:rFonts w:hint="eastAsia" w:ascii="宋体" w:hAnsi="宋体"/>
                <w:color w:val="auto"/>
              </w:rPr>
              <w:t>符合</w:t>
            </w:r>
          </w:p>
        </w:tc>
      </w:tr>
      <w:tr w14:paraId="4D818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4778E946">
            <w:pPr>
              <w:numPr>
                <w:ilvl w:val="0"/>
                <w:numId w:val="11"/>
              </w:numPr>
              <w:spacing w:line="400" w:lineRule="exact"/>
              <w:jc w:val="center"/>
              <w:rPr>
                <w:color w:val="auto"/>
              </w:rPr>
            </w:pPr>
          </w:p>
        </w:tc>
        <w:tc>
          <w:tcPr>
            <w:tcW w:w="2830" w:type="pct"/>
            <w:vAlign w:val="center"/>
          </w:tcPr>
          <w:p w14:paraId="18080142">
            <w:pPr>
              <w:spacing w:line="400" w:lineRule="exact"/>
              <w:rPr>
                <w:rFonts w:ascii="宋体" w:hAnsi="宋体"/>
                <w:color w:val="auto"/>
              </w:rPr>
            </w:pPr>
            <w:r>
              <w:rPr>
                <w:rFonts w:hint="eastAsia" w:ascii="宋体" w:hAnsi="宋体"/>
                <w:color w:val="auto"/>
              </w:rPr>
              <w:t>十五、安全阀、爆破片等安全附件未正常投用。</w:t>
            </w:r>
          </w:p>
        </w:tc>
        <w:tc>
          <w:tcPr>
            <w:tcW w:w="1374" w:type="pct"/>
            <w:vAlign w:val="center"/>
          </w:tcPr>
          <w:p w14:paraId="2346A0DC">
            <w:pPr>
              <w:spacing w:line="400" w:lineRule="exact"/>
              <w:rPr>
                <w:rFonts w:ascii="宋体" w:hAnsi="宋体"/>
                <w:color w:val="auto"/>
              </w:rPr>
            </w:pPr>
            <w:r>
              <w:rPr>
                <w:rFonts w:hint="eastAsia" w:ascii="宋体" w:hAnsi="宋体"/>
                <w:color w:val="auto"/>
              </w:rPr>
              <w:t>不涉及使用安全阀、爆破片等安全附件。通气管上阻火器正常投用。</w:t>
            </w:r>
          </w:p>
        </w:tc>
        <w:tc>
          <w:tcPr>
            <w:tcW w:w="377" w:type="pct"/>
            <w:vAlign w:val="center"/>
          </w:tcPr>
          <w:p w14:paraId="01D3479C">
            <w:pPr>
              <w:spacing w:line="400" w:lineRule="exact"/>
              <w:jc w:val="center"/>
              <w:rPr>
                <w:rFonts w:ascii="宋体" w:hAnsi="宋体"/>
                <w:color w:val="auto"/>
              </w:rPr>
            </w:pPr>
            <w:r>
              <w:rPr>
                <w:rFonts w:hint="eastAsia" w:ascii="宋体" w:hAnsi="宋体"/>
                <w:color w:val="auto"/>
              </w:rPr>
              <w:t>符合</w:t>
            </w:r>
          </w:p>
        </w:tc>
      </w:tr>
      <w:tr w14:paraId="11CE6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6DD6A07F">
            <w:pPr>
              <w:numPr>
                <w:ilvl w:val="0"/>
                <w:numId w:val="11"/>
              </w:numPr>
              <w:spacing w:line="400" w:lineRule="exact"/>
              <w:jc w:val="center"/>
              <w:rPr>
                <w:color w:val="auto"/>
              </w:rPr>
            </w:pPr>
          </w:p>
        </w:tc>
        <w:tc>
          <w:tcPr>
            <w:tcW w:w="2830" w:type="pct"/>
            <w:vAlign w:val="center"/>
          </w:tcPr>
          <w:p w14:paraId="0742A0AD">
            <w:pPr>
              <w:spacing w:line="400" w:lineRule="exact"/>
              <w:rPr>
                <w:rFonts w:ascii="宋体" w:hAnsi="宋体"/>
                <w:color w:val="auto"/>
              </w:rPr>
            </w:pPr>
            <w:r>
              <w:rPr>
                <w:rFonts w:hint="eastAsia" w:ascii="宋体" w:hAnsi="宋体"/>
                <w:color w:val="auto"/>
              </w:rPr>
              <w:t>十六、未建立与岗位相匹配的全员安全生产责任制或者未制定实施生产安全事故隐患排查治理制度。</w:t>
            </w:r>
          </w:p>
        </w:tc>
        <w:tc>
          <w:tcPr>
            <w:tcW w:w="1374" w:type="pct"/>
            <w:vAlign w:val="center"/>
          </w:tcPr>
          <w:p w14:paraId="001978D5">
            <w:pPr>
              <w:spacing w:line="400" w:lineRule="exact"/>
              <w:rPr>
                <w:rFonts w:ascii="宋体" w:hAnsi="宋体"/>
                <w:color w:val="auto"/>
              </w:rPr>
            </w:pPr>
            <w:r>
              <w:rPr>
                <w:rFonts w:hint="eastAsia" w:ascii="宋体" w:hAnsi="宋体"/>
                <w:color w:val="auto"/>
              </w:rPr>
              <w:t>建立了与岗位相匹配的全员安全生产责任制，</w:t>
            </w:r>
            <w:r>
              <w:rPr>
                <w:rFonts w:hint="eastAsia" w:ascii="宋体" w:hAnsi="宋体"/>
                <w:color w:val="auto"/>
                <w:lang w:eastAsia="zh-CN"/>
              </w:rPr>
              <w:t>制定</w:t>
            </w:r>
            <w:r>
              <w:rPr>
                <w:rFonts w:hint="eastAsia" w:ascii="宋体" w:hAnsi="宋体"/>
                <w:color w:val="auto"/>
              </w:rPr>
              <w:t>并有效实施生产安全事故隐患排查治理制度。</w:t>
            </w:r>
          </w:p>
        </w:tc>
        <w:tc>
          <w:tcPr>
            <w:tcW w:w="377" w:type="pct"/>
            <w:vAlign w:val="center"/>
          </w:tcPr>
          <w:p w14:paraId="36C4C774">
            <w:pPr>
              <w:spacing w:line="400" w:lineRule="exact"/>
              <w:jc w:val="center"/>
              <w:rPr>
                <w:rFonts w:ascii="宋体" w:hAnsi="宋体"/>
                <w:color w:val="auto"/>
              </w:rPr>
            </w:pPr>
            <w:r>
              <w:rPr>
                <w:rFonts w:hint="eastAsia" w:ascii="宋体" w:hAnsi="宋体"/>
                <w:color w:val="auto"/>
              </w:rPr>
              <w:t>符合</w:t>
            </w:r>
          </w:p>
        </w:tc>
      </w:tr>
      <w:tr w14:paraId="25793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5" w:hRule="atLeast"/>
          <w:jc w:val="center"/>
        </w:trPr>
        <w:tc>
          <w:tcPr>
            <w:tcW w:w="418" w:type="pct"/>
            <w:vAlign w:val="center"/>
          </w:tcPr>
          <w:p w14:paraId="63CFEE88">
            <w:pPr>
              <w:numPr>
                <w:ilvl w:val="0"/>
                <w:numId w:val="11"/>
              </w:numPr>
              <w:spacing w:line="400" w:lineRule="exact"/>
              <w:jc w:val="center"/>
              <w:rPr>
                <w:color w:val="auto"/>
              </w:rPr>
            </w:pPr>
          </w:p>
        </w:tc>
        <w:tc>
          <w:tcPr>
            <w:tcW w:w="2830" w:type="pct"/>
            <w:vAlign w:val="center"/>
          </w:tcPr>
          <w:p w14:paraId="443F7BF5">
            <w:pPr>
              <w:spacing w:line="400" w:lineRule="exact"/>
              <w:rPr>
                <w:rFonts w:ascii="宋体" w:hAnsi="宋体"/>
                <w:color w:val="auto"/>
              </w:rPr>
            </w:pPr>
            <w:r>
              <w:rPr>
                <w:rFonts w:hint="eastAsia" w:ascii="宋体" w:hAnsi="宋体"/>
                <w:color w:val="auto"/>
              </w:rPr>
              <w:t>十七、未制定操作规程和工艺控制指标。</w:t>
            </w:r>
          </w:p>
        </w:tc>
        <w:tc>
          <w:tcPr>
            <w:tcW w:w="1374" w:type="pct"/>
            <w:vAlign w:val="center"/>
          </w:tcPr>
          <w:p w14:paraId="1A0672E0">
            <w:pPr>
              <w:spacing w:line="400" w:lineRule="exact"/>
              <w:rPr>
                <w:rFonts w:ascii="宋体" w:hAnsi="宋体"/>
                <w:color w:val="auto"/>
              </w:rPr>
            </w:pPr>
            <w:r>
              <w:rPr>
                <w:rFonts w:hint="eastAsia" w:ascii="宋体" w:hAnsi="宋体"/>
                <w:color w:val="auto"/>
              </w:rPr>
              <w:t>制定了操作规程</w:t>
            </w:r>
          </w:p>
        </w:tc>
        <w:tc>
          <w:tcPr>
            <w:tcW w:w="377" w:type="pct"/>
            <w:vAlign w:val="center"/>
          </w:tcPr>
          <w:p w14:paraId="17BD5E91">
            <w:pPr>
              <w:spacing w:line="400" w:lineRule="exact"/>
              <w:jc w:val="center"/>
              <w:rPr>
                <w:rFonts w:ascii="宋体" w:hAnsi="宋体"/>
                <w:color w:val="auto"/>
              </w:rPr>
            </w:pPr>
            <w:r>
              <w:rPr>
                <w:rFonts w:hint="eastAsia" w:ascii="宋体" w:hAnsi="宋体"/>
                <w:color w:val="auto"/>
              </w:rPr>
              <w:t>符合</w:t>
            </w:r>
          </w:p>
        </w:tc>
      </w:tr>
      <w:tr w14:paraId="65E46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5" w:hRule="atLeast"/>
          <w:jc w:val="center"/>
        </w:trPr>
        <w:tc>
          <w:tcPr>
            <w:tcW w:w="418" w:type="pct"/>
            <w:vAlign w:val="center"/>
          </w:tcPr>
          <w:p w14:paraId="3428B970">
            <w:pPr>
              <w:numPr>
                <w:ilvl w:val="0"/>
                <w:numId w:val="11"/>
              </w:numPr>
              <w:spacing w:line="400" w:lineRule="exact"/>
              <w:jc w:val="center"/>
              <w:rPr>
                <w:color w:val="auto"/>
              </w:rPr>
            </w:pPr>
          </w:p>
        </w:tc>
        <w:tc>
          <w:tcPr>
            <w:tcW w:w="2830" w:type="pct"/>
            <w:vAlign w:val="center"/>
          </w:tcPr>
          <w:p w14:paraId="350BE93C">
            <w:pPr>
              <w:spacing w:line="400" w:lineRule="exact"/>
              <w:rPr>
                <w:rFonts w:ascii="宋体" w:hAnsi="宋体"/>
                <w:color w:val="auto"/>
              </w:rPr>
            </w:pPr>
            <w:r>
              <w:rPr>
                <w:rFonts w:hint="eastAsia" w:ascii="宋体" w:hAnsi="宋体"/>
                <w:color w:val="auto"/>
              </w:rPr>
              <w:t>十八、未按照国家标准制定动火、进入受限空间等特殊作业管理制度，或者制度未有效执行。</w:t>
            </w:r>
          </w:p>
        </w:tc>
        <w:tc>
          <w:tcPr>
            <w:tcW w:w="1374" w:type="pct"/>
            <w:vAlign w:val="center"/>
          </w:tcPr>
          <w:p w14:paraId="242D7216">
            <w:pPr>
              <w:spacing w:line="400" w:lineRule="exact"/>
              <w:rPr>
                <w:rFonts w:ascii="宋体" w:hAnsi="宋体"/>
                <w:color w:val="auto"/>
              </w:rPr>
            </w:pPr>
            <w:r>
              <w:rPr>
                <w:rFonts w:hint="eastAsia" w:ascii="宋体" w:hAnsi="宋体"/>
                <w:color w:val="auto"/>
              </w:rPr>
              <w:t>制定了特殊危险作业管理制度并有效执行。</w:t>
            </w:r>
          </w:p>
        </w:tc>
        <w:tc>
          <w:tcPr>
            <w:tcW w:w="377" w:type="pct"/>
            <w:vAlign w:val="center"/>
          </w:tcPr>
          <w:p w14:paraId="3260B4F4">
            <w:pPr>
              <w:spacing w:line="400" w:lineRule="exact"/>
              <w:jc w:val="center"/>
              <w:rPr>
                <w:rFonts w:ascii="宋体" w:hAnsi="宋体"/>
                <w:color w:val="auto"/>
              </w:rPr>
            </w:pPr>
            <w:r>
              <w:rPr>
                <w:rFonts w:hint="eastAsia" w:ascii="宋体" w:hAnsi="宋体"/>
                <w:color w:val="auto"/>
              </w:rPr>
              <w:t>符合</w:t>
            </w:r>
          </w:p>
        </w:tc>
      </w:tr>
      <w:tr w14:paraId="1886D0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15" w:hRule="atLeast"/>
          <w:jc w:val="center"/>
        </w:trPr>
        <w:tc>
          <w:tcPr>
            <w:tcW w:w="418" w:type="pct"/>
            <w:vAlign w:val="center"/>
          </w:tcPr>
          <w:p w14:paraId="15B633D5">
            <w:pPr>
              <w:numPr>
                <w:ilvl w:val="0"/>
                <w:numId w:val="11"/>
              </w:numPr>
              <w:spacing w:line="400" w:lineRule="exact"/>
              <w:jc w:val="center"/>
              <w:rPr>
                <w:color w:val="auto"/>
              </w:rPr>
            </w:pPr>
          </w:p>
        </w:tc>
        <w:tc>
          <w:tcPr>
            <w:tcW w:w="2830" w:type="pct"/>
            <w:vAlign w:val="center"/>
          </w:tcPr>
          <w:p w14:paraId="7C4A3B86">
            <w:pPr>
              <w:spacing w:line="400" w:lineRule="exact"/>
              <w:rPr>
                <w:rFonts w:ascii="宋体" w:hAnsi="宋体"/>
                <w:color w:val="auto"/>
              </w:rPr>
            </w:pPr>
            <w:r>
              <w:rPr>
                <w:rFonts w:hint="eastAsia" w:ascii="宋体" w:hAnsi="宋体"/>
                <w:color w:val="auto"/>
              </w:rPr>
              <w:t>十九、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评估。</w:t>
            </w:r>
          </w:p>
        </w:tc>
        <w:tc>
          <w:tcPr>
            <w:tcW w:w="1374" w:type="pct"/>
            <w:vAlign w:val="center"/>
          </w:tcPr>
          <w:p w14:paraId="10447317">
            <w:pPr>
              <w:spacing w:line="400" w:lineRule="exact"/>
              <w:rPr>
                <w:rFonts w:ascii="宋体" w:hAnsi="宋体"/>
                <w:color w:val="auto"/>
              </w:rPr>
            </w:pPr>
            <w:r>
              <w:rPr>
                <w:rFonts w:hint="eastAsia" w:ascii="宋体" w:hAnsi="宋体"/>
                <w:color w:val="auto"/>
              </w:rPr>
              <w:t>不涉及生产工艺过程</w:t>
            </w:r>
          </w:p>
        </w:tc>
        <w:tc>
          <w:tcPr>
            <w:tcW w:w="377" w:type="pct"/>
            <w:vAlign w:val="center"/>
          </w:tcPr>
          <w:p w14:paraId="70D20F61">
            <w:pPr>
              <w:spacing w:line="400" w:lineRule="exact"/>
              <w:jc w:val="center"/>
              <w:rPr>
                <w:rFonts w:ascii="宋体" w:hAnsi="宋体"/>
                <w:color w:val="auto"/>
              </w:rPr>
            </w:pPr>
            <w:r>
              <w:rPr>
                <w:rFonts w:hint="eastAsia" w:ascii="宋体" w:hAnsi="宋体"/>
                <w:color w:val="auto"/>
              </w:rPr>
              <w:t>符合</w:t>
            </w:r>
          </w:p>
        </w:tc>
      </w:tr>
      <w:tr w14:paraId="32AAEF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4CAD0300">
            <w:pPr>
              <w:numPr>
                <w:ilvl w:val="0"/>
                <w:numId w:val="11"/>
              </w:numPr>
              <w:spacing w:line="400" w:lineRule="exact"/>
              <w:jc w:val="center"/>
              <w:rPr>
                <w:color w:val="auto"/>
              </w:rPr>
            </w:pPr>
          </w:p>
        </w:tc>
        <w:tc>
          <w:tcPr>
            <w:tcW w:w="2830" w:type="pct"/>
            <w:vAlign w:val="center"/>
          </w:tcPr>
          <w:p w14:paraId="798852F1">
            <w:pPr>
              <w:spacing w:line="400" w:lineRule="exact"/>
              <w:rPr>
                <w:rFonts w:ascii="宋体" w:hAnsi="宋体"/>
                <w:color w:val="auto"/>
              </w:rPr>
            </w:pPr>
            <w:r>
              <w:rPr>
                <w:rFonts w:hint="eastAsia" w:ascii="宋体" w:hAnsi="宋体"/>
                <w:color w:val="auto"/>
              </w:rPr>
              <w:t>二十、未按国家标准分区分类储存危险化学品，超量、超品种储存危险化学品，相互禁配物质混放混存。</w:t>
            </w:r>
          </w:p>
        </w:tc>
        <w:tc>
          <w:tcPr>
            <w:tcW w:w="1374" w:type="pct"/>
            <w:vAlign w:val="center"/>
          </w:tcPr>
          <w:p w14:paraId="053AA0C9">
            <w:pPr>
              <w:spacing w:line="400" w:lineRule="exact"/>
              <w:rPr>
                <w:rFonts w:ascii="宋体" w:hAnsi="宋体"/>
                <w:color w:val="auto"/>
              </w:rPr>
            </w:pPr>
            <w:r>
              <w:rPr>
                <w:rFonts w:hint="eastAsia" w:ascii="宋体" w:hAnsi="宋体"/>
                <w:color w:val="auto"/>
              </w:rPr>
              <w:t>现场未发现超量、超品种储存危险化学品，相互禁配物质混放混存</w:t>
            </w:r>
          </w:p>
        </w:tc>
        <w:tc>
          <w:tcPr>
            <w:tcW w:w="377" w:type="pct"/>
            <w:vAlign w:val="center"/>
          </w:tcPr>
          <w:p w14:paraId="686DA756">
            <w:pPr>
              <w:spacing w:line="400" w:lineRule="exact"/>
              <w:jc w:val="center"/>
              <w:rPr>
                <w:rFonts w:ascii="宋体" w:hAnsi="宋体"/>
                <w:color w:val="auto"/>
              </w:rPr>
            </w:pPr>
            <w:r>
              <w:rPr>
                <w:rFonts w:hint="eastAsia" w:ascii="宋体" w:hAnsi="宋体"/>
                <w:color w:val="auto"/>
              </w:rPr>
              <w:t>符合</w:t>
            </w:r>
          </w:p>
        </w:tc>
      </w:tr>
    </w:tbl>
    <w:p w14:paraId="7CDAF34F">
      <w:pPr>
        <w:spacing w:line="600" w:lineRule="exact"/>
        <w:ind w:firstLine="560" w:firstLineChars="20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根据</w:t>
      </w:r>
      <w:r>
        <w:rPr>
          <w:rFonts w:ascii="宋体" w:hAnsi="宋体"/>
          <w:color w:val="auto"/>
          <w:sz w:val="28"/>
          <w:szCs w:val="28"/>
        </w:rPr>
        <w:t>上表所述，</w:t>
      </w:r>
      <w:r>
        <w:rPr>
          <w:rFonts w:hint="eastAsia" w:ascii="宋体" w:hAnsi="宋体"/>
          <w:color w:val="auto"/>
          <w:sz w:val="28"/>
          <w:szCs w:val="28"/>
        </w:rPr>
        <w:t>该加油站未发现重大隐患</w:t>
      </w:r>
      <w:r>
        <w:rPr>
          <w:rFonts w:ascii="宋体" w:hAnsi="宋体"/>
          <w:color w:val="auto"/>
          <w:sz w:val="28"/>
          <w:szCs w:val="28"/>
        </w:rPr>
        <w:t>。</w:t>
      </w:r>
    </w:p>
    <w:p w14:paraId="68B07015">
      <w:pPr>
        <w:pStyle w:val="3"/>
        <w:jc w:val="center"/>
        <w:rPr>
          <w:rFonts w:ascii="宋体" w:hAnsi="宋体"/>
          <w:color w:val="auto"/>
          <w:sz w:val="30"/>
          <w:szCs w:val="30"/>
        </w:rPr>
      </w:pPr>
      <w:bookmarkStart w:id="195" w:name="_Toc32166"/>
      <w:bookmarkStart w:id="196" w:name="_Toc14134"/>
      <w:bookmarkStart w:id="197" w:name="_Toc20582"/>
      <w:bookmarkStart w:id="198" w:name="_Toc92712599"/>
      <w:r>
        <w:rPr>
          <w:rFonts w:hint="eastAsia" w:ascii="宋体" w:hAnsi="宋体"/>
          <w:color w:val="auto"/>
          <w:sz w:val="30"/>
          <w:szCs w:val="30"/>
        </w:rPr>
        <w:t>5.13 安全分类整治评价</w:t>
      </w:r>
      <w:bookmarkEnd w:id="195"/>
      <w:bookmarkEnd w:id="196"/>
      <w:bookmarkEnd w:id="197"/>
      <w:bookmarkEnd w:id="198"/>
    </w:p>
    <w:p w14:paraId="6A2A0C27">
      <w:pPr>
        <w:spacing w:line="600" w:lineRule="exact"/>
        <w:ind w:firstLine="570"/>
        <w:rPr>
          <w:rFonts w:ascii="宋体" w:hAnsi="宋体"/>
          <w:color w:val="auto"/>
          <w:sz w:val="28"/>
          <w:szCs w:val="28"/>
        </w:rPr>
      </w:pPr>
      <w:r>
        <w:rPr>
          <w:rFonts w:hint="eastAsia" w:ascii="宋体" w:hAnsi="宋体"/>
          <w:color w:val="auto"/>
          <w:sz w:val="28"/>
          <w:szCs w:val="28"/>
        </w:rPr>
        <w:t>根据《应急管理部关于印发危险化学品企业安全分类整治目录（2020年）的通知》（应急〔2020〕84号）内危险化学品企业安全分类整治目录（2020年）编制检查表，对该加油站的安全分类整治情况进行评价，评价结果见下表5.13-1。</w:t>
      </w:r>
    </w:p>
    <w:p w14:paraId="008FF84D">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 xml:space="preserve">5.13-1 </w:t>
      </w:r>
      <w:r>
        <w:rPr>
          <w:rFonts w:ascii="宋体" w:hAnsi="宋体"/>
          <w:color w:val="auto"/>
          <w:sz w:val="28"/>
          <w:szCs w:val="28"/>
        </w:rPr>
        <w:t xml:space="preserve"> </w:t>
      </w:r>
      <w:r>
        <w:rPr>
          <w:rFonts w:hint="eastAsia" w:ascii="宋体" w:hAnsi="宋体"/>
          <w:color w:val="auto"/>
          <w:sz w:val="28"/>
          <w:szCs w:val="28"/>
        </w:rPr>
        <w:t>危险化学品企业安全分类整治</w:t>
      </w:r>
      <w:r>
        <w:rPr>
          <w:rFonts w:ascii="宋体" w:hAnsi="宋体"/>
          <w:color w:val="auto"/>
          <w:sz w:val="28"/>
          <w:szCs w:val="28"/>
        </w:rPr>
        <w:t>检查表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2"/>
        <w:gridCol w:w="2448"/>
        <w:gridCol w:w="2595"/>
        <w:gridCol w:w="1645"/>
        <w:gridCol w:w="1335"/>
        <w:gridCol w:w="726"/>
      </w:tblGrid>
      <w:tr w14:paraId="76183A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5DCA699">
            <w:pPr>
              <w:spacing w:line="260" w:lineRule="exact"/>
              <w:jc w:val="center"/>
              <w:rPr>
                <w:rFonts w:ascii="宋体" w:hAnsi="宋体"/>
                <w:b/>
                <w:color w:val="auto"/>
              </w:rPr>
            </w:pPr>
            <w:r>
              <w:rPr>
                <w:rFonts w:ascii="宋体" w:hAnsi="宋体"/>
                <w:b/>
                <w:color w:val="auto"/>
              </w:rPr>
              <w:t>序号</w:t>
            </w:r>
          </w:p>
        </w:tc>
        <w:tc>
          <w:tcPr>
            <w:tcW w:w="1319" w:type="pct"/>
            <w:vAlign w:val="center"/>
          </w:tcPr>
          <w:p w14:paraId="741CDBA3">
            <w:pPr>
              <w:spacing w:line="260" w:lineRule="exact"/>
              <w:jc w:val="center"/>
              <w:rPr>
                <w:rFonts w:ascii="宋体" w:hAnsi="宋体"/>
                <w:b/>
                <w:color w:val="auto"/>
              </w:rPr>
            </w:pPr>
            <w:r>
              <w:rPr>
                <w:rFonts w:ascii="宋体" w:hAnsi="宋体"/>
                <w:b/>
                <w:color w:val="auto"/>
              </w:rPr>
              <w:t>分类内容</w:t>
            </w:r>
          </w:p>
        </w:tc>
        <w:tc>
          <w:tcPr>
            <w:tcW w:w="1398" w:type="pct"/>
            <w:vAlign w:val="center"/>
          </w:tcPr>
          <w:p w14:paraId="358A24B9">
            <w:pPr>
              <w:spacing w:line="260" w:lineRule="exact"/>
              <w:jc w:val="center"/>
              <w:rPr>
                <w:rFonts w:ascii="宋体" w:hAnsi="宋体"/>
                <w:b/>
                <w:color w:val="auto"/>
              </w:rPr>
            </w:pPr>
            <w:r>
              <w:rPr>
                <w:rFonts w:ascii="宋体" w:hAnsi="宋体"/>
                <w:b/>
                <w:color w:val="auto"/>
              </w:rPr>
              <w:t>违法依据</w:t>
            </w:r>
          </w:p>
        </w:tc>
        <w:tc>
          <w:tcPr>
            <w:tcW w:w="886" w:type="pct"/>
            <w:vAlign w:val="center"/>
          </w:tcPr>
          <w:p w14:paraId="35FA6CF2">
            <w:pPr>
              <w:spacing w:line="260" w:lineRule="exact"/>
              <w:jc w:val="center"/>
              <w:rPr>
                <w:rFonts w:ascii="宋体" w:hAnsi="宋体"/>
                <w:b/>
                <w:color w:val="auto"/>
              </w:rPr>
            </w:pPr>
            <w:r>
              <w:rPr>
                <w:rFonts w:ascii="宋体" w:hAnsi="宋体"/>
                <w:b/>
                <w:color w:val="auto"/>
              </w:rPr>
              <w:t>处理依据</w:t>
            </w:r>
          </w:p>
        </w:tc>
        <w:tc>
          <w:tcPr>
            <w:tcW w:w="719" w:type="pct"/>
            <w:vAlign w:val="center"/>
          </w:tcPr>
          <w:p w14:paraId="4672CCBC">
            <w:pPr>
              <w:spacing w:line="260" w:lineRule="exact"/>
              <w:jc w:val="center"/>
              <w:rPr>
                <w:rFonts w:ascii="宋体" w:hAnsi="宋体"/>
                <w:b/>
                <w:color w:val="auto"/>
              </w:rPr>
            </w:pPr>
            <w:r>
              <w:rPr>
                <w:rFonts w:ascii="宋体" w:hAnsi="宋体"/>
                <w:b/>
                <w:color w:val="auto"/>
              </w:rPr>
              <w:t>检查</w:t>
            </w:r>
            <w:r>
              <w:rPr>
                <w:rFonts w:hint="eastAsia" w:ascii="宋体" w:hAnsi="宋体"/>
                <w:b/>
                <w:color w:val="auto"/>
              </w:rPr>
              <w:t>记录</w:t>
            </w:r>
          </w:p>
        </w:tc>
        <w:tc>
          <w:tcPr>
            <w:tcW w:w="388" w:type="pct"/>
            <w:vAlign w:val="center"/>
          </w:tcPr>
          <w:p w14:paraId="08ED62A6">
            <w:pPr>
              <w:spacing w:line="260" w:lineRule="exact"/>
              <w:jc w:val="center"/>
              <w:rPr>
                <w:rFonts w:ascii="宋体" w:hAnsi="宋体"/>
                <w:b/>
                <w:color w:val="auto"/>
              </w:rPr>
            </w:pPr>
            <w:r>
              <w:rPr>
                <w:rFonts w:ascii="宋体" w:hAnsi="宋体"/>
                <w:b/>
                <w:color w:val="auto"/>
              </w:rPr>
              <w:t>检查</w:t>
            </w:r>
          </w:p>
          <w:p w14:paraId="3A711164">
            <w:pPr>
              <w:spacing w:line="260" w:lineRule="exact"/>
              <w:jc w:val="center"/>
              <w:rPr>
                <w:rFonts w:ascii="宋体" w:hAnsi="宋体"/>
                <w:b/>
                <w:color w:val="auto"/>
              </w:rPr>
            </w:pPr>
            <w:r>
              <w:rPr>
                <w:rFonts w:hint="eastAsia" w:ascii="宋体" w:hAnsi="宋体"/>
                <w:b/>
                <w:color w:val="auto"/>
              </w:rPr>
              <w:t>结果</w:t>
            </w:r>
          </w:p>
        </w:tc>
      </w:tr>
      <w:tr w14:paraId="2A11B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2CB71A65">
            <w:pPr>
              <w:spacing w:line="260" w:lineRule="exact"/>
              <w:rPr>
                <w:color w:val="auto"/>
              </w:rPr>
            </w:pPr>
            <w:r>
              <w:rPr>
                <w:rFonts w:ascii="宋体" w:hAnsi="宋体"/>
                <w:b/>
                <w:color w:val="auto"/>
              </w:rPr>
              <w:t>一、暂扣或吊销安全生产许可证类</w:t>
            </w:r>
          </w:p>
        </w:tc>
      </w:tr>
      <w:tr w14:paraId="31D6FD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71B36564">
            <w:pPr>
              <w:numPr>
                <w:ilvl w:val="0"/>
                <w:numId w:val="12"/>
              </w:numPr>
              <w:spacing w:line="260" w:lineRule="exact"/>
              <w:jc w:val="center"/>
              <w:rPr>
                <w:rFonts w:ascii="宋体" w:hAnsi="宋体"/>
                <w:color w:val="auto"/>
              </w:rPr>
            </w:pPr>
          </w:p>
        </w:tc>
        <w:tc>
          <w:tcPr>
            <w:tcW w:w="1319" w:type="pct"/>
            <w:vAlign w:val="center"/>
          </w:tcPr>
          <w:p w14:paraId="3F4CB70D">
            <w:pPr>
              <w:spacing w:line="260" w:lineRule="exact"/>
              <w:rPr>
                <w:rFonts w:ascii="宋体" w:hAnsi="宋体"/>
                <w:color w:val="auto"/>
              </w:rPr>
            </w:pPr>
            <w:r>
              <w:rPr>
                <w:rFonts w:ascii="宋体" w:hAnsi="宋体"/>
                <w:color w:val="auto"/>
                <w:spacing w:val="-11"/>
                <w:sz w:val="21"/>
              </w:rPr>
              <w:t>新建、改建、扩建生产危险化学品的建设项目未经具备国家规定资质的单位设计、制造和施工建设；涉及危险化工工艺、重点监管危险化学品的危险化学品生产装置，未经具有综合甲级资质或者化工石化专业甲级设计资质的化工石化设计单位设计。</w:t>
            </w:r>
          </w:p>
        </w:tc>
        <w:tc>
          <w:tcPr>
            <w:tcW w:w="1398" w:type="pct"/>
            <w:vAlign w:val="center"/>
          </w:tcPr>
          <w:p w14:paraId="1270CCDB">
            <w:pPr>
              <w:spacing w:line="260" w:lineRule="exact"/>
              <w:rPr>
                <w:rFonts w:ascii="宋体" w:hAnsi="宋体"/>
                <w:color w:val="auto"/>
              </w:rPr>
            </w:pPr>
            <w:r>
              <w:rPr>
                <w:rFonts w:ascii="宋体" w:hAnsi="宋体"/>
                <w:color w:val="auto"/>
              </w:rPr>
              <w:t>《危险化学品生产企业安全生产许可证实施办法》第九条第一款。</w:t>
            </w:r>
          </w:p>
        </w:tc>
        <w:tc>
          <w:tcPr>
            <w:tcW w:w="886" w:type="pct"/>
            <w:vAlign w:val="center"/>
          </w:tcPr>
          <w:p w14:paraId="6D6588B2">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17ECE64B">
            <w:pPr>
              <w:spacing w:line="260" w:lineRule="exact"/>
              <w:rPr>
                <w:rFonts w:ascii="宋体" w:hAnsi="宋体"/>
                <w:color w:val="auto"/>
              </w:rPr>
            </w:pPr>
            <w:r>
              <w:rPr>
                <w:rFonts w:hint="eastAsia"/>
                <w:color w:val="auto"/>
              </w:rPr>
              <w:t>海湾工程有限公司（石化甲级）</w:t>
            </w:r>
            <w:r>
              <w:rPr>
                <w:rFonts w:hint="eastAsia" w:ascii="宋体" w:hAnsi="宋体"/>
                <w:color w:val="auto"/>
              </w:rPr>
              <w:t>进行安全设计诊断</w:t>
            </w:r>
          </w:p>
        </w:tc>
        <w:tc>
          <w:tcPr>
            <w:tcW w:w="388" w:type="pct"/>
            <w:vAlign w:val="center"/>
          </w:tcPr>
          <w:p w14:paraId="75A05885">
            <w:pPr>
              <w:spacing w:line="260" w:lineRule="exact"/>
              <w:jc w:val="center"/>
              <w:rPr>
                <w:rFonts w:ascii="宋体" w:hAnsi="宋体"/>
                <w:color w:val="auto"/>
              </w:rPr>
            </w:pPr>
            <w:r>
              <w:rPr>
                <w:rFonts w:hint="eastAsia" w:ascii="宋体" w:hAnsi="宋体"/>
                <w:color w:val="auto"/>
              </w:rPr>
              <w:t>符合</w:t>
            </w:r>
          </w:p>
          <w:p w14:paraId="18A772EE">
            <w:pPr>
              <w:spacing w:line="260" w:lineRule="exact"/>
              <w:jc w:val="center"/>
              <w:rPr>
                <w:rFonts w:ascii="宋体" w:hAnsi="宋体"/>
                <w:color w:val="auto"/>
              </w:rPr>
            </w:pPr>
            <w:r>
              <w:rPr>
                <w:rFonts w:hint="eastAsia" w:ascii="宋体" w:hAnsi="宋体"/>
                <w:color w:val="auto"/>
              </w:rPr>
              <w:t>要求</w:t>
            </w:r>
          </w:p>
        </w:tc>
      </w:tr>
      <w:tr w14:paraId="241997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0DCA427">
            <w:pPr>
              <w:numPr>
                <w:ilvl w:val="0"/>
                <w:numId w:val="12"/>
              </w:numPr>
              <w:spacing w:line="260" w:lineRule="exact"/>
              <w:jc w:val="center"/>
              <w:rPr>
                <w:rFonts w:ascii="宋体" w:hAnsi="宋体"/>
                <w:color w:val="auto"/>
              </w:rPr>
            </w:pPr>
          </w:p>
        </w:tc>
        <w:tc>
          <w:tcPr>
            <w:tcW w:w="1319" w:type="pct"/>
            <w:vAlign w:val="center"/>
          </w:tcPr>
          <w:p w14:paraId="7E0C3312">
            <w:pPr>
              <w:spacing w:line="260" w:lineRule="exact"/>
              <w:rPr>
                <w:rFonts w:ascii="宋体" w:hAnsi="宋体"/>
                <w:color w:val="auto"/>
              </w:rPr>
            </w:pPr>
            <w:r>
              <w:rPr>
                <w:rFonts w:ascii="宋体" w:hAnsi="宋体"/>
                <w:color w:val="auto"/>
              </w:rPr>
              <w:t>使用国家明令淘汰落后安全技术工艺、设备目录列出的工艺、设备。</w:t>
            </w:r>
          </w:p>
        </w:tc>
        <w:tc>
          <w:tcPr>
            <w:tcW w:w="1398" w:type="pct"/>
            <w:vAlign w:val="center"/>
          </w:tcPr>
          <w:p w14:paraId="6FE85BC4">
            <w:pPr>
              <w:spacing w:line="260" w:lineRule="exact"/>
              <w:rPr>
                <w:rFonts w:ascii="宋体" w:hAnsi="宋体"/>
                <w:color w:val="auto"/>
              </w:rPr>
            </w:pPr>
            <w:r>
              <w:rPr>
                <w:rFonts w:ascii="宋体" w:hAnsi="宋体"/>
                <w:color w:val="auto"/>
              </w:rPr>
              <w:t>《安全生产法》第三十五条；</w:t>
            </w:r>
          </w:p>
          <w:p w14:paraId="3C64F86E">
            <w:pPr>
              <w:spacing w:line="260" w:lineRule="exact"/>
              <w:rPr>
                <w:rFonts w:ascii="宋体" w:hAnsi="宋体"/>
                <w:color w:val="auto"/>
              </w:rPr>
            </w:pPr>
            <w:r>
              <w:rPr>
                <w:rFonts w:ascii="宋体" w:hAnsi="宋体"/>
                <w:color w:val="auto"/>
              </w:rPr>
              <w:t>《危险化学品生产企业安全生产许可证实施办法》第九条第二款；</w:t>
            </w:r>
          </w:p>
          <w:p w14:paraId="1A188D75">
            <w:pPr>
              <w:spacing w:line="260" w:lineRule="exact"/>
              <w:rPr>
                <w:rFonts w:ascii="宋体" w:hAnsi="宋体"/>
                <w:color w:val="auto"/>
              </w:rPr>
            </w:pPr>
            <w:r>
              <w:rPr>
                <w:rFonts w:ascii="宋体" w:hAnsi="宋体"/>
                <w:color w:val="auto"/>
              </w:rPr>
              <w:t>《化工和危险化学品生产经营单位重大生产安全事故隐患判定标准（试行）》第十一条。</w:t>
            </w:r>
          </w:p>
        </w:tc>
        <w:tc>
          <w:tcPr>
            <w:tcW w:w="886" w:type="pct"/>
            <w:vAlign w:val="center"/>
          </w:tcPr>
          <w:p w14:paraId="26AEC829">
            <w:pPr>
              <w:spacing w:line="260" w:lineRule="exact"/>
              <w:rPr>
                <w:rFonts w:ascii="宋体" w:hAnsi="宋体"/>
                <w:color w:val="auto"/>
              </w:rPr>
            </w:pPr>
            <w:r>
              <w:rPr>
                <w:rFonts w:ascii="宋体" w:hAnsi="宋体"/>
                <w:color w:val="auto"/>
              </w:rPr>
              <w:t>《安全生产许可证条例》第十四条第二款；</w:t>
            </w:r>
          </w:p>
          <w:p w14:paraId="6D20D072">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051B7594">
            <w:pPr>
              <w:spacing w:line="260" w:lineRule="exact"/>
              <w:rPr>
                <w:rFonts w:ascii="宋体" w:hAnsi="宋体"/>
                <w:color w:val="auto"/>
              </w:rPr>
            </w:pPr>
            <w:r>
              <w:rPr>
                <w:rFonts w:hint="eastAsia" w:ascii="宋体" w:hAnsi="宋体"/>
                <w:color w:val="auto"/>
              </w:rPr>
              <w:t>未使用</w:t>
            </w:r>
            <w:r>
              <w:rPr>
                <w:rFonts w:ascii="宋体" w:hAnsi="宋体"/>
                <w:color w:val="auto"/>
              </w:rPr>
              <w:t>国家明令淘汰落后安全技术工艺、设备目录列出的工艺、设备</w:t>
            </w:r>
          </w:p>
        </w:tc>
        <w:tc>
          <w:tcPr>
            <w:tcW w:w="388" w:type="pct"/>
            <w:vAlign w:val="center"/>
          </w:tcPr>
          <w:p w14:paraId="21070B2C">
            <w:pPr>
              <w:spacing w:line="260" w:lineRule="exact"/>
              <w:jc w:val="center"/>
              <w:rPr>
                <w:rFonts w:ascii="宋体" w:hAnsi="宋体"/>
                <w:color w:val="auto"/>
              </w:rPr>
            </w:pPr>
            <w:r>
              <w:rPr>
                <w:rFonts w:hint="eastAsia" w:ascii="宋体" w:hAnsi="宋体"/>
                <w:color w:val="auto"/>
              </w:rPr>
              <w:t>符合</w:t>
            </w:r>
          </w:p>
          <w:p w14:paraId="03CBABBB">
            <w:pPr>
              <w:spacing w:line="260" w:lineRule="exact"/>
              <w:jc w:val="center"/>
              <w:rPr>
                <w:rFonts w:ascii="宋体" w:hAnsi="宋体"/>
                <w:color w:val="auto"/>
              </w:rPr>
            </w:pPr>
            <w:r>
              <w:rPr>
                <w:rFonts w:hint="eastAsia" w:ascii="宋体" w:hAnsi="宋体"/>
                <w:color w:val="auto"/>
              </w:rPr>
              <w:t>要求</w:t>
            </w:r>
          </w:p>
        </w:tc>
      </w:tr>
      <w:tr w14:paraId="7C0ED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6F23E88">
            <w:pPr>
              <w:numPr>
                <w:ilvl w:val="0"/>
                <w:numId w:val="12"/>
              </w:numPr>
              <w:spacing w:line="260" w:lineRule="exact"/>
              <w:jc w:val="center"/>
              <w:rPr>
                <w:rFonts w:ascii="宋体" w:hAnsi="宋体"/>
                <w:color w:val="auto"/>
              </w:rPr>
            </w:pPr>
          </w:p>
        </w:tc>
        <w:tc>
          <w:tcPr>
            <w:tcW w:w="1319" w:type="pct"/>
            <w:vAlign w:val="center"/>
          </w:tcPr>
          <w:p w14:paraId="660D9F6F">
            <w:pPr>
              <w:spacing w:line="260" w:lineRule="exact"/>
              <w:rPr>
                <w:rFonts w:ascii="宋体" w:hAnsi="宋体"/>
                <w:color w:val="auto"/>
              </w:rPr>
            </w:pPr>
            <w:r>
              <w:rPr>
                <w:rFonts w:ascii="宋体" w:hAnsi="宋体"/>
                <w:color w:val="auto"/>
              </w:rPr>
              <w:t>涉及“两重点一重大”的生产装置、储存设施外部安全防护距离不符合国家标准要求，且无法整改的。</w:t>
            </w:r>
          </w:p>
        </w:tc>
        <w:tc>
          <w:tcPr>
            <w:tcW w:w="1398" w:type="pct"/>
            <w:vAlign w:val="center"/>
          </w:tcPr>
          <w:p w14:paraId="21E6CCA0">
            <w:pPr>
              <w:spacing w:line="260" w:lineRule="exact"/>
              <w:rPr>
                <w:rFonts w:ascii="宋体" w:hAnsi="宋体"/>
                <w:color w:val="auto"/>
              </w:rPr>
            </w:pPr>
            <w:r>
              <w:rPr>
                <w:rFonts w:ascii="宋体" w:hAnsi="宋体"/>
                <w:color w:val="auto"/>
              </w:rPr>
              <w:t>《安全生产法》第十七条；</w:t>
            </w:r>
          </w:p>
          <w:p w14:paraId="108C5B29">
            <w:pPr>
              <w:spacing w:line="260" w:lineRule="exact"/>
              <w:rPr>
                <w:rFonts w:ascii="宋体" w:hAnsi="宋体"/>
                <w:color w:val="auto"/>
              </w:rPr>
            </w:pPr>
            <w:r>
              <w:rPr>
                <w:rFonts w:ascii="宋体" w:hAnsi="宋体"/>
                <w:color w:val="auto"/>
              </w:rPr>
              <w:t>《危险化学品生产企业安全生产许可证实施办法》第八条第二款、第九条第五款；</w:t>
            </w:r>
          </w:p>
          <w:p w14:paraId="37765BDA">
            <w:pPr>
              <w:spacing w:line="260" w:lineRule="exact"/>
              <w:rPr>
                <w:rFonts w:ascii="宋体" w:hAnsi="宋体"/>
                <w:color w:val="auto"/>
              </w:rPr>
            </w:pPr>
            <w:r>
              <w:rPr>
                <w:rFonts w:ascii="宋体" w:hAnsi="宋体"/>
                <w:color w:val="auto"/>
              </w:rPr>
              <w:t>《化工和危险化学品生产经营单位重大生产安全事故隐患判定标准（试行）》第三条。</w:t>
            </w:r>
          </w:p>
        </w:tc>
        <w:tc>
          <w:tcPr>
            <w:tcW w:w="886" w:type="pct"/>
            <w:vAlign w:val="center"/>
          </w:tcPr>
          <w:p w14:paraId="6D9D6F50">
            <w:pPr>
              <w:spacing w:line="260" w:lineRule="exact"/>
              <w:rPr>
                <w:rFonts w:ascii="宋体" w:hAnsi="宋体"/>
                <w:color w:val="auto"/>
              </w:rPr>
            </w:pPr>
            <w:r>
              <w:rPr>
                <w:rFonts w:ascii="宋体" w:hAnsi="宋体"/>
                <w:color w:val="auto"/>
              </w:rPr>
              <w:t>《安全生产许可证条例》第十四条第二款；</w:t>
            </w:r>
          </w:p>
          <w:p w14:paraId="3D00DDD3">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03A13860">
            <w:pPr>
              <w:spacing w:line="260" w:lineRule="exact"/>
              <w:rPr>
                <w:rFonts w:ascii="宋体" w:hAnsi="宋体"/>
                <w:color w:val="auto"/>
              </w:rPr>
            </w:pPr>
            <w:r>
              <w:rPr>
                <w:rFonts w:ascii="宋体" w:hAnsi="宋体"/>
                <w:color w:val="auto"/>
              </w:rPr>
              <w:t>安全距离符合</w:t>
            </w:r>
            <w:r>
              <w:rPr>
                <w:rFonts w:hint="eastAsia" w:ascii="宋体" w:hAnsi="宋体"/>
                <w:color w:val="auto"/>
              </w:rPr>
              <w:t>GB 50156-2021的</w:t>
            </w:r>
            <w:r>
              <w:rPr>
                <w:rFonts w:ascii="宋体" w:hAnsi="宋体"/>
                <w:color w:val="auto"/>
              </w:rPr>
              <w:t>要求</w:t>
            </w:r>
          </w:p>
        </w:tc>
        <w:tc>
          <w:tcPr>
            <w:tcW w:w="388" w:type="pct"/>
            <w:vAlign w:val="center"/>
          </w:tcPr>
          <w:p w14:paraId="55939777">
            <w:pPr>
              <w:spacing w:line="260" w:lineRule="exact"/>
              <w:jc w:val="center"/>
              <w:rPr>
                <w:rFonts w:ascii="宋体" w:hAnsi="宋体"/>
                <w:color w:val="auto"/>
              </w:rPr>
            </w:pPr>
            <w:r>
              <w:rPr>
                <w:rFonts w:hint="eastAsia" w:ascii="宋体" w:hAnsi="宋体"/>
                <w:color w:val="auto"/>
              </w:rPr>
              <w:t>符合</w:t>
            </w:r>
          </w:p>
          <w:p w14:paraId="02B72C79">
            <w:pPr>
              <w:spacing w:line="260" w:lineRule="exact"/>
              <w:jc w:val="center"/>
              <w:rPr>
                <w:rFonts w:ascii="宋体" w:hAnsi="宋体"/>
                <w:color w:val="auto"/>
              </w:rPr>
            </w:pPr>
            <w:r>
              <w:rPr>
                <w:rFonts w:hint="eastAsia" w:ascii="宋体" w:hAnsi="宋体"/>
                <w:color w:val="auto"/>
              </w:rPr>
              <w:t>要求</w:t>
            </w:r>
          </w:p>
        </w:tc>
      </w:tr>
      <w:tr w14:paraId="1C58BC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2A108D5">
            <w:pPr>
              <w:numPr>
                <w:ilvl w:val="0"/>
                <w:numId w:val="12"/>
              </w:numPr>
              <w:spacing w:line="260" w:lineRule="exact"/>
              <w:jc w:val="center"/>
              <w:rPr>
                <w:rFonts w:ascii="宋体" w:hAnsi="宋体"/>
                <w:color w:val="auto"/>
              </w:rPr>
            </w:pPr>
          </w:p>
        </w:tc>
        <w:tc>
          <w:tcPr>
            <w:tcW w:w="1319" w:type="pct"/>
            <w:vAlign w:val="center"/>
          </w:tcPr>
          <w:p w14:paraId="3140EF55">
            <w:pPr>
              <w:spacing w:line="260" w:lineRule="exact"/>
              <w:rPr>
                <w:rFonts w:ascii="宋体" w:hAnsi="宋体"/>
                <w:color w:val="auto"/>
              </w:rPr>
            </w:pPr>
            <w:r>
              <w:rPr>
                <w:rFonts w:ascii="宋体" w:hAnsi="宋体"/>
                <w:color w:val="auto"/>
              </w:rPr>
              <w:t>涉及重点监管危险化工工艺的装置未装设自动化控制系统。</w:t>
            </w:r>
          </w:p>
        </w:tc>
        <w:tc>
          <w:tcPr>
            <w:tcW w:w="1398" w:type="pct"/>
            <w:vAlign w:val="center"/>
          </w:tcPr>
          <w:p w14:paraId="56D8B4C3">
            <w:pPr>
              <w:spacing w:line="260" w:lineRule="exact"/>
              <w:rPr>
                <w:rFonts w:ascii="宋体" w:hAnsi="宋体"/>
                <w:color w:val="auto"/>
              </w:rPr>
            </w:pPr>
            <w:r>
              <w:rPr>
                <w:rFonts w:ascii="宋体" w:hAnsi="宋体"/>
                <w:color w:val="auto"/>
              </w:rPr>
              <w:t>《危险化学品生产企业安全生产许可证实施办法》第九条第三款；</w:t>
            </w:r>
          </w:p>
          <w:p w14:paraId="7B09CB35">
            <w:pPr>
              <w:spacing w:line="260" w:lineRule="exact"/>
              <w:rPr>
                <w:rFonts w:ascii="宋体" w:hAnsi="宋体"/>
                <w:color w:val="auto"/>
              </w:rPr>
            </w:pPr>
            <w:r>
              <w:rPr>
                <w:rFonts w:ascii="宋体" w:hAnsi="宋体"/>
                <w:color w:val="auto"/>
              </w:rPr>
              <w:t>《化工和危险化学品生产经营单位重大生产安全事故隐患判定标准（试行）》第四条。</w:t>
            </w:r>
          </w:p>
        </w:tc>
        <w:tc>
          <w:tcPr>
            <w:tcW w:w="886" w:type="pct"/>
            <w:vAlign w:val="center"/>
          </w:tcPr>
          <w:p w14:paraId="5D970ACD">
            <w:pPr>
              <w:spacing w:line="260" w:lineRule="exact"/>
              <w:rPr>
                <w:rFonts w:ascii="宋体" w:hAnsi="宋体"/>
                <w:color w:val="auto"/>
              </w:rPr>
            </w:pPr>
            <w:r>
              <w:rPr>
                <w:rFonts w:ascii="宋体" w:hAnsi="宋体"/>
                <w:color w:val="auto"/>
              </w:rPr>
              <w:t>《安全生产许可证条例》第十四条第二款；</w:t>
            </w:r>
          </w:p>
          <w:p w14:paraId="2466DF70">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30B16B27">
            <w:pPr>
              <w:spacing w:line="260" w:lineRule="exact"/>
              <w:rPr>
                <w:rFonts w:ascii="宋体" w:hAnsi="宋体"/>
                <w:color w:val="auto"/>
              </w:rPr>
            </w:pPr>
            <w:r>
              <w:rPr>
                <w:rFonts w:hint="eastAsia" w:ascii="宋体" w:hAnsi="宋体"/>
                <w:color w:val="auto"/>
              </w:rPr>
              <w:t>不涉及</w:t>
            </w:r>
            <w:r>
              <w:rPr>
                <w:rFonts w:ascii="宋体" w:hAnsi="宋体"/>
                <w:color w:val="auto"/>
              </w:rPr>
              <w:t>重点监管危险化工工艺</w:t>
            </w:r>
          </w:p>
        </w:tc>
        <w:tc>
          <w:tcPr>
            <w:tcW w:w="388" w:type="pct"/>
            <w:vAlign w:val="center"/>
          </w:tcPr>
          <w:p w14:paraId="0F5C544F">
            <w:pPr>
              <w:spacing w:line="260" w:lineRule="exact"/>
              <w:jc w:val="center"/>
              <w:rPr>
                <w:rFonts w:ascii="宋体" w:hAnsi="宋体"/>
                <w:color w:val="auto"/>
              </w:rPr>
            </w:pPr>
            <w:r>
              <w:rPr>
                <w:rFonts w:hint="eastAsia" w:ascii="宋体" w:hAnsi="宋体"/>
                <w:color w:val="auto"/>
              </w:rPr>
              <w:t>/</w:t>
            </w:r>
          </w:p>
        </w:tc>
      </w:tr>
      <w:tr w14:paraId="2242C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2298D4F0">
            <w:pPr>
              <w:spacing w:line="260" w:lineRule="exact"/>
              <w:rPr>
                <w:rFonts w:ascii="宋体" w:hAnsi="宋体"/>
                <w:color w:val="auto"/>
              </w:rPr>
            </w:pPr>
            <w:r>
              <w:rPr>
                <w:rFonts w:ascii="宋体" w:hAnsi="宋体"/>
                <w:b/>
                <w:color w:val="auto"/>
              </w:rPr>
              <w:t>二、停产停业整顿或暂时停产停业、停止使用相关设施设备类</w:t>
            </w:r>
          </w:p>
        </w:tc>
      </w:tr>
      <w:tr w14:paraId="2FA44E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8312E47">
            <w:pPr>
              <w:numPr>
                <w:ilvl w:val="0"/>
                <w:numId w:val="13"/>
              </w:numPr>
              <w:spacing w:line="260" w:lineRule="exact"/>
              <w:jc w:val="center"/>
              <w:rPr>
                <w:rFonts w:ascii="宋体" w:hAnsi="宋体"/>
                <w:color w:val="auto"/>
              </w:rPr>
            </w:pPr>
          </w:p>
        </w:tc>
        <w:tc>
          <w:tcPr>
            <w:tcW w:w="1319" w:type="pct"/>
            <w:vAlign w:val="center"/>
          </w:tcPr>
          <w:p w14:paraId="648BD178">
            <w:pPr>
              <w:spacing w:line="260" w:lineRule="exact"/>
              <w:rPr>
                <w:rFonts w:ascii="宋体" w:hAnsi="宋体"/>
                <w:color w:val="auto"/>
              </w:rPr>
            </w:pPr>
            <w:r>
              <w:rPr>
                <w:rFonts w:ascii="宋体" w:hAnsi="宋体"/>
                <w:color w:val="auto"/>
              </w:rPr>
              <w:t>未取得安全生产许可证、安全使用许可证（试生产期间除外）、危险化学品经营许可证或超许可范围从事危险化学品生产经营活动。</w:t>
            </w:r>
          </w:p>
        </w:tc>
        <w:tc>
          <w:tcPr>
            <w:tcW w:w="1398" w:type="pct"/>
            <w:vAlign w:val="center"/>
          </w:tcPr>
          <w:p w14:paraId="6EF80E3F">
            <w:pPr>
              <w:spacing w:line="260" w:lineRule="exact"/>
              <w:rPr>
                <w:rFonts w:ascii="宋体" w:hAnsi="宋体"/>
                <w:color w:val="auto"/>
              </w:rPr>
            </w:pPr>
            <w:r>
              <w:rPr>
                <w:rFonts w:ascii="宋体" w:hAnsi="宋体"/>
                <w:color w:val="auto"/>
              </w:rPr>
              <w:t>《危险化学品安全管理条例》第十四条、第二十九条、第三十三条。</w:t>
            </w:r>
          </w:p>
        </w:tc>
        <w:tc>
          <w:tcPr>
            <w:tcW w:w="886" w:type="pct"/>
            <w:vAlign w:val="center"/>
          </w:tcPr>
          <w:p w14:paraId="371B5FC2">
            <w:pPr>
              <w:spacing w:line="260" w:lineRule="exact"/>
              <w:rPr>
                <w:rFonts w:ascii="宋体" w:hAnsi="宋体"/>
                <w:color w:val="auto"/>
              </w:rPr>
            </w:pPr>
            <w:r>
              <w:rPr>
                <w:rFonts w:ascii="宋体" w:hAnsi="宋体"/>
                <w:color w:val="auto"/>
              </w:rPr>
              <w:t>《危险化学品安全管理条例》第七十七条；</w:t>
            </w:r>
          </w:p>
          <w:p w14:paraId="78F13545">
            <w:pPr>
              <w:spacing w:line="260" w:lineRule="exact"/>
              <w:rPr>
                <w:rFonts w:ascii="宋体" w:hAnsi="宋体"/>
                <w:color w:val="auto"/>
              </w:rPr>
            </w:pPr>
            <w:r>
              <w:rPr>
                <w:rFonts w:ascii="宋体" w:hAnsi="宋体"/>
                <w:color w:val="auto"/>
              </w:rPr>
              <w:t>《危险化学品生产企业安全生产许可证实施办法》第四十五条；</w:t>
            </w:r>
          </w:p>
          <w:p w14:paraId="2F2526EE">
            <w:pPr>
              <w:spacing w:line="260" w:lineRule="exact"/>
              <w:rPr>
                <w:rFonts w:ascii="宋体" w:hAnsi="宋体"/>
                <w:color w:val="auto"/>
              </w:rPr>
            </w:pPr>
            <w:r>
              <w:rPr>
                <w:rFonts w:ascii="宋体" w:hAnsi="宋体"/>
                <w:color w:val="auto"/>
              </w:rPr>
              <w:t>《危险化学品安全使用许可证管理办法》第三十七条。</w:t>
            </w:r>
          </w:p>
        </w:tc>
        <w:tc>
          <w:tcPr>
            <w:tcW w:w="719" w:type="pct"/>
            <w:vAlign w:val="center"/>
          </w:tcPr>
          <w:p w14:paraId="01196472">
            <w:pPr>
              <w:spacing w:line="260" w:lineRule="exact"/>
              <w:rPr>
                <w:rFonts w:ascii="宋体" w:hAnsi="宋体"/>
                <w:color w:val="auto"/>
              </w:rPr>
            </w:pPr>
            <w:r>
              <w:rPr>
                <w:rFonts w:hint="eastAsia" w:ascii="宋体" w:hAnsi="宋体"/>
                <w:color w:val="auto"/>
              </w:rPr>
              <w:t>取得</w:t>
            </w:r>
            <w:r>
              <w:rPr>
                <w:rFonts w:ascii="宋体" w:hAnsi="宋体"/>
                <w:color w:val="auto"/>
              </w:rPr>
              <w:t>危险化学品经营许可证</w:t>
            </w:r>
            <w:r>
              <w:rPr>
                <w:rFonts w:hint="eastAsia" w:ascii="宋体" w:hAnsi="宋体"/>
                <w:color w:val="auto"/>
              </w:rPr>
              <w:t>，未超出</w:t>
            </w:r>
            <w:r>
              <w:rPr>
                <w:rFonts w:ascii="宋体" w:hAnsi="宋体"/>
                <w:color w:val="auto"/>
              </w:rPr>
              <w:t>许可范围</w:t>
            </w:r>
          </w:p>
        </w:tc>
        <w:tc>
          <w:tcPr>
            <w:tcW w:w="388" w:type="pct"/>
            <w:vAlign w:val="center"/>
          </w:tcPr>
          <w:p w14:paraId="6D94CDA9">
            <w:pPr>
              <w:spacing w:line="260" w:lineRule="exact"/>
              <w:rPr>
                <w:rFonts w:ascii="宋体" w:hAnsi="宋体"/>
                <w:color w:val="auto"/>
              </w:rPr>
            </w:pPr>
            <w:r>
              <w:rPr>
                <w:rFonts w:hint="eastAsia" w:ascii="宋体" w:hAnsi="宋体"/>
                <w:color w:val="auto"/>
              </w:rPr>
              <w:t>符合</w:t>
            </w:r>
          </w:p>
          <w:p w14:paraId="1E40E764">
            <w:pPr>
              <w:spacing w:line="260" w:lineRule="exact"/>
              <w:rPr>
                <w:rFonts w:ascii="宋体" w:hAnsi="宋体"/>
                <w:color w:val="auto"/>
              </w:rPr>
            </w:pPr>
            <w:r>
              <w:rPr>
                <w:rFonts w:hint="eastAsia" w:ascii="宋体" w:hAnsi="宋体"/>
                <w:color w:val="auto"/>
              </w:rPr>
              <w:t>要求</w:t>
            </w:r>
          </w:p>
        </w:tc>
      </w:tr>
      <w:tr w14:paraId="013DF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75A6903">
            <w:pPr>
              <w:numPr>
                <w:ilvl w:val="0"/>
                <w:numId w:val="13"/>
              </w:numPr>
              <w:spacing w:line="260" w:lineRule="exact"/>
              <w:jc w:val="center"/>
              <w:rPr>
                <w:rFonts w:ascii="宋体" w:hAnsi="宋体"/>
                <w:color w:val="auto"/>
              </w:rPr>
            </w:pPr>
          </w:p>
        </w:tc>
        <w:tc>
          <w:tcPr>
            <w:tcW w:w="1319" w:type="pct"/>
            <w:vAlign w:val="center"/>
          </w:tcPr>
          <w:p w14:paraId="3A1E7814">
            <w:pPr>
              <w:spacing w:line="260" w:lineRule="exact"/>
              <w:rPr>
                <w:rFonts w:ascii="宋体" w:hAnsi="宋体"/>
                <w:color w:val="auto"/>
                <w:spacing w:val="-11"/>
                <w:sz w:val="21"/>
              </w:rPr>
            </w:pPr>
            <w:r>
              <w:rPr>
                <w:rFonts w:ascii="宋体" w:hAnsi="宋体"/>
                <w:color w:val="auto"/>
                <w:spacing w:val="-11"/>
                <w:sz w:val="21"/>
              </w:rPr>
              <w:t>新开发的危险化学品生产工艺未经小试、中试、工业化试验直接进行工业化生产，且重大事故隐患排除前或者排除过程中无法保证安全的；国内首次使用的化工工艺，未经过省级人民政府有关部门组织的安全可靠性论证，且重大事故隐患排除前或者排除过程中无法保证安全的。</w:t>
            </w:r>
          </w:p>
        </w:tc>
        <w:tc>
          <w:tcPr>
            <w:tcW w:w="1398" w:type="pct"/>
            <w:vAlign w:val="center"/>
          </w:tcPr>
          <w:p w14:paraId="392DD949">
            <w:pPr>
              <w:spacing w:line="260" w:lineRule="exact"/>
              <w:rPr>
                <w:rFonts w:ascii="宋体" w:hAnsi="宋体"/>
                <w:color w:val="auto"/>
              </w:rPr>
            </w:pPr>
            <w:r>
              <w:rPr>
                <w:rFonts w:ascii="宋体" w:hAnsi="宋体"/>
                <w:color w:val="auto"/>
              </w:rPr>
              <w:t>《安全生产法》第六十二条；</w:t>
            </w:r>
          </w:p>
          <w:p w14:paraId="5A7D7176">
            <w:pPr>
              <w:spacing w:line="260" w:lineRule="exact"/>
              <w:rPr>
                <w:rFonts w:ascii="宋体" w:hAnsi="宋体"/>
                <w:color w:val="auto"/>
              </w:rPr>
            </w:pPr>
            <w:r>
              <w:rPr>
                <w:rFonts w:ascii="宋体" w:hAnsi="宋体"/>
                <w:color w:val="auto"/>
              </w:rPr>
              <w:t>《危险化学品生产企业安全生产许可证实施办法》第九条第二款；</w:t>
            </w:r>
          </w:p>
          <w:p w14:paraId="43AA33EC">
            <w:pPr>
              <w:spacing w:line="260" w:lineRule="exact"/>
              <w:rPr>
                <w:rFonts w:ascii="宋体" w:hAnsi="宋体"/>
                <w:color w:val="auto"/>
              </w:rPr>
            </w:pPr>
            <w:r>
              <w:rPr>
                <w:rFonts w:ascii="宋体" w:hAnsi="宋体"/>
                <w:color w:val="auto"/>
              </w:rPr>
              <w:t xml:space="preserve">《化工和危险化学品生产经营单位重大生产安全事故隐患判定标准（试行）》第十九条。 </w:t>
            </w:r>
          </w:p>
        </w:tc>
        <w:tc>
          <w:tcPr>
            <w:tcW w:w="886" w:type="pct"/>
            <w:vAlign w:val="center"/>
          </w:tcPr>
          <w:p w14:paraId="7D4D895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5A4D0AD8">
            <w:pPr>
              <w:spacing w:line="260" w:lineRule="exact"/>
              <w:rPr>
                <w:rFonts w:ascii="宋体" w:hAnsi="宋体"/>
                <w:color w:val="auto"/>
              </w:rPr>
            </w:pPr>
            <w:r>
              <w:rPr>
                <w:rFonts w:hint="eastAsia" w:ascii="宋体" w:hAnsi="宋体"/>
                <w:color w:val="auto"/>
              </w:rPr>
              <w:t>不涉及生产工艺过程</w:t>
            </w:r>
          </w:p>
        </w:tc>
        <w:tc>
          <w:tcPr>
            <w:tcW w:w="388" w:type="pct"/>
            <w:vAlign w:val="center"/>
          </w:tcPr>
          <w:p w14:paraId="43401434">
            <w:pPr>
              <w:spacing w:line="260" w:lineRule="exact"/>
              <w:rPr>
                <w:rFonts w:ascii="宋体" w:hAnsi="宋体"/>
                <w:color w:val="auto"/>
              </w:rPr>
            </w:pPr>
            <w:r>
              <w:rPr>
                <w:rFonts w:hint="eastAsia" w:ascii="宋体" w:hAnsi="宋体"/>
                <w:color w:val="auto"/>
              </w:rPr>
              <w:t>/</w:t>
            </w:r>
          </w:p>
        </w:tc>
      </w:tr>
      <w:tr w14:paraId="688DD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DF0AD01">
            <w:pPr>
              <w:numPr>
                <w:ilvl w:val="0"/>
                <w:numId w:val="13"/>
              </w:numPr>
              <w:spacing w:line="260" w:lineRule="exact"/>
              <w:jc w:val="center"/>
              <w:rPr>
                <w:rFonts w:ascii="宋体" w:hAnsi="宋体"/>
                <w:color w:val="auto"/>
              </w:rPr>
            </w:pPr>
          </w:p>
        </w:tc>
        <w:tc>
          <w:tcPr>
            <w:tcW w:w="1319" w:type="pct"/>
            <w:vAlign w:val="center"/>
          </w:tcPr>
          <w:p w14:paraId="118F27E2">
            <w:pPr>
              <w:spacing w:line="260" w:lineRule="exact"/>
              <w:rPr>
                <w:rFonts w:ascii="宋体" w:hAnsi="宋体"/>
                <w:color w:val="auto"/>
                <w:spacing w:val="-11"/>
                <w:sz w:val="21"/>
              </w:rPr>
            </w:pPr>
            <w:r>
              <w:rPr>
                <w:rFonts w:ascii="宋体" w:hAnsi="宋体"/>
                <w:color w:val="auto"/>
                <w:spacing w:val="-11"/>
                <w:sz w:val="21"/>
              </w:rPr>
              <w:t>一级或者二级重大危险源不具备紧急停车功能，对重大危险源中的毒性气体、剧毒液体和易燃气体等重点设施未设置紧急切断装置，涉及毒性气体、液化气体、剧毒液体的一级、二级重大危险源未配备独立的安全仪表系统，且重大事故隐患排除前或者排除过程中无法保证安全的。</w:t>
            </w:r>
          </w:p>
        </w:tc>
        <w:tc>
          <w:tcPr>
            <w:tcW w:w="1398" w:type="pct"/>
            <w:vAlign w:val="center"/>
          </w:tcPr>
          <w:p w14:paraId="0A90985A">
            <w:pPr>
              <w:spacing w:line="260" w:lineRule="exact"/>
              <w:rPr>
                <w:rFonts w:ascii="宋体" w:hAnsi="宋体"/>
                <w:color w:val="auto"/>
              </w:rPr>
            </w:pPr>
            <w:r>
              <w:rPr>
                <w:rFonts w:ascii="宋体" w:hAnsi="宋体"/>
                <w:color w:val="auto"/>
              </w:rPr>
              <w:t>《安全生产法》第六十二条；</w:t>
            </w:r>
          </w:p>
          <w:p w14:paraId="5A8C916C">
            <w:pPr>
              <w:spacing w:line="260" w:lineRule="exact"/>
              <w:rPr>
                <w:rFonts w:ascii="宋体" w:hAnsi="宋体"/>
                <w:color w:val="auto"/>
              </w:rPr>
            </w:pPr>
            <w:r>
              <w:rPr>
                <w:rFonts w:ascii="宋体" w:hAnsi="宋体"/>
                <w:color w:val="auto"/>
              </w:rPr>
              <w:t>《危险化学品重大危险源监督管理暂行规定》第十三条；</w:t>
            </w:r>
          </w:p>
          <w:p w14:paraId="7A389892">
            <w:pPr>
              <w:spacing w:line="260" w:lineRule="exact"/>
              <w:rPr>
                <w:rFonts w:ascii="宋体" w:hAnsi="宋体"/>
                <w:color w:val="auto"/>
              </w:rPr>
            </w:pPr>
            <w:r>
              <w:rPr>
                <w:rFonts w:ascii="宋体" w:hAnsi="宋体"/>
                <w:color w:val="auto"/>
              </w:rPr>
              <w:t>《化工和危险化学品生产经营单位重大生产安全事故隐患判定标准（试行）》第五条。</w:t>
            </w:r>
          </w:p>
        </w:tc>
        <w:tc>
          <w:tcPr>
            <w:tcW w:w="886" w:type="pct"/>
            <w:vAlign w:val="center"/>
          </w:tcPr>
          <w:p w14:paraId="2011CC63">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A237255">
            <w:pPr>
              <w:spacing w:line="260" w:lineRule="exact"/>
              <w:rPr>
                <w:rFonts w:ascii="宋体" w:hAnsi="宋体"/>
                <w:color w:val="auto"/>
              </w:rPr>
            </w:pPr>
            <w:r>
              <w:rPr>
                <w:rFonts w:hint="eastAsia" w:ascii="宋体" w:hAnsi="宋体"/>
                <w:color w:val="auto"/>
              </w:rPr>
              <w:t>不涉及重大危险源</w:t>
            </w:r>
          </w:p>
        </w:tc>
        <w:tc>
          <w:tcPr>
            <w:tcW w:w="388" w:type="pct"/>
            <w:vAlign w:val="center"/>
          </w:tcPr>
          <w:p w14:paraId="2A70DDCE">
            <w:pPr>
              <w:spacing w:line="260" w:lineRule="exact"/>
              <w:rPr>
                <w:rFonts w:ascii="宋体" w:hAnsi="宋体"/>
                <w:color w:val="auto"/>
              </w:rPr>
            </w:pPr>
            <w:r>
              <w:rPr>
                <w:rFonts w:hint="eastAsia" w:ascii="宋体" w:hAnsi="宋体"/>
                <w:color w:val="auto"/>
              </w:rPr>
              <w:t>/</w:t>
            </w:r>
          </w:p>
        </w:tc>
      </w:tr>
      <w:tr w14:paraId="32E033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1BD9F0AE">
            <w:pPr>
              <w:numPr>
                <w:ilvl w:val="0"/>
                <w:numId w:val="13"/>
              </w:numPr>
              <w:spacing w:line="260" w:lineRule="exact"/>
              <w:jc w:val="center"/>
              <w:rPr>
                <w:rFonts w:ascii="宋体" w:hAnsi="宋体"/>
                <w:color w:val="auto"/>
              </w:rPr>
            </w:pPr>
          </w:p>
        </w:tc>
        <w:tc>
          <w:tcPr>
            <w:tcW w:w="1319" w:type="pct"/>
            <w:vAlign w:val="center"/>
          </w:tcPr>
          <w:p w14:paraId="224C97EB">
            <w:pPr>
              <w:spacing w:line="260" w:lineRule="exact"/>
              <w:rPr>
                <w:rFonts w:ascii="宋体" w:hAnsi="宋体"/>
                <w:color w:val="auto"/>
              </w:rPr>
            </w:pPr>
            <w:r>
              <w:rPr>
                <w:rFonts w:ascii="宋体" w:hAnsi="宋体"/>
                <w:color w:val="auto"/>
              </w:rPr>
              <w:t>涉及重点监管危险化工工艺的装置未实现自动化控制，系统未实现紧急停车功能，且重大事故隐患排除前或者排除过程中无法保证安全的；装备的自动化控制系统、紧急停车系统未投入使用，且重大事故隐患排除前或者排除过程中无法保证安全的。</w:t>
            </w:r>
          </w:p>
        </w:tc>
        <w:tc>
          <w:tcPr>
            <w:tcW w:w="1398" w:type="pct"/>
            <w:vAlign w:val="center"/>
          </w:tcPr>
          <w:p w14:paraId="5A149A73">
            <w:pPr>
              <w:spacing w:line="260" w:lineRule="exact"/>
              <w:rPr>
                <w:rFonts w:ascii="宋体" w:hAnsi="宋体"/>
                <w:color w:val="auto"/>
              </w:rPr>
            </w:pPr>
            <w:r>
              <w:rPr>
                <w:rFonts w:ascii="宋体" w:hAnsi="宋体"/>
                <w:color w:val="auto"/>
              </w:rPr>
              <w:t>《安全生产法》第六十二条；</w:t>
            </w:r>
          </w:p>
          <w:p w14:paraId="3C194C77">
            <w:pPr>
              <w:spacing w:line="260" w:lineRule="exact"/>
              <w:rPr>
                <w:rFonts w:ascii="宋体" w:hAnsi="宋体"/>
                <w:color w:val="auto"/>
              </w:rPr>
            </w:pPr>
            <w:r>
              <w:rPr>
                <w:rFonts w:ascii="宋体" w:hAnsi="宋体"/>
                <w:color w:val="auto"/>
              </w:rPr>
              <w:t>《危险化学品生产企业安全生产许可证实施办法》第九条第三款；</w:t>
            </w:r>
          </w:p>
          <w:p w14:paraId="1A3AD92F">
            <w:pPr>
              <w:spacing w:line="260" w:lineRule="exact"/>
              <w:rPr>
                <w:rFonts w:ascii="宋体" w:hAnsi="宋体"/>
                <w:color w:val="auto"/>
              </w:rPr>
            </w:pPr>
            <w:r>
              <w:rPr>
                <w:rFonts w:ascii="宋体" w:hAnsi="宋体"/>
                <w:color w:val="auto"/>
              </w:rPr>
              <w:t>《危险化学品安全使用许可证管理办法》第七条第三款；</w:t>
            </w:r>
          </w:p>
          <w:p w14:paraId="693AAA3E">
            <w:pPr>
              <w:spacing w:line="260" w:lineRule="exact"/>
              <w:rPr>
                <w:rFonts w:ascii="宋体" w:hAnsi="宋体"/>
                <w:color w:val="auto"/>
              </w:rPr>
            </w:pPr>
            <w:r>
              <w:rPr>
                <w:rFonts w:ascii="宋体" w:hAnsi="宋体"/>
                <w:color w:val="auto"/>
              </w:rPr>
              <w:t>《化工和危险化学品生产经营单位重大生产安全事故隐患判定标准（试行）》第四条。</w:t>
            </w:r>
          </w:p>
        </w:tc>
        <w:tc>
          <w:tcPr>
            <w:tcW w:w="886" w:type="pct"/>
            <w:vAlign w:val="center"/>
          </w:tcPr>
          <w:p w14:paraId="1B284F55">
            <w:pPr>
              <w:spacing w:line="260" w:lineRule="exact"/>
              <w:rPr>
                <w:rFonts w:ascii="宋体" w:hAnsi="宋体"/>
                <w:color w:val="auto"/>
              </w:rPr>
            </w:pPr>
            <w:r>
              <w:rPr>
                <w:rFonts w:ascii="宋体" w:hAnsi="宋体"/>
                <w:color w:val="auto"/>
              </w:rPr>
              <w:t>《安全生产法》第六十二条；</w:t>
            </w:r>
          </w:p>
          <w:p w14:paraId="0585ACD5">
            <w:pPr>
              <w:spacing w:line="260" w:lineRule="exact"/>
              <w:rPr>
                <w:rFonts w:ascii="宋体" w:hAnsi="宋体"/>
                <w:color w:val="auto"/>
              </w:rPr>
            </w:pPr>
            <w:r>
              <w:rPr>
                <w:rFonts w:ascii="宋体" w:hAnsi="宋体"/>
                <w:color w:val="auto"/>
              </w:rPr>
              <w:t>《危险化学品生产企业安全生产许可证实施办法》第四十三条。</w:t>
            </w:r>
          </w:p>
          <w:p w14:paraId="6F7DB942">
            <w:pPr>
              <w:spacing w:line="260" w:lineRule="exact"/>
              <w:rPr>
                <w:rFonts w:ascii="宋体" w:hAnsi="宋体"/>
                <w:color w:val="auto"/>
              </w:rPr>
            </w:pPr>
          </w:p>
        </w:tc>
        <w:tc>
          <w:tcPr>
            <w:tcW w:w="719" w:type="pct"/>
            <w:vAlign w:val="center"/>
          </w:tcPr>
          <w:p w14:paraId="6A495BAE">
            <w:pPr>
              <w:spacing w:line="260" w:lineRule="exact"/>
              <w:rPr>
                <w:rFonts w:ascii="宋体" w:hAnsi="宋体"/>
                <w:color w:val="auto"/>
              </w:rPr>
            </w:pPr>
            <w:r>
              <w:rPr>
                <w:rFonts w:hint="eastAsia" w:ascii="宋体" w:hAnsi="宋体"/>
                <w:color w:val="auto"/>
              </w:rPr>
              <w:t>不涉及</w:t>
            </w:r>
            <w:r>
              <w:rPr>
                <w:rFonts w:ascii="宋体" w:hAnsi="宋体"/>
                <w:color w:val="auto"/>
              </w:rPr>
              <w:t>重点监管危险化工工艺</w:t>
            </w:r>
          </w:p>
        </w:tc>
        <w:tc>
          <w:tcPr>
            <w:tcW w:w="388" w:type="pct"/>
            <w:vAlign w:val="center"/>
          </w:tcPr>
          <w:p w14:paraId="1CE89335">
            <w:pPr>
              <w:spacing w:line="260" w:lineRule="exact"/>
              <w:rPr>
                <w:rFonts w:ascii="宋体" w:hAnsi="宋体"/>
                <w:color w:val="auto"/>
              </w:rPr>
            </w:pPr>
            <w:r>
              <w:rPr>
                <w:rFonts w:hint="eastAsia" w:ascii="宋体" w:hAnsi="宋体"/>
                <w:color w:val="auto"/>
              </w:rPr>
              <w:t>/</w:t>
            </w:r>
          </w:p>
        </w:tc>
      </w:tr>
      <w:tr w14:paraId="2F31D6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C17C5BA">
            <w:pPr>
              <w:numPr>
                <w:ilvl w:val="0"/>
                <w:numId w:val="13"/>
              </w:numPr>
              <w:spacing w:line="260" w:lineRule="exact"/>
              <w:jc w:val="center"/>
              <w:rPr>
                <w:rFonts w:ascii="宋体" w:hAnsi="宋体"/>
                <w:color w:val="auto"/>
              </w:rPr>
            </w:pPr>
          </w:p>
        </w:tc>
        <w:tc>
          <w:tcPr>
            <w:tcW w:w="1319" w:type="pct"/>
            <w:vAlign w:val="center"/>
          </w:tcPr>
          <w:p w14:paraId="771DED35">
            <w:pPr>
              <w:spacing w:line="260" w:lineRule="exact"/>
              <w:rPr>
                <w:rFonts w:ascii="宋体" w:hAnsi="宋体"/>
                <w:color w:val="auto"/>
              </w:rPr>
            </w:pPr>
            <w:r>
              <w:rPr>
                <w:rFonts w:ascii="宋体" w:hAnsi="宋体"/>
                <w:color w:val="auto"/>
              </w:rPr>
              <w:t>装置的控制室、机柜间、变配电所、化验室、办公室等不得与设有甲、乙A类设备的房间布置在同一建筑物内。</w:t>
            </w:r>
          </w:p>
        </w:tc>
        <w:tc>
          <w:tcPr>
            <w:tcW w:w="1398" w:type="pct"/>
            <w:vAlign w:val="center"/>
          </w:tcPr>
          <w:p w14:paraId="2A4B4089">
            <w:pPr>
              <w:spacing w:line="260" w:lineRule="exact"/>
              <w:rPr>
                <w:rFonts w:ascii="宋体" w:hAnsi="宋体"/>
                <w:color w:val="auto"/>
              </w:rPr>
            </w:pPr>
            <w:r>
              <w:rPr>
                <w:rFonts w:ascii="宋体" w:hAnsi="宋体"/>
                <w:color w:val="auto"/>
              </w:rPr>
              <w:t>《危险化学品生产企业安全生产许可证实施办法》第八条第一款第三项；</w:t>
            </w:r>
          </w:p>
          <w:p w14:paraId="68CA00F0">
            <w:pPr>
              <w:spacing w:line="260" w:lineRule="exact"/>
              <w:rPr>
                <w:rFonts w:ascii="宋体" w:hAnsi="宋体"/>
                <w:color w:val="auto"/>
              </w:rPr>
            </w:pPr>
            <w:r>
              <w:rPr>
                <w:rFonts w:ascii="宋体" w:hAnsi="宋体"/>
                <w:color w:val="auto"/>
              </w:rPr>
              <w:t>《石油化工企业设计防火标准》（GB 50160-2008）（2018年版）5.2.16。</w:t>
            </w:r>
          </w:p>
        </w:tc>
        <w:tc>
          <w:tcPr>
            <w:tcW w:w="886" w:type="pct"/>
            <w:vAlign w:val="center"/>
          </w:tcPr>
          <w:p w14:paraId="50580D73">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0BE4749D">
            <w:pPr>
              <w:spacing w:line="260" w:lineRule="exact"/>
              <w:rPr>
                <w:rFonts w:ascii="宋体" w:hAnsi="宋体"/>
                <w:color w:val="auto"/>
              </w:rPr>
            </w:pPr>
            <w:r>
              <w:rPr>
                <w:rFonts w:hint="eastAsia" w:ascii="宋体" w:hAnsi="宋体"/>
                <w:color w:val="auto"/>
              </w:rPr>
              <w:t>配电间、站房未</w:t>
            </w:r>
            <w:r>
              <w:rPr>
                <w:rFonts w:ascii="宋体" w:hAnsi="宋体"/>
                <w:color w:val="auto"/>
              </w:rPr>
              <w:t>与设有甲、乙</w:t>
            </w:r>
            <w:r>
              <w:rPr>
                <w:rFonts w:ascii="宋体" w:hAnsi="宋体"/>
                <w:color w:val="auto"/>
                <w:vertAlign w:val="subscript"/>
              </w:rPr>
              <w:t>A</w:t>
            </w:r>
            <w:r>
              <w:rPr>
                <w:rFonts w:ascii="宋体" w:hAnsi="宋体"/>
                <w:color w:val="auto"/>
              </w:rPr>
              <w:t>类设备的房间布置在同一建筑物内</w:t>
            </w:r>
          </w:p>
        </w:tc>
        <w:tc>
          <w:tcPr>
            <w:tcW w:w="388" w:type="pct"/>
            <w:vAlign w:val="center"/>
          </w:tcPr>
          <w:p w14:paraId="53568241">
            <w:pPr>
              <w:spacing w:line="260" w:lineRule="exact"/>
              <w:rPr>
                <w:rFonts w:ascii="宋体" w:hAnsi="宋体"/>
                <w:color w:val="auto"/>
              </w:rPr>
            </w:pPr>
            <w:r>
              <w:rPr>
                <w:rFonts w:hint="eastAsia" w:ascii="宋体" w:hAnsi="宋体"/>
                <w:color w:val="auto"/>
              </w:rPr>
              <w:t>符合</w:t>
            </w:r>
          </w:p>
          <w:p w14:paraId="1361D502">
            <w:pPr>
              <w:spacing w:line="260" w:lineRule="exact"/>
              <w:rPr>
                <w:rFonts w:ascii="宋体" w:hAnsi="宋体"/>
                <w:color w:val="auto"/>
              </w:rPr>
            </w:pPr>
            <w:r>
              <w:rPr>
                <w:rFonts w:hint="eastAsia" w:ascii="宋体" w:hAnsi="宋体"/>
                <w:color w:val="auto"/>
              </w:rPr>
              <w:t>要求</w:t>
            </w:r>
          </w:p>
        </w:tc>
      </w:tr>
      <w:tr w14:paraId="3C125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5B7E3E7">
            <w:pPr>
              <w:numPr>
                <w:ilvl w:val="0"/>
                <w:numId w:val="13"/>
              </w:numPr>
              <w:spacing w:line="260" w:lineRule="exact"/>
              <w:jc w:val="center"/>
              <w:rPr>
                <w:rFonts w:ascii="宋体" w:hAnsi="宋体"/>
                <w:color w:val="auto"/>
              </w:rPr>
            </w:pPr>
          </w:p>
        </w:tc>
        <w:tc>
          <w:tcPr>
            <w:tcW w:w="1319" w:type="pct"/>
            <w:vAlign w:val="center"/>
          </w:tcPr>
          <w:p w14:paraId="260ACDD0">
            <w:pPr>
              <w:spacing w:line="260" w:lineRule="exact"/>
              <w:rPr>
                <w:rFonts w:ascii="宋体" w:hAnsi="宋体"/>
                <w:color w:val="auto"/>
              </w:rPr>
            </w:pPr>
            <w:r>
              <w:rPr>
                <w:rFonts w:ascii="宋体" w:hAnsi="宋体"/>
                <w:color w:val="auto"/>
              </w:rPr>
              <w:t>爆炸危险场所未按照国家标准安装使用防爆电气设备，且重大事故隐患排除前或者排除过程中无法保证安全的。</w:t>
            </w:r>
          </w:p>
        </w:tc>
        <w:tc>
          <w:tcPr>
            <w:tcW w:w="1398" w:type="pct"/>
            <w:vAlign w:val="center"/>
          </w:tcPr>
          <w:p w14:paraId="139FA9B1">
            <w:pPr>
              <w:spacing w:line="260" w:lineRule="exact"/>
              <w:rPr>
                <w:rFonts w:ascii="宋体" w:hAnsi="宋体"/>
                <w:color w:val="auto"/>
              </w:rPr>
            </w:pPr>
            <w:r>
              <w:rPr>
                <w:rFonts w:ascii="宋体" w:hAnsi="宋体"/>
                <w:color w:val="auto"/>
              </w:rPr>
              <w:t>《安全生产法》第六十二条；</w:t>
            </w:r>
          </w:p>
          <w:p w14:paraId="214AD30E">
            <w:pPr>
              <w:spacing w:line="260" w:lineRule="exact"/>
              <w:rPr>
                <w:rFonts w:ascii="宋体" w:hAnsi="宋体"/>
                <w:color w:val="auto"/>
              </w:rPr>
            </w:pPr>
            <w:r>
              <w:rPr>
                <w:rFonts w:ascii="宋体" w:hAnsi="宋体"/>
                <w:color w:val="auto"/>
              </w:rPr>
              <w:t>《化工和危险化学品生产经营单位重大生产安全事故隐患判定标准（试行）》第十二条。</w:t>
            </w:r>
          </w:p>
        </w:tc>
        <w:tc>
          <w:tcPr>
            <w:tcW w:w="886" w:type="pct"/>
            <w:vAlign w:val="center"/>
          </w:tcPr>
          <w:p w14:paraId="3D435917">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58B11A1">
            <w:pPr>
              <w:spacing w:line="260" w:lineRule="exact"/>
              <w:rPr>
                <w:rFonts w:ascii="宋体" w:hAnsi="宋体"/>
                <w:color w:val="auto"/>
              </w:rPr>
            </w:pPr>
            <w:r>
              <w:rPr>
                <w:rFonts w:hint="eastAsia" w:ascii="宋体" w:hAnsi="宋体"/>
                <w:color w:val="auto"/>
              </w:rPr>
              <w:t>加油机等</w:t>
            </w:r>
            <w:r>
              <w:rPr>
                <w:rFonts w:ascii="宋体" w:hAnsi="宋体"/>
                <w:color w:val="auto"/>
              </w:rPr>
              <w:t>按照国家标准安装使用防爆电气设备</w:t>
            </w:r>
          </w:p>
        </w:tc>
        <w:tc>
          <w:tcPr>
            <w:tcW w:w="388" w:type="pct"/>
            <w:vAlign w:val="center"/>
          </w:tcPr>
          <w:p w14:paraId="35DEE835">
            <w:pPr>
              <w:spacing w:line="260" w:lineRule="exact"/>
              <w:rPr>
                <w:rFonts w:ascii="宋体" w:hAnsi="宋体"/>
                <w:color w:val="auto"/>
              </w:rPr>
            </w:pPr>
            <w:r>
              <w:rPr>
                <w:rFonts w:hint="eastAsia" w:ascii="宋体" w:hAnsi="宋体"/>
                <w:color w:val="auto"/>
              </w:rPr>
              <w:t>符合</w:t>
            </w:r>
          </w:p>
          <w:p w14:paraId="40C29F48">
            <w:pPr>
              <w:spacing w:line="260" w:lineRule="exact"/>
              <w:rPr>
                <w:rFonts w:ascii="宋体" w:hAnsi="宋体"/>
                <w:color w:val="auto"/>
              </w:rPr>
            </w:pPr>
            <w:r>
              <w:rPr>
                <w:rFonts w:hint="eastAsia" w:ascii="宋体" w:hAnsi="宋体"/>
                <w:color w:val="auto"/>
              </w:rPr>
              <w:t>要求</w:t>
            </w:r>
          </w:p>
        </w:tc>
      </w:tr>
      <w:tr w14:paraId="68133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1C5B5B1">
            <w:pPr>
              <w:numPr>
                <w:ilvl w:val="0"/>
                <w:numId w:val="13"/>
              </w:numPr>
              <w:spacing w:line="260" w:lineRule="exact"/>
              <w:jc w:val="center"/>
              <w:rPr>
                <w:rFonts w:ascii="宋体" w:hAnsi="宋体"/>
                <w:color w:val="auto"/>
              </w:rPr>
            </w:pPr>
          </w:p>
        </w:tc>
        <w:tc>
          <w:tcPr>
            <w:tcW w:w="1319" w:type="pct"/>
            <w:vAlign w:val="center"/>
          </w:tcPr>
          <w:p w14:paraId="30279779">
            <w:pPr>
              <w:spacing w:line="260" w:lineRule="exact"/>
              <w:rPr>
                <w:rFonts w:ascii="宋体" w:hAnsi="宋体"/>
                <w:color w:val="auto"/>
              </w:rPr>
            </w:pPr>
            <w:r>
              <w:rPr>
                <w:rFonts w:ascii="宋体" w:hAnsi="宋体"/>
                <w:color w:val="auto"/>
              </w:rPr>
              <w:t>涉及光气、氯气、硫化氢等剧毒气体管道穿越除厂区外的公共区域（包括化工园区、工业园区），且重大事故隐患排除前或者排除过程中无法保证安全的。</w:t>
            </w:r>
          </w:p>
        </w:tc>
        <w:tc>
          <w:tcPr>
            <w:tcW w:w="1398" w:type="pct"/>
            <w:vAlign w:val="center"/>
          </w:tcPr>
          <w:p w14:paraId="7A05986D">
            <w:pPr>
              <w:spacing w:line="260" w:lineRule="exact"/>
              <w:rPr>
                <w:rFonts w:ascii="宋体" w:hAnsi="宋体"/>
                <w:color w:val="auto"/>
              </w:rPr>
            </w:pPr>
            <w:r>
              <w:rPr>
                <w:rFonts w:ascii="宋体" w:hAnsi="宋体"/>
                <w:color w:val="auto"/>
              </w:rPr>
              <w:t>《安全生产法》第六十二条；</w:t>
            </w:r>
          </w:p>
          <w:p w14:paraId="7754FD18">
            <w:pPr>
              <w:spacing w:line="260" w:lineRule="exact"/>
              <w:rPr>
                <w:rFonts w:ascii="宋体" w:hAnsi="宋体"/>
                <w:color w:val="auto"/>
              </w:rPr>
            </w:pPr>
            <w:r>
              <w:rPr>
                <w:rFonts w:ascii="宋体" w:hAnsi="宋体"/>
                <w:color w:val="auto"/>
              </w:rPr>
              <w:t>《危险化学品输送管道安全管理规定》第七条；</w:t>
            </w:r>
          </w:p>
          <w:p w14:paraId="074CE53B">
            <w:pPr>
              <w:spacing w:line="260" w:lineRule="exact"/>
              <w:rPr>
                <w:rFonts w:ascii="宋体" w:hAnsi="宋体"/>
                <w:color w:val="auto"/>
              </w:rPr>
            </w:pPr>
            <w:r>
              <w:rPr>
                <w:rFonts w:ascii="宋体" w:hAnsi="宋体"/>
                <w:color w:val="auto"/>
              </w:rPr>
              <w:t>《化工和危险化学品生产经营单位重大生产安全事故隐患判定标准（试行）》第八条。</w:t>
            </w:r>
          </w:p>
        </w:tc>
        <w:tc>
          <w:tcPr>
            <w:tcW w:w="886" w:type="pct"/>
            <w:vAlign w:val="center"/>
          </w:tcPr>
          <w:p w14:paraId="407D6C0A">
            <w:pPr>
              <w:spacing w:line="260" w:lineRule="exact"/>
              <w:rPr>
                <w:rFonts w:ascii="宋体" w:hAnsi="宋体"/>
                <w:color w:val="auto"/>
              </w:rPr>
            </w:pPr>
            <w:r>
              <w:rPr>
                <w:rFonts w:ascii="宋体" w:hAnsi="宋体"/>
                <w:color w:val="auto"/>
              </w:rPr>
              <w:t>《安全生产法》第六十二条。</w:t>
            </w:r>
          </w:p>
        </w:tc>
        <w:tc>
          <w:tcPr>
            <w:tcW w:w="719" w:type="pct"/>
            <w:vAlign w:val="center"/>
          </w:tcPr>
          <w:p w14:paraId="454C0293">
            <w:pPr>
              <w:spacing w:line="260" w:lineRule="exact"/>
              <w:rPr>
                <w:rFonts w:ascii="宋体" w:hAnsi="宋体"/>
                <w:color w:val="auto"/>
              </w:rPr>
            </w:pPr>
            <w:r>
              <w:rPr>
                <w:rFonts w:hint="eastAsia" w:ascii="宋体" w:hAnsi="宋体"/>
                <w:color w:val="auto"/>
              </w:rPr>
              <w:t>不涉及</w:t>
            </w:r>
            <w:r>
              <w:rPr>
                <w:rFonts w:ascii="宋体" w:hAnsi="宋体"/>
                <w:color w:val="auto"/>
              </w:rPr>
              <w:t>光气、氯气、硫化氢等剧毒气体管道</w:t>
            </w:r>
          </w:p>
        </w:tc>
        <w:tc>
          <w:tcPr>
            <w:tcW w:w="388" w:type="pct"/>
            <w:vAlign w:val="center"/>
          </w:tcPr>
          <w:p w14:paraId="7A3BF047">
            <w:pPr>
              <w:spacing w:line="260" w:lineRule="exact"/>
              <w:rPr>
                <w:rFonts w:ascii="宋体" w:hAnsi="宋体"/>
                <w:color w:val="auto"/>
              </w:rPr>
            </w:pPr>
            <w:r>
              <w:rPr>
                <w:rFonts w:hint="eastAsia" w:ascii="宋体" w:hAnsi="宋体"/>
                <w:color w:val="auto"/>
              </w:rPr>
              <w:t>/</w:t>
            </w:r>
          </w:p>
        </w:tc>
      </w:tr>
      <w:tr w14:paraId="73598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572D625">
            <w:pPr>
              <w:numPr>
                <w:ilvl w:val="0"/>
                <w:numId w:val="13"/>
              </w:numPr>
              <w:spacing w:line="260" w:lineRule="exact"/>
              <w:jc w:val="center"/>
              <w:rPr>
                <w:rFonts w:ascii="宋体" w:hAnsi="宋体"/>
                <w:color w:val="auto"/>
              </w:rPr>
            </w:pPr>
          </w:p>
        </w:tc>
        <w:tc>
          <w:tcPr>
            <w:tcW w:w="1319" w:type="pct"/>
            <w:vAlign w:val="center"/>
          </w:tcPr>
          <w:p w14:paraId="3B9FCC1E">
            <w:pPr>
              <w:spacing w:line="260" w:lineRule="exact"/>
              <w:rPr>
                <w:rFonts w:ascii="宋体" w:hAnsi="宋体"/>
                <w:color w:val="auto"/>
              </w:rPr>
            </w:pPr>
            <w:r>
              <w:rPr>
                <w:rFonts w:ascii="宋体" w:hAnsi="宋体"/>
                <w:color w:val="auto"/>
              </w:rPr>
              <w:t>全压力式液化烃球形储罐未按国家标准设置注水措施（半冷冻压力式液化烃储罐或遇水发生反应的液化烃储罐除外），且重大事故隐患排除前或者排除过程中无法保证安全的。</w:t>
            </w:r>
          </w:p>
        </w:tc>
        <w:tc>
          <w:tcPr>
            <w:tcW w:w="1398" w:type="pct"/>
            <w:vAlign w:val="center"/>
          </w:tcPr>
          <w:p w14:paraId="10F277C1">
            <w:pPr>
              <w:spacing w:line="260" w:lineRule="exact"/>
              <w:rPr>
                <w:rFonts w:ascii="宋体" w:hAnsi="宋体"/>
                <w:color w:val="auto"/>
              </w:rPr>
            </w:pPr>
            <w:r>
              <w:rPr>
                <w:rFonts w:ascii="宋体" w:hAnsi="宋体"/>
                <w:color w:val="auto"/>
              </w:rPr>
              <w:t>《安全生产法》第六十二条；</w:t>
            </w:r>
          </w:p>
          <w:p w14:paraId="056472D0">
            <w:pPr>
              <w:spacing w:line="260" w:lineRule="exact"/>
              <w:rPr>
                <w:rFonts w:ascii="宋体" w:hAnsi="宋体"/>
                <w:color w:val="auto"/>
              </w:rPr>
            </w:pPr>
            <w:r>
              <w:rPr>
                <w:rFonts w:ascii="宋体" w:hAnsi="宋体"/>
                <w:color w:val="auto"/>
              </w:rPr>
              <w:t>《化工和危险化学品生产经营单位重大生产安全事故隐患判定标准（试行）》第六条。</w:t>
            </w:r>
          </w:p>
        </w:tc>
        <w:tc>
          <w:tcPr>
            <w:tcW w:w="886" w:type="pct"/>
            <w:vAlign w:val="center"/>
          </w:tcPr>
          <w:p w14:paraId="10926811">
            <w:pPr>
              <w:spacing w:line="260" w:lineRule="exact"/>
              <w:rPr>
                <w:rFonts w:ascii="宋体" w:hAnsi="宋体"/>
                <w:color w:val="auto"/>
              </w:rPr>
            </w:pPr>
            <w:r>
              <w:rPr>
                <w:rFonts w:ascii="宋体" w:hAnsi="宋体"/>
                <w:color w:val="auto"/>
              </w:rPr>
              <w:t>《安全生产法》第六十二条。</w:t>
            </w:r>
          </w:p>
        </w:tc>
        <w:tc>
          <w:tcPr>
            <w:tcW w:w="719" w:type="pct"/>
            <w:vAlign w:val="center"/>
          </w:tcPr>
          <w:p w14:paraId="436A35D2">
            <w:pPr>
              <w:spacing w:line="260" w:lineRule="exact"/>
              <w:rPr>
                <w:rFonts w:ascii="宋体" w:hAnsi="宋体"/>
                <w:color w:val="auto"/>
              </w:rPr>
            </w:pPr>
            <w:r>
              <w:rPr>
                <w:rFonts w:hint="eastAsia" w:ascii="宋体" w:hAnsi="宋体"/>
                <w:color w:val="auto"/>
              </w:rPr>
              <w:t>不涉及</w:t>
            </w:r>
            <w:r>
              <w:rPr>
                <w:rFonts w:ascii="宋体" w:hAnsi="宋体"/>
                <w:color w:val="auto"/>
              </w:rPr>
              <w:t>液化烃球形储罐</w:t>
            </w:r>
          </w:p>
        </w:tc>
        <w:tc>
          <w:tcPr>
            <w:tcW w:w="388" w:type="pct"/>
            <w:vAlign w:val="center"/>
          </w:tcPr>
          <w:p w14:paraId="4FB4C0BC">
            <w:pPr>
              <w:spacing w:line="260" w:lineRule="exact"/>
              <w:rPr>
                <w:rFonts w:ascii="宋体" w:hAnsi="宋体"/>
                <w:color w:val="auto"/>
              </w:rPr>
            </w:pPr>
            <w:r>
              <w:rPr>
                <w:rFonts w:hint="eastAsia" w:ascii="宋体" w:hAnsi="宋体"/>
                <w:color w:val="auto"/>
              </w:rPr>
              <w:t>/</w:t>
            </w:r>
          </w:p>
        </w:tc>
      </w:tr>
      <w:tr w14:paraId="2D30F4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6967FC0">
            <w:pPr>
              <w:numPr>
                <w:ilvl w:val="0"/>
                <w:numId w:val="13"/>
              </w:numPr>
              <w:spacing w:line="260" w:lineRule="exact"/>
              <w:jc w:val="center"/>
              <w:rPr>
                <w:rFonts w:ascii="宋体" w:hAnsi="宋体"/>
                <w:color w:val="auto"/>
              </w:rPr>
            </w:pPr>
          </w:p>
        </w:tc>
        <w:tc>
          <w:tcPr>
            <w:tcW w:w="1319" w:type="pct"/>
            <w:vAlign w:val="center"/>
          </w:tcPr>
          <w:p w14:paraId="341B5F7C">
            <w:pPr>
              <w:spacing w:line="260" w:lineRule="exact"/>
              <w:rPr>
                <w:rFonts w:ascii="宋体" w:hAnsi="宋体"/>
                <w:color w:val="auto"/>
              </w:rPr>
            </w:pPr>
            <w:r>
              <w:rPr>
                <w:rFonts w:ascii="宋体" w:hAnsi="宋体"/>
                <w:color w:val="auto"/>
              </w:rPr>
              <w:t>液化烃、液氨、液氯等易燃易爆、有毒有害液化气体的充装未使用万向管道充装系统，且重大事故隐患排除前或者排除过程中无法保证安全的。（液氯钢瓶充装、电子级产品充装除外）</w:t>
            </w:r>
          </w:p>
        </w:tc>
        <w:tc>
          <w:tcPr>
            <w:tcW w:w="1398" w:type="pct"/>
            <w:vAlign w:val="center"/>
          </w:tcPr>
          <w:p w14:paraId="175AD0DB">
            <w:pPr>
              <w:spacing w:line="260" w:lineRule="exact"/>
              <w:rPr>
                <w:rFonts w:ascii="宋体" w:hAnsi="宋体"/>
                <w:color w:val="auto"/>
              </w:rPr>
            </w:pPr>
            <w:r>
              <w:rPr>
                <w:rFonts w:ascii="宋体" w:hAnsi="宋体"/>
                <w:color w:val="auto"/>
              </w:rPr>
              <w:t>《安全生产法》第六十二条；</w:t>
            </w:r>
          </w:p>
          <w:p w14:paraId="6CC56B0E">
            <w:pPr>
              <w:spacing w:line="260" w:lineRule="exact"/>
              <w:rPr>
                <w:rFonts w:ascii="宋体" w:hAnsi="宋体"/>
                <w:color w:val="auto"/>
              </w:rPr>
            </w:pPr>
            <w:r>
              <w:rPr>
                <w:rFonts w:ascii="宋体" w:hAnsi="宋体"/>
                <w:color w:val="auto"/>
              </w:rPr>
              <w:t>《化工和危险化学品生产经营单位重大生产安全事故隐患判定标准（试行）》第七条。</w:t>
            </w:r>
          </w:p>
        </w:tc>
        <w:tc>
          <w:tcPr>
            <w:tcW w:w="886" w:type="pct"/>
            <w:vAlign w:val="center"/>
          </w:tcPr>
          <w:p w14:paraId="52858461">
            <w:pPr>
              <w:spacing w:line="260" w:lineRule="exact"/>
              <w:rPr>
                <w:rFonts w:ascii="宋体" w:hAnsi="宋体"/>
                <w:color w:val="auto"/>
              </w:rPr>
            </w:pPr>
            <w:r>
              <w:rPr>
                <w:rFonts w:ascii="宋体" w:hAnsi="宋体"/>
                <w:color w:val="auto"/>
              </w:rPr>
              <w:t>《安全生产法》第六十二条。</w:t>
            </w:r>
          </w:p>
        </w:tc>
        <w:tc>
          <w:tcPr>
            <w:tcW w:w="719" w:type="pct"/>
            <w:vAlign w:val="center"/>
          </w:tcPr>
          <w:p w14:paraId="58439ED3">
            <w:pPr>
              <w:spacing w:line="260" w:lineRule="exact"/>
              <w:rPr>
                <w:rFonts w:ascii="宋体" w:hAnsi="宋体"/>
                <w:color w:val="auto"/>
              </w:rPr>
            </w:pPr>
            <w:r>
              <w:rPr>
                <w:rFonts w:hint="eastAsia" w:ascii="宋体" w:hAnsi="宋体"/>
                <w:color w:val="auto"/>
              </w:rPr>
              <w:t>不涉及</w:t>
            </w:r>
            <w:r>
              <w:rPr>
                <w:rFonts w:ascii="宋体" w:hAnsi="宋体"/>
                <w:color w:val="auto"/>
              </w:rPr>
              <w:t>液化烃、液氨、液氯等易燃易爆、有毒有害液化气体</w:t>
            </w:r>
          </w:p>
        </w:tc>
        <w:tc>
          <w:tcPr>
            <w:tcW w:w="388" w:type="pct"/>
            <w:vAlign w:val="center"/>
          </w:tcPr>
          <w:p w14:paraId="0CD3509D">
            <w:pPr>
              <w:spacing w:line="260" w:lineRule="exact"/>
              <w:rPr>
                <w:rFonts w:ascii="宋体" w:hAnsi="宋体"/>
                <w:color w:val="auto"/>
              </w:rPr>
            </w:pPr>
            <w:r>
              <w:rPr>
                <w:rFonts w:hint="eastAsia" w:ascii="宋体" w:hAnsi="宋体"/>
                <w:color w:val="auto"/>
              </w:rPr>
              <w:t>/</w:t>
            </w:r>
          </w:p>
        </w:tc>
      </w:tr>
      <w:tr w14:paraId="30A5A0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4041F380">
            <w:pPr>
              <w:numPr>
                <w:ilvl w:val="0"/>
                <w:numId w:val="13"/>
              </w:numPr>
              <w:spacing w:line="260" w:lineRule="exact"/>
              <w:jc w:val="center"/>
              <w:rPr>
                <w:rFonts w:ascii="宋体" w:hAnsi="宋体"/>
                <w:color w:val="auto"/>
              </w:rPr>
            </w:pPr>
          </w:p>
        </w:tc>
        <w:tc>
          <w:tcPr>
            <w:tcW w:w="1319" w:type="pct"/>
            <w:vAlign w:val="center"/>
          </w:tcPr>
          <w:p w14:paraId="66CFE747">
            <w:pPr>
              <w:spacing w:line="260" w:lineRule="exact"/>
              <w:rPr>
                <w:rFonts w:ascii="宋体" w:hAnsi="宋体"/>
                <w:color w:val="auto"/>
              </w:rPr>
            </w:pPr>
            <w:r>
              <w:rPr>
                <w:rFonts w:ascii="宋体" w:hAnsi="宋体"/>
                <w:color w:val="auto"/>
              </w:rPr>
              <w:t>氯乙烯气柜的进出口管道未设远程紧急切断阀；氯乙烯气柜的压力（钟罩内）、柜位高度不能实现在线连续监测；未设置气柜压力、柜位等联锁。存在以上三种情形之一，经责令限期改正，逾期未改正且情节严重的。</w:t>
            </w:r>
          </w:p>
        </w:tc>
        <w:tc>
          <w:tcPr>
            <w:tcW w:w="1398" w:type="pct"/>
            <w:vAlign w:val="center"/>
          </w:tcPr>
          <w:p w14:paraId="018CD026">
            <w:pPr>
              <w:spacing w:line="260" w:lineRule="exact"/>
              <w:rPr>
                <w:rFonts w:ascii="宋体" w:hAnsi="宋体"/>
                <w:color w:val="auto"/>
              </w:rPr>
            </w:pPr>
            <w:r>
              <w:rPr>
                <w:rFonts w:ascii="宋体" w:hAnsi="宋体"/>
                <w:color w:val="auto"/>
              </w:rPr>
              <w:t>《危险化学品重大危险源监督管理暂行规定》第十三条第二、三项；</w:t>
            </w:r>
          </w:p>
          <w:p w14:paraId="29F1500C">
            <w:pPr>
              <w:spacing w:line="260" w:lineRule="exact"/>
              <w:rPr>
                <w:rFonts w:ascii="宋体" w:hAnsi="宋体"/>
                <w:color w:val="auto"/>
              </w:rPr>
            </w:pPr>
            <w:r>
              <w:rPr>
                <w:rFonts w:ascii="宋体" w:hAnsi="宋体"/>
                <w:color w:val="auto"/>
              </w:rPr>
              <w:t>《危险化学品企业安全风险隐患排查治理导则》“9重点危险化学品特殊管控安全风险隐患排查清单（六）氯乙烯”第六、十一条。</w:t>
            </w:r>
          </w:p>
        </w:tc>
        <w:tc>
          <w:tcPr>
            <w:tcW w:w="886" w:type="pct"/>
            <w:vAlign w:val="center"/>
          </w:tcPr>
          <w:p w14:paraId="4082D83E">
            <w:pPr>
              <w:spacing w:line="260" w:lineRule="exact"/>
              <w:rPr>
                <w:rFonts w:ascii="宋体" w:hAnsi="宋体"/>
                <w:color w:val="auto"/>
              </w:rPr>
            </w:pPr>
            <w:r>
              <w:rPr>
                <w:rFonts w:ascii="宋体" w:hAnsi="宋体"/>
                <w:color w:val="auto"/>
              </w:rPr>
              <w:t>《安全生产法》第九十六条。</w:t>
            </w:r>
          </w:p>
        </w:tc>
        <w:tc>
          <w:tcPr>
            <w:tcW w:w="719" w:type="pct"/>
            <w:vAlign w:val="center"/>
          </w:tcPr>
          <w:p w14:paraId="6F534467">
            <w:pPr>
              <w:spacing w:line="260" w:lineRule="exact"/>
              <w:rPr>
                <w:rFonts w:ascii="宋体" w:hAnsi="宋体"/>
                <w:color w:val="auto"/>
              </w:rPr>
            </w:pPr>
            <w:r>
              <w:rPr>
                <w:rFonts w:hint="eastAsia" w:ascii="宋体" w:hAnsi="宋体"/>
                <w:color w:val="auto"/>
              </w:rPr>
              <w:t>不涉及</w:t>
            </w:r>
            <w:r>
              <w:rPr>
                <w:rFonts w:ascii="宋体" w:hAnsi="宋体"/>
                <w:color w:val="auto"/>
              </w:rPr>
              <w:t>氯乙烯</w:t>
            </w:r>
          </w:p>
        </w:tc>
        <w:tc>
          <w:tcPr>
            <w:tcW w:w="388" w:type="pct"/>
            <w:vAlign w:val="center"/>
          </w:tcPr>
          <w:p w14:paraId="495F1929">
            <w:pPr>
              <w:spacing w:line="260" w:lineRule="exact"/>
              <w:rPr>
                <w:rFonts w:ascii="宋体" w:hAnsi="宋体"/>
                <w:color w:val="auto"/>
              </w:rPr>
            </w:pPr>
            <w:r>
              <w:rPr>
                <w:rFonts w:hint="eastAsia" w:ascii="宋体" w:hAnsi="宋体"/>
                <w:color w:val="auto"/>
              </w:rPr>
              <w:t>/</w:t>
            </w:r>
          </w:p>
        </w:tc>
      </w:tr>
      <w:tr w14:paraId="4D2CD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DC4D534">
            <w:pPr>
              <w:numPr>
                <w:ilvl w:val="0"/>
                <w:numId w:val="13"/>
              </w:numPr>
              <w:spacing w:line="260" w:lineRule="exact"/>
              <w:jc w:val="center"/>
              <w:rPr>
                <w:rFonts w:ascii="宋体" w:hAnsi="宋体"/>
                <w:color w:val="auto"/>
              </w:rPr>
            </w:pPr>
          </w:p>
        </w:tc>
        <w:tc>
          <w:tcPr>
            <w:tcW w:w="1319" w:type="pct"/>
            <w:vAlign w:val="center"/>
          </w:tcPr>
          <w:p w14:paraId="363B3570">
            <w:pPr>
              <w:spacing w:line="260" w:lineRule="exact"/>
              <w:rPr>
                <w:rFonts w:ascii="宋体" w:hAnsi="宋体"/>
                <w:color w:val="auto"/>
              </w:rPr>
            </w:pPr>
            <w:r>
              <w:rPr>
                <w:rFonts w:ascii="宋体" w:hAnsi="宋体"/>
                <w:color w:val="auto"/>
              </w:rPr>
              <w:t>危险化学品生产、经营、使用企业主要负责人和安全生产管理人员未依法经考核合格。</w:t>
            </w:r>
          </w:p>
        </w:tc>
        <w:tc>
          <w:tcPr>
            <w:tcW w:w="1398" w:type="pct"/>
            <w:vAlign w:val="center"/>
          </w:tcPr>
          <w:p w14:paraId="7F4A2A3E">
            <w:pPr>
              <w:spacing w:line="260" w:lineRule="exact"/>
              <w:rPr>
                <w:rFonts w:ascii="宋体" w:hAnsi="宋体"/>
                <w:color w:val="auto"/>
              </w:rPr>
            </w:pPr>
            <w:r>
              <w:rPr>
                <w:rFonts w:ascii="宋体" w:hAnsi="宋体"/>
                <w:color w:val="auto"/>
              </w:rPr>
              <w:t>《安全生产法》第六十二条；</w:t>
            </w:r>
          </w:p>
          <w:p w14:paraId="1E174A9E">
            <w:pPr>
              <w:spacing w:line="260" w:lineRule="exact"/>
              <w:rPr>
                <w:rFonts w:ascii="宋体" w:hAnsi="宋体"/>
                <w:color w:val="auto"/>
              </w:rPr>
            </w:pPr>
            <w:r>
              <w:rPr>
                <w:rFonts w:ascii="宋体" w:hAnsi="宋体"/>
                <w:color w:val="auto"/>
              </w:rPr>
              <w:t>《危险化学品生产企业安全生产许可证实施办法》第十六条；</w:t>
            </w:r>
          </w:p>
          <w:p w14:paraId="33F78DEB">
            <w:pPr>
              <w:spacing w:line="260" w:lineRule="exact"/>
              <w:rPr>
                <w:rFonts w:ascii="宋体" w:hAnsi="宋体"/>
                <w:color w:val="auto"/>
              </w:rPr>
            </w:pPr>
            <w:r>
              <w:rPr>
                <w:rFonts w:ascii="宋体" w:hAnsi="宋体"/>
                <w:color w:val="auto"/>
              </w:rPr>
              <w:t>《危险化学品经营许可证管理办法》第六条第一款第二项；</w:t>
            </w:r>
          </w:p>
          <w:p w14:paraId="2B92BF61">
            <w:pPr>
              <w:spacing w:line="260" w:lineRule="exact"/>
              <w:rPr>
                <w:rFonts w:ascii="宋体" w:hAnsi="宋体"/>
                <w:color w:val="auto"/>
              </w:rPr>
            </w:pPr>
            <w:r>
              <w:rPr>
                <w:rFonts w:ascii="宋体" w:hAnsi="宋体"/>
                <w:color w:val="auto"/>
              </w:rPr>
              <w:t>《危险化学品安全使用许可证管理办法》第九条；</w:t>
            </w:r>
          </w:p>
          <w:p w14:paraId="29987690">
            <w:pPr>
              <w:spacing w:line="260" w:lineRule="exact"/>
              <w:rPr>
                <w:rFonts w:ascii="宋体" w:hAnsi="宋体"/>
                <w:color w:val="auto"/>
              </w:rPr>
            </w:pPr>
            <w:r>
              <w:rPr>
                <w:rFonts w:ascii="宋体" w:hAnsi="宋体"/>
                <w:color w:val="auto"/>
              </w:rPr>
              <w:t>《化工和危险化学品生产经营单位重大生产安全事故隐患判定标准（试行）》第一条。</w:t>
            </w:r>
          </w:p>
        </w:tc>
        <w:tc>
          <w:tcPr>
            <w:tcW w:w="886" w:type="pct"/>
            <w:vAlign w:val="center"/>
          </w:tcPr>
          <w:p w14:paraId="32831CB9">
            <w:pPr>
              <w:spacing w:line="260" w:lineRule="exact"/>
              <w:rPr>
                <w:rFonts w:ascii="宋体" w:hAnsi="宋体"/>
                <w:color w:val="auto"/>
              </w:rPr>
            </w:pPr>
            <w:r>
              <w:rPr>
                <w:rFonts w:ascii="宋体" w:hAnsi="宋体"/>
                <w:color w:val="auto"/>
              </w:rPr>
              <w:t>《安全生产法》第六十二条；</w:t>
            </w:r>
          </w:p>
          <w:p w14:paraId="47D42CE6">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126952D5">
            <w:pPr>
              <w:spacing w:line="260" w:lineRule="exact"/>
              <w:rPr>
                <w:rFonts w:ascii="宋体" w:hAnsi="宋体"/>
                <w:color w:val="auto"/>
              </w:rPr>
            </w:pPr>
            <w:r>
              <w:rPr>
                <w:rFonts w:hint="eastAsia" w:ascii="宋体" w:hAnsi="宋体"/>
                <w:color w:val="auto"/>
              </w:rPr>
              <w:t>主要负责人</w:t>
            </w:r>
            <w:r>
              <w:rPr>
                <w:rFonts w:ascii="宋体" w:hAnsi="宋体"/>
                <w:color w:val="auto"/>
              </w:rPr>
              <w:t>依法经考核合格</w:t>
            </w:r>
            <w:r>
              <w:rPr>
                <w:rFonts w:hint="eastAsia" w:ascii="宋体" w:hAnsi="宋体"/>
                <w:color w:val="auto"/>
              </w:rPr>
              <w:t>取证</w:t>
            </w:r>
          </w:p>
        </w:tc>
        <w:tc>
          <w:tcPr>
            <w:tcW w:w="388" w:type="pct"/>
            <w:vAlign w:val="center"/>
          </w:tcPr>
          <w:p w14:paraId="079960EA">
            <w:pPr>
              <w:spacing w:line="260" w:lineRule="exact"/>
              <w:rPr>
                <w:rFonts w:ascii="宋体" w:hAnsi="宋体"/>
                <w:color w:val="auto"/>
              </w:rPr>
            </w:pPr>
            <w:r>
              <w:rPr>
                <w:rFonts w:hint="eastAsia" w:ascii="宋体" w:hAnsi="宋体"/>
                <w:color w:val="auto"/>
              </w:rPr>
              <w:t>符合</w:t>
            </w:r>
          </w:p>
          <w:p w14:paraId="6F8C67EA">
            <w:pPr>
              <w:spacing w:line="260" w:lineRule="exact"/>
              <w:rPr>
                <w:rFonts w:ascii="宋体" w:hAnsi="宋体"/>
                <w:color w:val="auto"/>
              </w:rPr>
            </w:pPr>
            <w:r>
              <w:rPr>
                <w:rFonts w:hint="eastAsia" w:ascii="宋体" w:hAnsi="宋体"/>
                <w:color w:val="auto"/>
              </w:rPr>
              <w:t>要求</w:t>
            </w:r>
          </w:p>
        </w:tc>
      </w:tr>
      <w:tr w14:paraId="1B9BCD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869DA33">
            <w:pPr>
              <w:numPr>
                <w:ilvl w:val="0"/>
                <w:numId w:val="13"/>
              </w:numPr>
              <w:spacing w:line="260" w:lineRule="exact"/>
              <w:jc w:val="center"/>
              <w:rPr>
                <w:rFonts w:ascii="宋体" w:hAnsi="宋体"/>
                <w:color w:val="auto"/>
              </w:rPr>
            </w:pPr>
          </w:p>
        </w:tc>
        <w:tc>
          <w:tcPr>
            <w:tcW w:w="1319" w:type="pct"/>
            <w:vAlign w:val="center"/>
          </w:tcPr>
          <w:p w14:paraId="0E41E4C8">
            <w:pPr>
              <w:spacing w:line="260" w:lineRule="exact"/>
              <w:rPr>
                <w:rFonts w:ascii="宋体" w:hAnsi="宋体"/>
                <w:color w:val="auto"/>
              </w:rPr>
            </w:pPr>
            <w:r>
              <w:rPr>
                <w:rFonts w:ascii="宋体" w:hAnsi="宋体"/>
                <w:color w:val="auto"/>
              </w:rPr>
              <w:t>涉及危险化工工艺的特种作业人员未取得特种作业操作证而上岗操作的。</w:t>
            </w:r>
          </w:p>
        </w:tc>
        <w:tc>
          <w:tcPr>
            <w:tcW w:w="1398" w:type="pct"/>
            <w:vAlign w:val="center"/>
          </w:tcPr>
          <w:p w14:paraId="78F618B6">
            <w:pPr>
              <w:spacing w:line="260" w:lineRule="exact"/>
              <w:rPr>
                <w:rFonts w:ascii="宋体" w:hAnsi="宋体"/>
                <w:color w:val="auto"/>
              </w:rPr>
            </w:pPr>
            <w:r>
              <w:rPr>
                <w:rFonts w:ascii="宋体" w:hAnsi="宋体"/>
                <w:color w:val="auto"/>
              </w:rPr>
              <w:t>《安全生产法》第六十二条；</w:t>
            </w:r>
          </w:p>
          <w:p w14:paraId="37C912E3">
            <w:pPr>
              <w:spacing w:line="260" w:lineRule="exact"/>
              <w:rPr>
                <w:rFonts w:ascii="宋体" w:hAnsi="宋体"/>
                <w:color w:val="auto"/>
              </w:rPr>
            </w:pPr>
            <w:r>
              <w:rPr>
                <w:rFonts w:ascii="宋体" w:hAnsi="宋体"/>
                <w:color w:val="auto"/>
              </w:rPr>
              <w:t>《特种作业人员安全技术培训考核管理规定》第五条；</w:t>
            </w:r>
          </w:p>
          <w:p w14:paraId="012D8498">
            <w:pPr>
              <w:spacing w:line="260" w:lineRule="exact"/>
              <w:rPr>
                <w:rFonts w:ascii="宋体" w:hAnsi="宋体"/>
                <w:color w:val="auto"/>
              </w:rPr>
            </w:pPr>
            <w:r>
              <w:rPr>
                <w:rFonts w:ascii="宋体" w:hAnsi="宋体"/>
                <w:color w:val="auto"/>
              </w:rPr>
              <w:t>《化工和危险化学品生产经营单位重大生产安全事故隐患判定标准（试行）》第二条。</w:t>
            </w:r>
          </w:p>
        </w:tc>
        <w:tc>
          <w:tcPr>
            <w:tcW w:w="886" w:type="pct"/>
            <w:vAlign w:val="center"/>
          </w:tcPr>
          <w:p w14:paraId="4090EAA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CE3E617">
            <w:pPr>
              <w:spacing w:line="260" w:lineRule="exact"/>
              <w:rPr>
                <w:rFonts w:ascii="宋体" w:hAnsi="宋体"/>
                <w:color w:val="auto"/>
              </w:rPr>
            </w:pPr>
            <w:r>
              <w:rPr>
                <w:rFonts w:hint="eastAsia" w:ascii="宋体" w:hAnsi="宋体"/>
                <w:color w:val="auto"/>
              </w:rPr>
              <w:t>不涉及</w:t>
            </w:r>
            <w:r>
              <w:rPr>
                <w:rFonts w:ascii="宋体" w:hAnsi="宋体"/>
                <w:color w:val="auto"/>
              </w:rPr>
              <w:t>危险化工工艺</w:t>
            </w:r>
          </w:p>
        </w:tc>
        <w:tc>
          <w:tcPr>
            <w:tcW w:w="388" w:type="pct"/>
            <w:vAlign w:val="center"/>
          </w:tcPr>
          <w:p w14:paraId="25253EDE">
            <w:pPr>
              <w:spacing w:line="260" w:lineRule="exact"/>
              <w:rPr>
                <w:rFonts w:ascii="宋体" w:hAnsi="宋体"/>
                <w:color w:val="auto"/>
              </w:rPr>
            </w:pPr>
            <w:r>
              <w:rPr>
                <w:rFonts w:hint="eastAsia" w:ascii="宋体" w:hAnsi="宋体"/>
                <w:color w:val="auto"/>
              </w:rPr>
              <w:t>/</w:t>
            </w:r>
          </w:p>
        </w:tc>
      </w:tr>
      <w:tr w14:paraId="6AEE1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1497960">
            <w:pPr>
              <w:numPr>
                <w:ilvl w:val="0"/>
                <w:numId w:val="13"/>
              </w:numPr>
              <w:spacing w:line="260" w:lineRule="exact"/>
              <w:jc w:val="center"/>
              <w:rPr>
                <w:rFonts w:ascii="宋体" w:hAnsi="宋体"/>
                <w:color w:val="auto"/>
              </w:rPr>
            </w:pPr>
          </w:p>
        </w:tc>
        <w:tc>
          <w:tcPr>
            <w:tcW w:w="1319" w:type="pct"/>
            <w:vAlign w:val="center"/>
          </w:tcPr>
          <w:p w14:paraId="2084C191">
            <w:pPr>
              <w:spacing w:line="260" w:lineRule="exact"/>
              <w:rPr>
                <w:rFonts w:ascii="宋体" w:hAnsi="宋体"/>
                <w:color w:val="auto"/>
              </w:rPr>
            </w:pPr>
            <w:r>
              <w:rPr>
                <w:rFonts w:ascii="宋体" w:hAnsi="宋体"/>
                <w:color w:val="auto"/>
              </w:rPr>
              <w:t>未建立安全生产责任制。</w:t>
            </w:r>
          </w:p>
        </w:tc>
        <w:tc>
          <w:tcPr>
            <w:tcW w:w="1398" w:type="pct"/>
            <w:vAlign w:val="center"/>
          </w:tcPr>
          <w:p w14:paraId="448AA041">
            <w:pPr>
              <w:spacing w:line="260" w:lineRule="exact"/>
              <w:rPr>
                <w:rFonts w:ascii="宋体" w:hAnsi="宋体"/>
                <w:color w:val="auto"/>
              </w:rPr>
            </w:pPr>
            <w:r>
              <w:rPr>
                <w:rFonts w:ascii="宋体" w:hAnsi="宋体"/>
                <w:color w:val="auto"/>
              </w:rPr>
              <w:t>《安全生产法》第六十二条；</w:t>
            </w:r>
          </w:p>
          <w:p w14:paraId="1460B28B">
            <w:pPr>
              <w:spacing w:line="260" w:lineRule="exact"/>
              <w:rPr>
                <w:rFonts w:ascii="宋体" w:hAnsi="宋体"/>
                <w:color w:val="auto"/>
              </w:rPr>
            </w:pPr>
            <w:r>
              <w:rPr>
                <w:rFonts w:ascii="宋体" w:hAnsi="宋体"/>
                <w:color w:val="auto"/>
              </w:rPr>
              <w:t>《化工和危险化学品生产经营单位重大生产安全事故隐患判定标准（试行）》第十六条。</w:t>
            </w:r>
          </w:p>
        </w:tc>
        <w:tc>
          <w:tcPr>
            <w:tcW w:w="886" w:type="pct"/>
            <w:vAlign w:val="center"/>
          </w:tcPr>
          <w:p w14:paraId="69ECA43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3F7BCE62">
            <w:pPr>
              <w:spacing w:line="260" w:lineRule="exact"/>
              <w:rPr>
                <w:rFonts w:ascii="宋体" w:hAnsi="宋体"/>
                <w:color w:val="auto"/>
              </w:rPr>
            </w:pPr>
            <w:r>
              <w:rPr>
                <w:rFonts w:ascii="宋体" w:hAnsi="宋体"/>
                <w:color w:val="auto"/>
              </w:rPr>
              <w:t>建立</w:t>
            </w:r>
            <w:r>
              <w:rPr>
                <w:rFonts w:hint="eastAsia" w:ascii="宋体" w:hAnsi="宋体"/>
                <w:color w:val="auto"/>
              </w:rPr>
              <w:t>了</w:t>
            </w:r>
            <w:r>
              <w:rPr>
                <w:rFonts w:ascii="宋体" w:hAnsi="宋体"/>
                <w:color w:val="auto"/>
              </w:rPr>
              <w:t>安全生产责任制</w:t>
            </w:r>
          </w:p>
        </w:tc>
        <w:tc>
          <w:tcPr>
            <w:tcW w:w="388" w:type="pct"/>
            <w:vAlign w:val="center"/>
          </w:tcPr>
          <w:p w14:paraId="1A5DF7B4">
            <w:pPr>
              <w:spacing w:line="260" w:lineRule="exact"/>
              <w:rPr>
                <w:rFonts w:ascii="宋体" w:hAnsi="宋体"/>
                <w:color w:val="auto"/>
              </w:rPr>
            </w:pPr>
            <w:r>
              <w:rPr>
                <w:rFonts w:hint="eastAsia" w:ascii="宋体" w:hAnsi="宋体"/>
                <w:color w:val="auto"/>
              </w:rPr>
              <w:t>符合</w:t>
            </w:r>
          </w:p>
          <w:p w14:paraId="4A83F7F7">
            <w:pPr>
              <w:spacing w:line="260" w:lineRule="exact"/>
              <w:rPr>
                <w:rFonts w:ascii="宋体" w:hAnsi="宋体"/>
                <w:color w:val="auto"/>
              </w:rPr>
            </w:pPr>
            <w:r>
              <w:rPr>
                <w:rFonts w:hint="eastAsia" w:ascii="宋体" w:hAnsi="宋体"/>
                <w:color w:val="auto"/>
              </w:rPr>
              <w:t>要求</w:t>
            </w:r>
          </w:p>
        </w:tc>
      </w:tr>
      <w:tr w14:paraId="40D201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2869F75">
            <w:pPr>
              <w:numPr>
                <w:ilvl w:val="0"/>
                <w:numId w:val="13"/>
              </w:numPr>
              <w:spacing w:line="260" w:lineRule="exact"/>
              <w:jc w:val="center"/>
              <w:rPr>
                <w:rFonts w:ascii="宋体" w:hAnsi="宋体"/>
                <w:color w:val="auto"/>
              </w:rPr>
            </w:pPr>
          </w:p>
        </w:tc>
        <w:tc>
          <w:tcPr>
            <w:tcW w:w="1319" w:type="pct"/>
            <w:vAlign w:val="center"/>
          </w:tcPr>
          <w:p w14:paraId="4242690A">
            <w:pPr>
              <w:spacing w:line="260" w:lineRule="exact"/>
              <w:rPr>
                <w:rFonts w:ascii="宋体" w:hAnsi="宋体"/>
                <w:color w:val="auto"/>
              </w:rPr>
            </w:pPr>
            <w:r>
              <w:rPr>
                <w:rFonts w:ascii="宋体" w:hAnsi="宋体"/>
                <w:color w:val="auto"/>
              </w:rPr>
              <w:t>未编制岗位操作规程，未明确关键工艺控制指标。</w:t>
            </w:r>
          </w:p>
        </w:tc>
        <w:tc>
          <w:tcPr>
            <w:tcW w:w="1398" w:type="pct"/>
            <w:vAlign w:val="center"/>
          </w:tcPr>
          <w:p w14:paraId="3C68728E">
            <w:pPr>
              <w:spacing w:line="260" w:lineRule="exact"/>
              <w:rPr>
                <w:rFonts w:ascii="宋体" w:hAnsi="宋体"/>
                <w:color w:val="auto"/>
              </w:rPr>
            </w:pPr>
            <w:r>
              <w:rPr>
                <w:rFonts w:ascii="宋体" w:hAnsi="宋体"/>
                <w:color w:val="auto"/>
              </w:rPr>
              <w:t>《安全生产法》第六十二条；</w:t>
            </w:r>
          </w:p>
          <w:p w14:paraId="19992DF4">
            <w:pPr>
              <w:spacing w:line="260" w:lineRule="exact"/>
              <w:rPr>
                <w:rFonts w:ascii="宋体" w:hAnsi="宋体"/>
                <w:color w:val="auto"/>
              </w:rPr>
            </w:pPr>
            <w:r>
              <w:rPr>
                <w:rFonts w:ascii="宋体" w:hAnsi="宋体"/>
                <w:color w:val="auto"/>
              </w:rPr>
              <w:t>《危险化学品生产企业安全生产许可证实施办法》第四十三条；</w:t>
            </w:r>
          </w:p>
          <w:p w14:paraId="6526D283">
            <w:pPr>
              <w:spacing w:line="260" w:lineRule="exact"/>
              <w:rPr>
                <w:rFonts w:ascii="宋体" w:hAnsi="宋体"/>
                <w:color w:val="auto"/>
              </w:rPr>
            </w:pPr>
            <w:r>
              <w:rPr>
                <w:rFonts w:ascii="宋体" w:hAnsi="宋体"/>
                <w:color w:val="auto"/>
              </w:rPr>
              <w:t>《化工和危险化学品生产经营单位重大生产安全事故隐患判定标准（试行）》第十七条。</w:t>
            </w:r>
          </w:p>
        </w:tc>
        <w:tc>
          <w:tcPr>
            <w:tcW w:w="886" w:type="pct"/>
            <w:vAlign w:val="center"/>
          </w:tcPr>
          <w:p w14:paraId="381BA166">
            <w:pPr>
              <w:spacing w:line="260" w:lineRule="exact"/>
              <w:rPr>
                <w:rFonts w:ascii="宋体" w:hAnsi="宋体"/>
                <w:color w:val="auto"/>
              </w:rPr>
            </w:pPr>
            <w:r>
              <w:rPr>
                <w:rFonts w:ascii="宋体" w:hAnsi="宋体"/>
                <w:color w:val="auto"/>
              </w:rPr>
              <w:t>《安全生产法》第六十二条；</w:t>
            </w:r>
          </w:p>
          <w:p w14:paraId="6434AA2C">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7ABB60C4">
            <w:pPr>
              <w:spacing w:line="260" w:lineRule="exact"/>
              <w:rPr>
                <w:rFonts w:ascii="宋体" w:hAnsi="宋体"/>
                <w:color w:val="auto"/>
              </w:rPr>
            </w:pPr>
            <w:r>
              <w:rPr>
                <w:rFonts w:ascii="宋体" w:hAnsi="宋体"/>
                <w:color w:val="auto"/>
              </w:rPr>
              <w:t>编制</w:t>
            </w:r>
            <w:r>
              <w:rPr>
                <w:rFonts w:hint="eastAsia" w:ascii="宋体" w:hAnsi="宋体"/>
                <w:color w:val="auto"/>
              </w:rPr>
              <w:t>了</w:t>
            </w:r>
            <w:r>
              <w:rPr>
                <w:rFonts w:ascii="宋体" w:hAnsi="宋体"/>
                <w:color w:val="auto"/>
              </w:rPr>
              <w:t>岗位操作规程</w:t>
            </w:r>
          </w:p>
        </w:tc>
        <w:tc>
          <w:tcPr>
            <w:tcW w:w="388" w:type="pct"/>
            <w:vAlign w:val="center"/>
          </w:tcPr>
          <w:p w14:paraId="51CF2D65">
            <w:pPr>
              <w:spacing w:line="260" w:lineRule="exact"/>
              <w:rPr>
                <w:rFonts w:ascii="宋体" w:hAnsi="宋体"/>
                <w:color w:val="auto"/>
              </w:rPr>
            </w:pPr>
            <w:r>
              <w:rPr>
                <w:rFonts w:hint="eastAsia" w:ascii="宋体" w:hAnsi="宋体"/>
                <w:color w:val="auto"/>
              </w:rPr>
              <w:t>符合</w:t>
            </w:r>
          </w:p>
          <w:p w14:paraId="6B99A8FE">
            <w:pPr>
              <w:spacing w:line="260" w:lineRule="exact"/>
              <w:rPr>
                <w:rFonts w:ascii="宋体" w:hAnsi="宋体"/>
                <w:color w:val="auto"/>
              </w:rPr>
            </w:pPr>
            <w:r>
              <w:rPr>
                <w:rFonts w:hint="eastAsia" w:ascii="宋体" w:hAnsi="宋体"/>
                <w:color w:val="auto"/>
              </w:rPr>
              <w:t>要求</w:t>
            </w:r>
          </w:p>
        </w:tc>
      </w:tr>
      <w:tr w14:paraId="4B585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313CC30">
            <w:pPr>
              <w:numPr>
                <w:ilvl w:val="0"/>
                <w:numId w:val="13"/>
              </w:numPr>
              <w:spacing w:line="260" w:lineRule="exact"/>
              <w:jc w:val="center"/>
              <w:rPr>
                <w:rFonts w:ascii="宋体" w:hAnsi="宋体"/>
                <w:color w:val="auto"/>
              </w:rPr>
            </w:pPr>
          </w:p>
        </w:tc>
        <w:tc>
          <w:tcPr>
            <w:tcW w:w="1319" w:type="pct"/>
            <w:vAlign w:val="center"/>
          </w:tcPr>
          <w:p w14:paraId="5FA421D0">
            <w:pPr>
              <w:spacing w:line="260" w:lineRule="exact"/>
              <w:rPr>
                <w:rFonts w:ascii="宋体" w:hAnsi="宋体"/>
                <w:color w:val="auto"/>
              </w:rPr>
            </w:pPr>
            <w:r>
              <w:rPr>
                <w:rFonts w:ascii="宋体" w:hAnsi="宋体"/>
                <w:color w:val="auto"/>
              </w:rPr>
              <w:t>动火、进入受限空间等特殊作业管理制度不符合国家标准，实施特殊作业前未办理审批手续或风险控制措施未落实，且重大事故隐患排除前或者排除过程中无法保证安全的。</w:t>
            </w:r>
          </w:p>
        </w:tc>
        <w:tc>
          <w:tcPr>
            <w:tcW w:w="1398" w:type="pct"/>
            <w:vAlign w:val="center"/>
          </w:tcPr>
          <w:p w14:paraId="6E38BC9D">
            <w:pPr>
              <w:spacing w:line="260" w:lineRule="exact"/>
              <w:rPr>
                <w:rFonts w:ascii="宋体" w:hAnsi="宋体"/>
                <w:color w:val="auto"/>
              </w:rPr>
            </w:pPr>
            <w:r>
              <w:rPr>
                <w:rFonts w:ascii="宋体" w:hAnsi="宋体"/>
                <w:color w:val="auto"/>
              </w:rPr>
              <w:t>《安全生产法》第六十二条；</w:t>
            </w:r>
          </w:p>
          <w:p w14:paraId="2843B30B">
            <w:pPr>
              <w:spacing w:line="260" w:lineRule="exact"/>
              <w:rPr>
                <w:rFonts w:ascii="宋体" w:hAnsi="宋体"/>
                <w:color w:val="auto"/>
              </w:rPr>
            </w:pPr>
            <w:r>
              <w:rPr>
                <w:rFonts w:ascii="宋体" w:hAnsi="宋体"/>
                <w:color w:val="auto"/>
              </w:rPr>
              <w:t>《化工和危险化学品生产经营单位重大生产安全事故隐患判定标准（试行）》第十八条。</w:t>
            </w:r>
          </w:p>
        </w:tc>
        <w:tc>
          <w:tcPr>
            <w:tcW w:w="886" w:type="pct"/>
            <w:vAlign w:val="center"/>
          </w:tcPr>
          <w:p w14:paraId="15FE9AD5">
            <w:pPr>
              <w:spacing w:line="260" w:lineRule="exact"/>
              <w:rPr>
                <w:rFonts w:ascii="宋体" w:hAnsi="宋体"/>
                <w:color w:val="auto"/>
              </w:rPr>
            </w:pPr>
            <w:r>
              <w:rPr>
                <w:rFonts w:ascii="宋体" w:hAnsi="宋体"/>
                <w:color w:val="auto"/>
              </w:rPr>
              <w:t>《安全生产法》第六十二条。</w:t>
            </w:r>
          </w:p>
        </w:tc>
        <w:tc>
          <w:tcPr>
            <w:tcW w:w="719" w:type="pct"/>
            <w:vAlign w:val="center"/>
          </w:tcPr>
          <w:p w14:paraId="7BF18B35">
            <w:pPr>
              <w:spacing w:line="260" w:lineRule="exact"/>
              <w:rPr>
                <w:rFonts w:ascii="宋体" w:hAnsi="宋体"/>
                <w:color w:val="auto"/>
              </w:rPr>
            </w:pPr>
            <w:r>
              <w:rPr>
                <w:rFonts w:hint="eastAsia" w:ascii="宋体" w:hAnsi="宋体"/>
                <w:color w:val="auto"/>
              </w:rPr>
              <w:t>制定了特殊危险作业管理制度并有效执行。</w:t>
            </w:r>
          </w:p>
        </w:tc>
        <w:tc>
          <w:tcPr>
            <w:tcW w:w="388" w:type="pct"/>
            <w:vAlign w:val="center"/>
          </w:tcPr>
          <w:p w14:paraId="5549CCCC">
            <w:pPr>
              <w:spacing w:line="260" w:lineRule="exact"/>
              <w:rPr>
                <w:rFonts w:ascii="宋体" w:hAnsi="宋体"/>
                <w:color w:val="auto"/>
              </w:rPr>
            </w:pPr>
            <w:r>
              <w:rPr>
                <w:rFonts w:hint="eastAsia" w:ascii="宋体" w:hAnsi="宋体"/>
                <w:color w:val="auto"/>
              </w:rPr>
              <w:t>符合</w:t>
            </w:r>
          </w:p>
          <w:p w14:paraId="103A937F">
            <w:pPr>
              <w:spacing w:line="260" w:lineRule="exact"/>
              <w:rPr>
                <w:rFonts w:ascii="宋体" w:hAnsi="宋体"/>
                <w:color w:val="auto"/>
              </w:rPr>
            </w:pPr>
            <w:r>
              <w:rPr>
                <w:rFonts w:hint="eastAsia" w:ascii="宋体" w:hAnsi="宋体"/>
                <w:color w:val="auto"/>
              </w:rPr>
              <w:t>要求</w:t>
            </w:r>
          </w:p>
        </w:tc>
      </w:tr>
      <w:tr w14:paraId="331A0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4CCF0BD">
            <w:pPr>
              <w:numPr>
                <w:ilvl w:val="0"/>
                <w:numId w:val="13"/>
              </w:numPr>
              <w:spacing w:line="260" w:lineRule="exact"/>
              <w:jc w:val="center"/>
              <w:rPr>
                <w:rFonts w:ascii="宋体" w:hAnsi="宋体"/>
                <w:color w:val="auto"/>
              </w:rPr>
            </w:pPr>
          </w:p>
        </w:tc>
        <w:tc>
          <w:tcPr>
            <w:tcW w:w="1319" w:type="pct"/>
            <w:vAlign w:val="center"/>
          </w:tcPr>
          <w:p w14:paraId="146898FF">
            <w:pPr>
              <w:spacing w:line="260" w:lineRule="exact"/>
              <w:rPr>
                <w:rFonts w:ascii="宋体" w:hAnsi="宋体"/>
                <w:color w:val="auto"/>
              </w:rPr>
            </w:pPr>
            <w:r>
              <w:rPr>
                <w:rFonts w:ascii="宋体" w:hAnsi="宋体"/>
                <w:color w:val="auto"/>
              </w:rPr>
              <w:t>列入精细化工反应安全风险评估范围的精细化工生产装置未开展评估，且重大事故隐患排除前或者排除过程中无法保证安全的。</w:t>
            </w:r>
          </w:p>
        </w:tc>
        <w:tc>
          <w:tcPr>
            <w:tcW w:w="1398" w:type="pct"/>
            <w:vAlign w:val="center"/>
          </w:tcPr>
          <w:p w14:paraId="03A544F5">
            <w:pPr>
              <w:spacing w:line="260" w:lineRule="exact"/>
              <w:rPr>
                <w:rFonts w:ascii="宋体" w:hAnsi="宋体"/>
                <w:color w:val="auto"/>
              </w:rPr>
            </w:pPr>
            <w:r>
              <w:rPr>
                <w:rFonts w:ascii="宋体" w:hAnsi="宋体"/>
                <w:color w:val="auto"/>
              </w:rPr>
              <w:t>《安全生产法》第六十二条；</w:t>
            </w:r>
          </w:p>
          <w:p w14:paraId="324D072D">
            <w:pPr>
              <w:spacing w:line="260" w:lineRule="exact"/>
              <w:rPr>
                <w:rFonts w:ascii="宋体" w:hAnsi="宋体"/>
                <w:color w:val="auto"/>
              </w:rPr>
            </w:pPr>
            <w:r>
              <w:rPr>
                <w:rFonts w:ascii="宋体" w:hAnsi="宋体"/>
                <w:color w:val="auto"/>
              </w:rPr>
              <w:t>《化工和危险化学品生产经营单位重大生产安全事故隐患判定标准（试行）》第十九条。</w:t>
            </w:r>
          </w:p>
        </w:tc>
        <w:tc>
          <w:tcPr>
            <w:tcW w:w="886" w:type="pct"/>
            <w:vAlign w:val="center"/>
          </w:tcPr>
          <w:p w14:paraId="593ABA28">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FF1E894">
            <w:pPr>
              <w:spacing w:line="260" w:lineRule="exact"/>
              <w:rPr>
                <w:rFonts w:ascii="宋体" w:hAnsi="宋体"/>
                <w:color w:val="auto"/>
              </w:rPr>
            </w:pPr>
            <w:r>
              <w:rPr>
                <w:rFonts w:hint="eastAsia" w:ascii="宋体" w:hAnsi="宋体"/>
                <w:color w:val="auto"/>
              </w:rPr>
              <w:t>不涉及</w:t>
            </w:r>
            <w:r>
              <w:rPr>
                <w:rFonts w:ascii="宋体" w:hAnsi="宋体"/>
                <w:color w:val="auto"/>
              </w:rPr>
              <w:t>精细化工生产装置</w:t>
            </w:r>
          </w:p>
        </w:tc>
        <w:tc>
          <w:tcPr>
            <w:tcW w:w="388" w:type="pct"/>
            <w:vAlign w:val="center"/>
          </w:tcPr>
          <w:p w14:paraId="2585A43A">
            <w:pPr>
              <w:spacing w:line="260" w:lineRule="exact"/>
              <w:rPr>
                <w:rFonts w:ascii="宋体" w:hAnsi="宋体"/>
                <w:color w:val="auto"/>
              </w:rPr>
            </w:pPr>
            <w:r>
              <w:rPr>
                <w:rFonts w:hint="eastAsia" w:ascii="宋体" w:hAnsi="宋体"/>
                <w:color w:val="auto"/>
              </w:rPr>
              <w:t>/</w:t>
            </w:r>
          </w:p>
        </w:tc>
      </w:tr>
      <w:tr w14:paraId="4E73CC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72966350">
            <w:pPr>
              <w:numPr>
                <w:ilvl w:val="0"/>
                <w:numId w:val="13"/>
              </w:numPr>
              <w:spacing w:line="260" w:lineRule="exact"/>
              <w:jc w:val="center"/>
              <w:rPr>
                <w:rFonts w:ascii="宋体" w:hAnsi="宋体"/>
                <w:color w:val="auto"/>
              </w:rPr>
            </w:pPr>
          </w:p>
        </w:tc>
        <w:tc>
          <w:tcPr>
            <w:tcW w:w="1319" w:type="pct"/>
            <w:vAlign w:val="center"/>
          </w:tcPr>
          <w:p w14:paraId="4DD532D3">
            <w:pPr>
              <w:spacing w:line="260" w:lineRule="exact"/>
              <w:rPr>
                <w:rFonts w:ascii="宋体" w:hAnsi="宋体"/>
                <w:color w:val="auto"/>
              </w:rPr>
            </w:pPr>
            <w:r>
              <w:rPr>
                <w:rFonts w:ascii="宋体" w:hAnsi="宋体"/>
                <w:color w:val="auto"/>
              </w:rPr>
              <w:t>未按国家标准分区分类储存危险化学品，超量、超品种储存危险化学品，相互禁配物质混放混存，且重大事故隐患排除前或者排除过程中无法保证安全的。</w:t>
            </w:r>
          </w:p>
        </w:tc>
        <w:tc>
          <w:tcPr>
            <w:tcW w:w="1398" w:type="pct"/>
            <w:vAlign w:val="center"/>
          </w:tcPr>
          <w:p w14:paraId="44898187">
            <w:pPr>
              <w:spacing w:line="260" w:lineRule="exact"/>
              <w:rPr>
                <w:rFonts w:ascii="宋体" w:hAnsi="宋体"/>
                <w:color w:val="auto"/>
              </w:rPr>
            </w:pPr>
            <w:r>
              <w:rPr>
                <w:rFonts w:ascii="宋体" w:hAnsi="宋体"/>
                <w:color w:val="auto"/>
              </w:rPr>
              <w:t>《安全生产法》第六十二条；</w:t>
            </w:r>
          </w:p>
          <w:p w14:paraId="065A377A">
            <w:pPr>
              <w:spacing w:line="260" w:lineRule="exact"/>
              <w:rPr>
                <w:rFonts w:ascii="宋体" w:hAnsi="宋体"/>
                <w:color w:val="auto"/>
              </w:rPr>
            </w:pPr>
            <w:r>
              <w:rPr>
                <w:rFonts w:ascii="宋体" w:hAnsi="宋体"/>
                <w:color w:val="auto"/>
              </w:rPr>
              <w:t>《化工和危险化学品生产经营单位重大生产安全事故隐患判定标准（试行）》第二十条。</w:t>
            </w:r>
          </w:p>
        </w:tc>
        <w:tc>
          <w:tcPr>
            <w:tcW w:w="886" w:type="pct"/>
            <w:vAlign w:val="center"/>
          </w:tcPr>
          <w:p w14:paraId="66CEF886">
            <w:pPr>
              <w:spacing w:line="260" w:lineRule="exact"/>
              <w:rPr>
                <w:rFonts w:ascii="宋体" w:hAnsi="宋体"/>
                <w:color w:val="auto"/>
              </w:rPr>
            </w:pPr>
            <w:r>
              <w:rPr>
                <w:rFonts w:ascii="宋体" w:hAnsi="宋体"/>
                <w:color w:val="auto"/>
              </w:rPr>
              <w:t>《安全生产法》第六十二条；</w:t>
            </w:r>
          </w:p>
          <w:p w14:paraId="17F8B521">
            <w:pPr>
              <w:spacing w:line="260" w:lineRule="exact"/>
              <w:rPr>
                <w:rFonts w:ascii="宋体" w:hAnsi="宋体"/>
                <w:color w:val="auto"/>
              </w:rPr>
            </w:pPr>
            <w:r>
              <w:rPr>
                <w:rFonts w:ascii="宋体" w:hAnsi="宋体"/>
                <w:color w:val="auto"/>
              </w:rPr>
              <w:t>《危险化学品安全管理条例》第八十条第五款。</w:t>
            </w:r>
          </w:p>
        </w:tc>
        <w:tc>
          <w:tcPr>
            <w:tcW w:w="719" w:type="pct"/>
            <w:vAlign w:val="center"/>
          </w:tcPr>
          <w:p w14:paraId="1CBF3D4C">
            <w:pPr>
              <w:spacing w:line="260" w:lineRule="exact"/>
              <w:rPr>
                <w:rFonts w:ascii="宋体" w:hAnsi="宋体"/>
                <w:color w:val="auto"/>
              </w:rPr>
            </w:pPr>
            <w:r>
              <w:rPr>
                <w:rFonts w:hint="eastAsia" w:ascii="宋体" w:hAnsi="宋体"/>
                <w:color w:val="auto"/>
                <w:lang w:eastAsia="zh-CN"/>
              </w:rPr>
              <w:t>现场勘查</w:t>
            </w:r>
            <w:r>
              <w:rPr>
                <w:rFonts w:hint="eastAsia" w:ascii="宋体" w:hAnsi="宋体"/>
                <w:color w:val="auto"/>
              </w:rPr>
              <w:t>未发现</w:t>
            </w:r>
            <w:r>
              <w:rPr>
                <w:rFonts w:ascii="宋体" w:hAnsi="宋体"/>
                <w:color w:val="auto"/>
              </w:rPr>
              <w:t>超量、超品种储存危险化学品，相互禁配物质混放混存</w:t>
            </w:r>
          </w:p>
        </w:tc>
        <w:tc>
          <w:tcPr>
            <w:tcW w:w="388" w:type="pct"/>
            <w:vAlign w:val="center"/>
          </w:tcPr>
          <w:p w14:paraId="3EF8F19F">
            <w:pPr>
              <w:spacing w:line="260" w:lineRule="exact"/>
              <w:rPr>
                <w:rFonts w:ascii="宋体" w:hAnsi="宋体"/>
                <w:color w:val="auto"/>
              </w:rPr>
            </w:pPr>
            <w:r>
              <w:rPr>
                <w:rFonts w:hint="eastAsia" w:ascii="宋体" w:hAnsi="宋体"/>
                <w:color w:val="auto"/>
              </w:rPr>
              <w:t>符合</w:t>
            </w:r>
          </w:p>
          <w:p w14:paraId="779CDAB8">
            <w:pPr>
              <w:spacing w:line="260" w:lineRule="exact"/>
              <w:rPr>
                <w:rFonts w:ascii="宋体" w:hAnsi="宋体"/>
                <w:color w:val="auto"/>
              </w:rPr>
            </w:pPr>
            <w:r>
              <w:rPr>
                <w:rFonts w:hint="eastAsia" w:ascii="宋体" w:hAnsi="宋体"/>
                <w:color w:val="auto"/>
              </w:rPr>
              <w:t>要求</w:t>
            </w:r>
          </w:p>
        </w:tc>
      </w:tr>
      <w:tr w14:paraId="169F1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trPr>
        <w:tc>
          <w:tcPr>
            <w:tcW w:w="5000" w:type="pct"/>
            <w:gridSpan w:val="6"/>
            <w:vAlign w:val="center"/>
          </w:tcPr>
          <w:p w14:paraId="3C174EC6">
            <w:pPr>
              <w:spacing w:line="260" w:lineRule="exact"/>
              <w:rPr>
                <w:rFonts w:ascii="宋体" w:hAnsi="宋体"/>
                <w:b/>
                <w:color w:val="auto"/>
              </w:rPr>
            </w:pPr>
            <w:r>
              <w:rPr>
                <w:rFonts w:ascii="宋体" w:hAnsi="宋体"/>
                <w:b/>
                <w:color w:val="auto"/>
              </w:rPr>
              <w:t>三、限期改正类</w:t>
            </w:r>
          </w:p>
        </w:tc>
      </w:tr>
      <w:tr w14:paraId="370A0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9A0D3D1">
            <w:pPr>
              <w:numPr>
                <w:ilvl w:val="0"/>
                <w:numId w:val="14"/>
              </w:numPr>
              <w:spacing w:line="260" w:lineRule="exact"/>
              <w:jc w:val="center"/>
              <w:rPr>
                <w:rFonts w:ascii="宋体" w:hAnsi="宋体"/>
                <w:color w:val="auto"/>
              </w:rPr>
            </w:pPr>
          </w:p>
        </w:tc>
        <w:tc>
          <w:tcPr>
            <w:tcW w:w="1319" w:type="pct"/>
            <w:vAlign w:val="center"/>
          </w:tcPr>
          <w:p w14:paraId="3742432D">
            <w:pPr>
              <w:spacing w:line="260" w:lineRule="exact"/>
              <w:rPr>
                <w:rFonts w:ascii="宋体" w:hAnsi="宋体"/>
                <w:color w:val="auto"/>
              </w:rPr>
            </w:pPr>
            <w:r>
              <w:rPr>
                <w:rFonts w:ascii="宋体" w:hAnsi="宋体"/>
                <w:color w:val="auto"/>
              </w:rPr>
              <w:t>涉及“两重点一重大”建设项目未按要求组织开展危险与可操作性分析（HAZOP）。</w:t>
            </w:r>
          </w:p>
        </w:tc>
        <w:tc>
          <w:tcPr>
            <w:tcW w:w="1398" w:type="pct"/>
            <w:vAlign w:val="center"/>
          </w:tcPr>
          <w:p w14:paraId="664CD0FD">
            <w:pPr>
              <w:spacing w:line="260" w:lineRule="exact"/>
              <w:rPr>
                <w:rFonts w:ascii="宋体" w:hAnsi="宋体"/>
                <w:color w:val="auto"/>
              </w:rPr>
            </w:pPr>
            <w:r>
              <w:rPr>
                <w:rFonts w:ascii="宋体" w:hAnsi="宋体"/>
                <w:color w:val="auto"/>
              </w:rPr>
              <w:t>《安全生产法》第三十八条；</w:t>
            </w:r>
          </w:p>
          <w:p w14:paraId="4E68AB73">
            <w:pPr>
              <w:spacing w:line="260" w:lineRule="exact"/>
              <w:rPr>
                <w:rFonts w:ascii="宋体" w:hAnsi="宋体"/>
                <w:color w:val="auto"/>
              </w:rPr>
            </w:pPr>
            <w:r>
              <w:rPr>
                <w:rFonts w:ascii="宋体" w:hAnsi="宋体"/>
                <w:color w:val="auto"/>
              </w:rPr>
              <w:t>《危险化学品企业安全风险隐患排查治理导则》3.2.3。</w:t>
            </w:r>
          </w:p>
        </w:tc>
        <w:tc>
          <w:tcPr>
            <w:tcW w:w="886" w:type="pct"/>
            <w:vAlign w:val="center"/>
          </w:tcPr>
          <w:p w14:paraId="60EA1688">
            <w:pPr>
              <w:spacing w:line="260" w:lineRule="exact"/>
              <w:rPr>
                <w:rFonts w:ascii="宋体" w:hAnsi="宋体"/>
                <w:color w:val="auto"/>
              </w:rPr>
            </w:pPr>
            <w:r>
              <w:rPr>
                <w:rFonts w:ascii="宋体" w:hAnsi="宋体"/>
                <w:color w:val="auto"/>
              </w:rPr>
              <w:t>《安全生产法》第九十九条。</w:t>
            </w:r>
          </w:p>
        </w:tc>
        <w:tc>
          <w:tcPr>
            <w:tcW w:w="719" w:type="pct"/>
            <w:vAlign w:val="center"/>
          </w:tcPr>
          <w:p w14:paraId="6FB32C54">
            <w:pPr>
              <w:spacing w:line="260" w:lineRule="exact"/>
              <w:rPr>
                <w:rFonts w:ascii="宋体" w:hAnsi="宋体"/>
                <w:color w:val="auto"/>
              </w:rPr>
            </w:pPr>
            <w:r>
              <w:rPr>
                <w:rFonts w:hint="eastAsia" w:ascii="宋体" w:hAnsi="宋体"/>
                <w:color w:val="auto"/>
              </w:rPr>
              <w:t>涉及重点监管危险化学品汽油，但加油站不涉及生产工艺过程</w:t>
            </w:r>
          </w:p>
        </w:tc>
        <w:tc>
          <w:tcPr>
            <w:tcW w:w="388" w:type="pct"/>
            <w:vAlign w:val="center"/>
          </w:tcPr>
          <w:p w14:paraId="7008020D">
            <w:pPr>
              <w:spacing w:line="260" w:lineRule="exact"/>
              <w:rPr>
                <w:rFonts w:ascii="宋体" w:hAnsi="宋体"/>
                <w:color w:val="auto"/>
              </w:rPr>
            </w:pPr>
            <w:r>
              <w:rPr>
                <w:rFonts w:hint="eastAsia" w:ascii="宋体" w:hAnsi="宋体"/>
                <w:color w:val="auto"/>
              </w:rPr>
              <w:t>符合</w:t>
            </w:r>
          </w:p>
          <w:p w14:paraId="3CA583F3">
            <w:pPr>
              <w:spacing w:line="260" w:lineRule="exact"/>
              <w:rPr>
                <w:rFonts w:ascii="宋体" w:hAnsi="宋体"/>
                <w:color w:val="auto"/>
              </w:rPr>
            </w:pPr>
            <w:r>
              <w:rPr>
                <w:rFonts w:hint="eastAsia" w:ascii="宋体" w:hAnsi="宋体"/>
                <w:color w:val="auto"/>
              </w:rPr>
              <w:t>要求</w:t>
            </w:r>
          </w:p>
        </w:tc>
      </w:tr>
      <w:tr w14:paraId="0B1B0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66ED6B3">
            <w:pPr>
              <w:numPr>
                <w:ilvl w:val="0"/>
                <w:numId w:val="14"/>
              </w:numPr>
              <w:spacing w:line="260" w:lineRule="exact"/>
              <w:jc w:val="center"/>
              <w:rPr>
                <w:rFonts w:ascii="宋体" w:hAnsi="宋体"/>
                <w:color w:val="auto"/>
              </w:rPr>
            </w:pPr>
          </w:p>
        </w:tc>
        <w:tc>
          <w:tcPr>
            <w:tcW w:w="1319" w:type="pct"/>
            <w:vAlign w:val="center"/>
          </w:tcPr>
          <w:p w14:paraId="0E2C7356">
            <w:pPr>
              <w:spacing w:line="260" w:lineRule="exact"/>
              <w:rPr>
                <w:rFonts w:ascii="宋体" w:hAnsi="宋体"/>
                <w:color w:val="auto"/>
              </w:rPr>
            </w:pPr>
            <w:r>
              <w:rPr>
                <w:rFonts w:ascii="宋体" w:hAnsi="宋体"/>
                <w:color w:val="auto"/>
              </w:rPr>
              <w:t>重大危险源未按国家标准配备温度、压力、液位、流量、组分等信息的不间断采集和监测系统以及可燃气体和有毒有害气体泄漏检测报警装置，并具备信息远传、连续记录、事故预警、信息储存（不少于30天）等功能。</w:t>
            </w:r>
          </w:p>
        </w:tc>
        <w:tc>
          <w:tcPr>
            <w:tcW w:w="1398" w:type="pct"/>
            <w:vAlign w:val="center"/>
          </w:tcPr>
          <w:p w14:paraId="12A311B8">
            <w:pPr>
              <w:spacing w:line="260" w:lineRule="exact"/>
              <w:rPr>
                <w:rFonts w:ascii="宋体" w:hAnsi="宋体"/>
                <w:color w:val="auto"/>
              </w:rPr>
            </w:pPr>
            <w:r>
              <w:rPr>
                <w:rFonts w:ascii="宋体" w:hAnsi="宋体"/>
                <w:color w:val="auto"/>
              </w:rPr>
              <w:t>《危险化学品重大危险源监督管理暂行规定》第十三条第一项。</w:t>
            </w:r>
          </w:p>
        </w:tc>
        <w:tc>
          <w:tcPr>
            <w:tcW w:w="886" w:type="pct"/>
            <w:vAlign w:val="center"/>
          </w:tcPr>
          <w:p w14:paraId="2A382A0E">
            <w:pPr>
              <w:spacing w:line="260" w:lineRule="exact"/>
              <w:rPr>
                <w:rFonts w:ascii="宋体" w:hAnsi="宋体"/>
                <w:color w:val="auto"/>
              </w:rPr>
            </w:pPr>
            <w:r>
              <w:rPr>
                <w:rFonts w:ascii="宋体" w:hAnsi="宋体"/>
                <w:color w:val="auto"/>
              </w:rPr>
              <w:t>《危险化学品重大危险源监督管理暂行规定》第三十二条第三项。</w:t>
            </w:r>
          </w:p>
        </w:tc>
        <w:tc>
          <w:tcPr>
            <w:tcW w:w="719" w:type="pct"/>
            <w:vAlign w:val="center"/>
          </w:tcPr>
          <w:p w14:paraId="6D1B013E">
            <w:pPr>
              <w:spacing w:line="260" w:lineRule="exact"/>
              <w:rPr>
                <w:rFonts w:ascii="宋体" w:hAnsi="宋体"/>
                <w:color w:val="auto"/>
              </w:rPr>
            </w:pPr>
            <w:r>
              <w:rPr>
                <w:rFonts w:hint="eastAsia" w:ascii="宋体" w:hAnsi="宋体"/>
                <w:color w:val="auto"/>
              </w:rPr>
              <w:t>不涉及</w:t>
            </w:r>
            <w:r>
              <w:rPr>
                <w:rFonts w:ascii="宋体" w:hAnsi="宋体"/>
                <w:color w:val="auto"/>
              </w:rPr>
              <w:t>重大危险源</w:t>
            </w:r>
          </w:p>
        </w:tc>
        <w:tc>
          <w:tcPr>
            <w:tcW w:w="388" w:type="pct"/>
            <w:vAlign w:val="center"/>
          </w:tcPr>
          <w:p w14:paraId="35D93FA8">
            <w:pPr>
              <w:spacing w:line="260" w:lineRule="exact"/>
              <w:rPr>
                <w:rFonts w:ascii="宋体" w:hAnsi="宋体"/>
                <w:color w:val="auto"/>
              </w:rPr>
            </w:pPr>
            <w:r>
              <w:rPr>
                <w:rFonts w:hint="eastAsia" w:ascii="宋体" w:hAnsi="宋体"/>
                <w:color w:val="auto"/>
              </w:rPr>
              <w:t>/</w:t>
            </w:r>
          </w:p>
        </w:tc>
      </w:tr>
      <w:tr w14:paraId="279CD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DA55F08">
            <w:pPr>
              <w:numPr>
                <w:ilvl w:val="0"/>
                <w:numId w:val="14"/>
              </w:numPr>
              <w:spacing w:line="260" w:lineRule="exact"/>
              <w:jc w:val="center"/>
              <w:rPr>
                <w:rFonts w:ascii="宋体" w:hAnsi="宋体"/>
                <w:color w:val="auto"/>
              </w:rPr>
            </w:pPr>
          </w:p>
        </w:tc>
        <w:tc>
          <w:tcPr>
            <w:tcW w:w="1319" w:type="pct"/>
            <w:vAlign w:val="center"/>
          </w:tcPr>
          <w:p w14:paraId="0BAE37AC">
            <w:pPr>
              <w:spacing w:line="260" w:lineRule="exact"/>
              <w:rPr>
                <w:rFonts w:ascii="宋体" w:hAnsi="宋体"/>
                <w:color w:val="auto"/>
              </w:rPr>
            </w:pPr>
            <w:r>
              <w:rPr>
                <w:rFonts w:ascii="宋体" w:hAnsi="宋体"/>
                <w:color w:val="auto"/>
                <w:spacing w:val="-6"/>
                <w:sz w:val="21"/>
              </w:rPr>
              <w:t>现有涉及硝化、氯化、氟化、重氮化、过氧化工艺的精细化工生产装置未完成有关产品生产工艺全流程的反应安全风险评估，同时未按照《关于加强精细化工反应安全风险评估工作的指导意见》（安监总管三〔2017〕1号）的有关方法对相关原料、中间产品、产品及副产物进行热稳定性测试和蒸馏、干燥、储存等单元操作的风险评估；已开展反应安全风险评估的企业未根据反应危险度等级和评估建议设置相应的安全设施，补充完善安全管控措施的。</w:t>
            </w:r>
          </w:p>
        </w:tc>
        <w:tc>
          <w:tcPr>
            <w:tcW w:w="1398" w:type="pct"/>
            <w:vAlign w:val="center"/>
          </w:tcPr>
          <w:p w14:paraId="650E19E5">
            <w:pPr>
              <w:spacing w:line="260" w:lineRule="exact"/>
              <w:rPr>
                <w:rFonts w:ascii="宋体" w:hAnsi="宋体"/>
                <w:color w:val="auto"/>
              </w:rPr>
            </w:pPr>
            <w:r>
              <w:rPr>
                <w:rFonts w:ascii="宋体" w:hAnsi="宋体"/>
                <w:color w:val="auto"/>
              </w:rPr>
              <w:t>《安全生产法》第六十二条；</w:t>
            </w:r>
          </w:p>
          <w:p w14:paraId="78CA4D04">
            <w:pPr>
              <w:spacing w:line="260" w:lineRule="exact"/>
              <w:rPr>
                <w:rFonts w:ascii="宋体" w:hAnsi="宋体"/>
                <w:color w:val="auto"/>
              </w:rPr>
            </w:pPr>
            <w:r>
              <w:rPr>
                <w:rFonts w:ascii="宋体" w:hAnsi="宋体"/>
                <w:color w:val="auto"/>
              </w:rPr>
              <w:t>《化工和危险化学品生产经营单位重大生产安全事故隐患判定标准（试行）》第十九条。</w:t>
            </w:r>
          </w:p>
        </w:tc>
        <w:tc>
          <w:tcPr>
            <w:tcW w:w="886" w:type="pct"/>
            <w:vAlign w:val="center"/>
          </w:tcPr>
          <w:p w14:paraId="4625455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75C98564">
            <w:pPr>
              <w:spacing w:line="260" w:lineRule="exact"/>
              <w:rPr>
                <w:rFonts w:ascii="宋体" w:hAnsi="宋体"/>
                <w:color w:val="auto"/>
              </w:rPr>
            </w:pPr>
            <w:r>
              <w:rPr>
                <w:rFonts w:hint="eastAsia" w:ascii="宋体" w:hAnsi="宋体"/>
                <w:color w:val="auto"/>
              </w:rPr>
              <w:t>不涉及</w:t>
            </w:r>
            <w:r>
              <w:rPr>
                <w:rFonts w:ascii="宋体" w:hAnsi="宋体"/>
                <w:color w:val="auto"/>
              </w:rPr>
              <w:t>硝化、氯化、氟化、重氮化、过氧化工艺</w:t>
            </w:r>
          </w:p>
        </w:tc>
        <w:tc>
          <w:tcPr>
            <w:tcW w:w="388" w:type="pct"/>
            <w:vAlign w:val="center"/>
          </w:tcPr>
          <w:p w14:paraId="310D909F">
            <w:pPr>
              <w:spacing w:line="260" w:lineRule="exact"/>
              <w:rPr>
                <w:rFonts w:ascii="宋体" w:hAnsi="宋体"/>
                <w:color w:val="auto"/>
              </w:rPr>
            </w:pPr>
            <w:r>
              <w:rPr>
                <w:rFonts w:hint="eastAsia" w:ascii="宋体" w:hAnsi="宋体"/>
                <w:color w:val="auto"/>
              </w:rPr>
              <w:t>/</w:t>
            </w:r>
          </w:p>
        </w:tc>
      </w:tr>
      <w:tr w14:paraId="036CE1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750B2E83">
            <w:pPr>
              <w:numPr>
                <w:ilvl w:val="0"/>
                <w:numId w:val="14"/>
              </w:numPr>
              <w:spacing w:line="260" w:lineRule="exact"/>
              <w:jc w:val="center"/>
              <w:rPr>
                <w:rFonts w:ascii="宋体" w:hAnsi="宋体"/>
                <w:color w:val="auto"/>
              </w:rPr>
            </w:pPr>
          </w:p>
        </w:tc>
        <w:tc>
          <w:tcPr>
            <w:tcW w:w="1319" w:type="pct"/>
            <w:vAlign w:val="center"/>
          </w:tcPr>
          <w:p w14:paraId="463F9B67">
            <w:pPr>
              <w:spacing w:line="260" w:lineRule="exact"/>
              <w:rPr>
                <w:rFonts w:ascii="宋体" w:hAnsi="宋体"/>
                <w:color w:val="auto"/>
              </w:rPr>
            </w:pPr>
            <w:r>
              <w:rPr>
                <w:rFonts w:ascii="宋体" w:hAnsi="宋体"/>
                <w:color w:val="auto"/>
              </w:rPr>
              <w:t>涉及爆炸危险性化学品的生产装置控制室、交接班室布置在装置区内，且未完成搬迁的；涉及甲乙类火灾危险性的生产装置控制室、交接班室布置在装置区内，但未按照《石油化工控制室抗爆设计规范》（GB50779）完成抗爆设计、建设和加固的。</w:t>
            </w:r>
          </w:p>
        </w:tc>
        <w:tc>
          <w:tcPr>
            <w:tcW w:w="1398" w:type="pct"/>
            <w:vAlign w:val="center"/>
          </w:tcPr>
          <w:p w14:paraId="257C0990">
            <w:pPr>
              <w:spacing w:line="260" w:lineRule="exact"/>
              <w:rPr>
                <w:rFonts w:ascii="宋体" w:hAnsi="宋体"/>
                <w:color w:val="auto"/>
              </w:rPr>
            </w:pPr>
            <w:r>
              <w:rPr>
                <w:rFonts w:ascii="宋体" w:hAnsi="宋体"/>
                <w:color w:val="auto"/>
              </w:rPr>
              <w:t>《安全生产法》第三十八条；</w:t>
            </w:r>
          </w:p>
          <w:p w14:paraId="1B8D2464">
            <w:pPr>
              <w:spacing w:line="260" w:lineRule="exact"/>
              <w:rPr>
                <w:rFonts w:ascii="宋体" w:hAnsi="宋体"/>
                <w:color w:val="auto"/>
              </w:rPr>
            </w:pPr>
            <w:r>
              <w:rPr>
                <w:rFonts w:ascii="宋体" w:hAnsi="宋体"/>
                <w:color w:val="auto"/>
              </w:rPr>
              <w:t>《危险化学品生产企业安全生产许可证实施办法》第八条第三款，第九条第四</w:t>
            </w:r>
            <w:r>
              <w:rPr>
                <w:rFonts w:hint="eastAsia" w:ascii="宋体" w:hAnsi="宋体"/>
                <w:color w:val="auto"/>
                <w:lang w:eastAsia="zh-CN"/>
              </w:rPr>
              <w:t>、第</w:t>
            </w:r>
            <w:r>
              <w:rPr>
                <w:rFonts w:ascii="宋体" w:hAnsi="宋体"/>
                <w:color w:val="auto"/>
              </w:rPr>
              <w:t>五款；</w:t>
            </w:r>
          </w:p>
          <w:p w14:paraId="2D888C8F">
            <w:pPr>
              <w:spacing w:line="260" w:lineRule="exact"/>
              <w:rPr>
                <w:rFonts w:ascii="宋体" w:hAnsi="宋体"/>
                <w:color w:val="auto"/>
              </w:rPr>
            </w:pPr>
            <w:r>
              <w:rPr>
                <w:rFonts w:ascii="宋体" w:hAnsi="宋体"/>
                <w:color w:val="auto"/>
              </w:rPr>
              <w:t>《危险化学品企业安全风险隐患排查治理导则》附件《安全风险隐患排查表》“2设计与总图安全风险隐患排查表（二）总图布局”第七项。</w:t>
            </w:r>
          </w:p>
        </w:tc>
        <w:tc>
          <w:tcPr>
            <w:tcW w:w="886" w:type="pct"/>
            <w:vAlign w:val="center"/>
          </w:tcPr>
          <w:p w14:paraId="0E173D0E">
            <w:pPr>
              <w:spacing w:line="260" w:lineRule="exact"/>
              <w:rPr>
                <w:rFonts w:ascii="宋体" w:hAnsi="宋体"/>
                <w:color w:val="auto"/>
              </w:rPr>
            </w:pPr>
            <w:r>
              <w:rPr>
                <w:rFonts w:ascii="宋体" w:hAnsi="宋体"/>
                <w:color w:val="auto"/>
              </w:rPr>
              <w:t>《安全生产法》第九十九条。</w:t>
            </w:r>
          </w:p>
        </w:tc>
        <w:tc>
          <w:tcPr>
            <w:tcW w:w="719" w:type="pct"/>
            <w:vAlign w:val="center"/>
          </w:tcPr>
          <w:p w14:paraId="5B7B6760">
            <w:pPr>
              <w:spacing w:line="260" w:lineRule="exact"/>
              <w:rPr>
                <w:rFonts w:ascii="宋体" w:hAnsi="宋体"/>
                <w:color w:val="auto"/>
              </w:rPr>
            </w:pPr>
            <w:r>
              <w:rPr>
                <w:rFonts w:hint="eastAsia" w:ascii="宋体" w:hAnsi="宋体"/>
                <w:color w:val="auto"/>
              </w:rPr>
              <w:t>不涉及</w:t>
            </w:r>
            <w:r>
              <w:rPr>
                <w:rFonts w:ascii="宋体" w:hAnsi="宋体"/>
                <w:color w:val="auto"/>
              </w:rPr>
              <w:t>生产</w:t>
            </w:r>
            <w:r>
              <w:rPr>
                <w:rFonts w:hint="eastAsia" w:ascii="宋体" w:hAnsi="宋体"/>
                <w:color w:val="auto"/>
              </w:rPr>
              <w:t>装置</w:t>
            </w:r>
          </w:p>
        </w:tc>
        <w:tc>
          <w:tcPr>
            <w:tcW w:w="388" w:type="pct"/>
            <w:vAlign w:val="center"/>
          </w:tcPr>
          <w:p w14:paraId="5ECB46F0">
            <w:pPr>
              <w:spacing w:line="260" w:lineRule="exact"/>
              <w:rPr>
                <w:rFonts w:ascii="宋体" w:hAnsi="宋体"/>
                <w:color w:val="auto"/>
              </w:rPr>
            </w:pPr>
            <w:r>
              <w:rPr>
                <w:rFonts w:hint="eastAsia" w:ascii="宋体" w:hAnsi="宋体"/>
                <w:color w:val="auto"/>
              </w:rPr>
              <w:t>/</w:t>
            </w:r>
          </w:p>
        </w:tc>
      </w:tr>
      <w:tr w14:paraId="205421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5687DB8">
            <w:pPr>
              <w:numPr>
                <w:ilvl w:val="0"/>
                <w:numId w:val="14"/>
              </w:numPr>
              <w:spacing w:line="260" w:lineRule="exact"/>
              <w:jc w:val="center"/>
              <w:rPr>
                <w:rFonts w:ascii="宋体" w:hAnsi="宋体"/>
                <w:color w:val="auto"/>
              </w:rPr>
            </w:pPr>
          </w:p>
        </w:tc>
        <w:tc>
          <w:tcPr>
            <w:tcW w:w="1319" w:type="pct"/>
            <w:vAlign w:val="center"/>
          </w:tcPr>
          <w:p w14:paraId="7DE0BEDA">
            <w:pPr>
              <w:spacing w:line="260" w:lineRule="exact"/>
              <w:rPr>
                <w:rFonts w:ascii="宋体" w:hAnsi="宋体"/>
                <w:color w:val="auto"/>
              </w:rPr>
            </w:pPr>
            <w:r>
              <w:rPr>
                <w:rFonts w:ascii="宋体" w:hAnsi="宋体"/>
                <w:color w:val="auto"/>
              </w:rPr>
              <w:t>涉及硝化、氯化、氟化、重氮化、过氧化工艺装置的上下游配套装置未实现自动化控制。</w:t>
            </w:r>
          </w:p>
        </w:tc>
        <w:tc>
          <w:tcPr>
            <w:tcW w:w="1398" w:type="pct"/>
            <w:vAlign w:val="center"/>
          </w:tcPr>
          <w:p w14:paraId="2C5DFF0E">
            <w:pPr>
              <w:spacing w:line="260" w:lineRule="exact"/>
              <w:rPr>
                <w:rFonts w:ascii="宋体" w:hAnsi="宋体"/>
                <w:color w:val="auto"/>
              </w:rPr>
            </w:pPr>
            <w:r>
              <w:rPr>
                <w:rFonts w:ascii="宋体" w:hAnsi="宋体"/>
                <w:color w:val="auto"/>
              </w:rPr>
              <w:t>《安全生产法》第三十八条；</w:t>
            </w:r>
          </w:p>
          <w:p w14:paraId="3968B93C">
            <w:pPr>
              <w:spacing w:line="260" w:lineRule="exact"/>
              <w:rPr>
                <w:rFonts w:ascii="宋体" w:hAnsi="宋体"/>
                <w:color w:val="auto"/>
              </w:rPr>
            </w:pPr>
            <w:r>
              <w:rPr>
                <w:rFonts w:ascii="宋体" w:hAnsi="宋体"/>
                <w:color w:val="auto"/>
              </w:rPr>
              <w:t>《危险化学品生产企业安全生产许可证实施办法》第九条；</w:t>
            </w:r>
          </w:p>
          <w:p w14:paraId="4AA354AB">
            <w:pPr>
              <w:spacing w:line="260" w:lineRule="exact"/>
              <w:rPr>
                <w:rFonts w:ascii="宋体" w:hAnsi="宋体"/>
                <w:color w:val="auto"/>
              </w:rPr>
            </w:pPr>
            <w:r>
              <w:rPr>
                <w:rFonts w:ascii="宋体" w:hAnsi="宋体"/>
                <w:color w:val="auto"/>
              </w:rPr>
              <w:t>《危险化学品安全使用许可证管理办法》第七条第三款。</w:t>
            </w:r>
          </w:p>
        </w:tc>
        <w:tc>
          <w:tcPr>
            <w:tcW w:w="886" w:type="pct"/>
            <w:vAlign w:val="center"/>
          </w:tcPr>
          <w:p w14:paraId="13D27140">
            <w:pPr>
              <w:spacing w:line="260" w:lineRule="exact"/>
              <w:rPr>
                <w:rFonts w:ascii="宋体" w:hAnsi="宋体"/>
                <w:color w:val="auto"/>
              </w:rPr>
            </w:pPr>
            <w:r>
              <w:rPr>
                <w:rFonts w:ascii="宋体" w:hAnsi="宋体"/>
                <w:color w:val="auto"/>
              </w:rPr>
              <w:t>《安全生产法》第九十九条。</w:t>
            </w:r>
          </w:p>
        </w:tc>
        <w:tc>
          <w:tcPr>
            <w:tcW w:w="719" w:type="pct"/>
            <w:vAlign w:val="center"/>
          </w:tcPr>
          <w:p w14:paraId="31618C7C">
            <w:pPr>
              <w:spacing w:line="260" w:lineRule="exact"/>
              <w:rPr>
                <w:rFonts w:ascii="宋体" w:hAnsi="宋体"/>
                <w:color w:val="auto"/>
              </w:rPr>
            </w:pPr>
            <w:r>
              <w:rPr>
                <w:rFonts w:hint="eastAsia" w:ascii="宋体" w:hAnsi="宋体"/>
                <w:color w:val="auto"/>
              </w:rPr>
              <w:t>不涉及</w:t>
            </w:r>
            <w:r>
              <w:rPr>
                <w:rFonts w:ascii="宋体" w:hAnsi="宋体"/>
                <w:color w:val="auto"/>
              </w:rPr>
              <w:t>硝化、氯化、氟化、重氮化、过氧化工艺</w:t>
            </w:r>
          </w:p>
        </w:tc>
        <w:tc>
          <w:tcPr>
            <w:tcW w:w="388" w:type="pct"/>
            <w:vAlign w:val="center"/>
          </w:tcPr>
          <w:p w14:paraId="6601ECFB">
            <w:pPr>
              <w:spacing w:line="260" w:lineRule="exact"/>
              <w:rPr>
                <w:rFonts w:ascii="宋体" w:hAnsi="宋体"/>
                <w:color w:val="auto"/>
              </w:rPr>
            </w:pPr>
            <w:r>
              <w:rPr>
                <w:rFonts w:hint="eastAsia" w:ascii="宋体" w:hAnsi="宋体"/>
                <w:color w:val="auto"/>
              </w:rPr>
              <w:t>/</w:t>
            </w:r>
          </w:p>
        </w:tc>
      </w:tr>
      <w:tr w14:paraId="02DB0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855EBC2">
            <w:pPr>
              <w:numPr>
                <w:ilvl w:val="0"/>
                <w:numId w:val="14"/>
              </w:numPr>
              <w:spacing w:line="260" w:lineRule="exact"/>
              <w:jc w:val="center"/>
              <w:rPr>
                <w:rFonts w:ascii="宋体" w:hAnsi="宋体"/>
                <w:color w:val="auto"/>
              </w:rPr>
            </w:pPr>
          </w:p>
        </w:tc>
        <w:tc>
          <w:tcPr>
            <w:tcW w:w="1319" w:type="pct"/>
            <w:vAlign w:val="center"/>
          </w:tcPr>
          <w:p w14:paraId="71E83E1C">
            <w:pPr>
              <w:spacing w:line="260" w:lineRule="exact"/>
              <w:rPr>
                <w:rFonts w:ascii="宋体" w:hAnsi="宋体"/>
                <w:color w:val="auto"/>
              </w:rPr>
            </w:pPr>
            <w:r>
              <w:rPr>
                <w:rFonts w:ascii="宋体" w:hAnsi="宋体"/>
                <w:color w:val="auto"/>
              </w:rPr>
              <w:t>控制室或机柜间面向具有火灾、爆炸危险性装置一侧不满足国家标准关于防火防爆的要求。</w:t>
            </w:r>
          </w:p>
        </w:tc>
        <w:tc>
          <w:tcPr>
            <w:tcW w:w="1398" w:type="pct"/>
            <w:vAlign w:val="center"/>
          </w:tcPr>
          <w:p w14:paraId="4969B432">
            <w:pPr>
              <w:spacing w:line="260" w:lineRule="exact"/>
              <w:rPr>
                <w:rFonts w:ascii="宋体" w:hAnsi="宋体"/>
                <w:color w:val="auto"/>
              </w:rPr>
            </w:pPr>
            <w:r>
              <w:rPr>
                <w:rFonts w:ascii="宋体" w:hAnsi="宋体"/>
                <w:color w:val="auto"/>
              </w:rPr>
              <w:t>《安全生产法》第六十二条；</w:t>
            </w:r>
          </w:p>
          <w:p w14:paraId="0DACAC53">
            <w:pPr>
              <w:spacing w:line="260" w:lineRule="exact"/>
              <w:rPr>
                <w:rFonts w:ascii="宋体" w:hAnsi="宋体"/>
                <w:color w:val="auto"/>
              </w:rPr>
            </w:pPr>
            <w:r>
              <w:rPr>
                <w:rFonts w:ascii="宋体" w:hAnsi="宋体"/>
                <w:color w:val="auto"/>
              </w:rPr>
              <w:t>《化工和危险化学品生产经营单位重大生产安全事故隐患判定标准（试行）》第十三条。</w:t>
            </w:r>
          </w:p>
        </w:tc>
        <w:tc>
          <w:tcPr>
            <w:tcW w:w="886" w:type="pct"/>
            <w:vAlign w:val="center"/>
          </w:tcPr>
          <w:p w14:paraId="09DB6BEF">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E869B7F">
            <w:pPr>
              <w:spacing w:line="260" w:lineRule="exact"/>
              <w:rPr>
                <w:rFonts w:ascii="宋体" w:hAnsi="宋体"/>
                <w:color w:val="auto"/>
              </w:rPr>
            </w:pPr>
            <w:r>
              <w:rPr>
                <w:rFonts w:hint="eastAsia" w:ascii="宋体" w:hAnsi="宋体"/>
                <w:color w:val="auto"/>
              </w:rPr>
              <w:t>不涉及</w:t>
            </w:r>
            <w:r>
              <w:rPr>
                <w:rFonts w:ascii="宋体" w:hAnsi="宋体"/>
                <w:color w:val="auto"/>
              </w:rPr>
              <w:t>控制室或机柜间</w:t>
            </w:r>
          </w:p>
        </w:tc>
        <w:tc>
          <w:tcPr>
            <w:tcW w:w="388" w:type="pct"/>
            <w:vAlign w:val="center"/>
          </w:tcPr>
          <w:p w14:paraId="4B4866A7">
            <w:pPr>
              <w:spacing w:line="260" w:lineRule="exact"/>
              <w:rPr>
                <w:rFonts w:ascii="宋体" w:hAnsi="宋体"/>
                <w:color w:val="auto"/>
              </w:rPr>
            </w:pPr>
            <w:r>
              <w:rPr>
                <w:rFonts w:hint="eastAsia" w:ascii="宋体" w:hAnsi="宋体"/>
                <w:color w:val="auto"/>
              </w:rPr>
              <w:t>/</w:t>
            </w:r>
          </w:p>
        </w:tc>
      </w:tr>
      <w:tr w14:paraId="207E1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C891580">
            <w:pPr>
              <w:numPr>
                <w:ilvl w:val="0"/>
                <w:numId w:val="14"/>
              </w:numPr>
              <w:spacing w:line="260" w:lineRule="exact"/>
              <w:jc w:val="center"/>
              <w:rPr>
                <w:rFonts w:ascii="宋体" w:hAnsi="宋体"/>
                <w:color w:val="auto"/>
              </w:rPr>
            </w:pPr>
          </w:p>
        </w:tc>
        <w:tc>
          <w:tcPr>
            <w:tcW w:w="1319" w:type="pct"/>
            <w:vAlign w:val="center"/>
          </w:tcPr>
          <w:p w14:paraId="18858391">
            <w:pPr>
              <w:spacing w:line="260" w:lineRule="exact"/>
              <w:rPr>
                <w:rFonts w:ascii="宋体" w:hAnsi="宋体"/>
                <w:color w:val="auto"/>
              </w:rPr>
            </w:pPr>
            <w:r>
              <w:rPr>
                <w:rFonts w:ascii="宋体" w:hAnsi="宋体"/>
                <w:color w:val="auto"/>
              </w:rPr>
              <w:t>未按照标准设置、使用有毒有害、可燃气体泄漏检测报警系统；可燃气体和有毒气体检测报警信号未发送至有人值守的现场控制室、中心控制室等进行显示报警。</w:t>
            </w:r>
          </w:p>
        </w:tc>
        <w:tc>
          <w:tcPr>
            <w:tcW w:w="1398" w:type="pct"/>
            <w:vAlign w:val="center"/>
          </w:tcPr>
          <w:p w14:paraId="62160525">
            <w:pPr>
              <w:spacing w:line="260" w:lineRule="exact"/>
              <w:rPr>
                <w:rFonts w:ascii="宋体" w:hAnsi="宋体"/>
                <w:color w:val="auto"/>
              </w:rPr>
            </w:pPr>
            <w:r>
              <w:rPr>
                <w:rFonts w:ascii="宋体" w:hAnsi="宋体"/>
                <w:color w:val="auto"/>
              </w:rPr>
              <w:t>《安全生产法》第六十二条；</w:t>
            </w:r>
          </w:p>
          <w:p w14:paraId="6E9DD5AB">
            <w:pPr>
              <w:spacing w:line="260" w:lineRule="exact"/>
              <w:rPr>
                <w:rFonts w:ascii="宋体" w:hAnsi="宋体"/>
                <w:color w:val="auto"/>
              </w:rPr>
            </w:pPr>
            <w:r>
              <w:rPr>
                <w:rFonts w:ascii="宋体" w:hAnsi="宋体"/>
                <w:color w:val="auto"/>
              </w:rPr>
              <w:t>《危险化学品生产企业安全生产许可证实施办法》第九条第一款第三项；</w:t>
            </w:r>
          </w:p>
          <w:p w14:paraId="70EEDB54">
            <w:pPr>
              <w:spacing w:line="260" w:lineRule="exact"/>
              <w:rPr>
                <w:rFonts w:ascii="宋体" w:hAnsi="宋体"/>
                <w:color w:val="auto"/>
              </w:rPr>
            </w:pPr>
            <w:r>
              <w:rPr>
                <w:rFonts w:ascii="宋体" w:hAnsi="宋体"/>
                <w:color w:val="auto"/>
              </w:rPr>
              <w:t>《化工和危险化学品生产经营单位重大生产安全事故隐患判定标准（试行）》第十二条。</w:t>
            </w:r>
          </w:p>
        </w:tc>
        <w:tc>
          <w:tcPr>
            <w:tcW w:w="886" w:type="pct"/>
            <w:vAlign w:val="center"/>
          </w:tcPr>
          <w:p w14:paraId="419687EF">
            <w:pPr>
              <w:spacing w:line="260" w:lineRule="exact"/>
              <w:rPr>
                <w:rFonts w:ascii="宋体" w:hAnsi="宋体"/>
                <w:color w:val="auto"/>
              </w:rPr>
            </w:pPr>
            <w:r>
              <w:rPr>
                <w:rFonts w:ascii="宋体" w:hAnsi="宋体"/>
                <w:color w:val="auto"/>
              </w:rPr>
              <w:t>《安全生产法》第六十二条。</w:t>
            </w:r>
          </w:p>
        </w:tc>
        <w:tc>
          <w:tcPr>
            <w:tcW w:w="719" w:type="pct"/>
            <w:vAlign w:val="center"/>
          </w:tcPr>
          <w:p w14:paraId="518AFE6A">
            <w:pPr>
              <w:spacing w:line="260" w:lineRule="exact"/>
              <w:rPr>
                <w:rFonts w:ascii="宋体" w:hAnsi="宋体"/>
                <w:color w:val="auto"/>
              </w:rPr>
            </w:pPr>
            <w:r>
              <w:rPr>
                <w:rFonts w:ascii="宋体" w:hAnsi="宋体"/>
                <w:color w:val="auto"/>
              </w:rPr>
              <w:t>按照标准设置</w:t>
            </w:r>
            <w:r>
              <w:rPr>
                <w:rFonts w:hint="eastAsia" w:ascii="宋体" w:hAnsi="宋体"/>
                <w:color w:val="auto"/>
              </w:rPr>
              <w:t>了油气</w:t>
            </w:r>
            <w:r>
              <w:rPr>
                <w:rFonts w:ascii="宋体" w:hAnsi="宋体"/>
                <w:color w:val="auto"/>
              </w:rPr>
              <w:t>泄漏检测报警系统</w:t>
            </w:r>
            <w:r>
              <w:rPr>
                <w:rFonts w:hint="eastAsia" w:ascii="宋体" w:hAnsi="宋体"/>
                <w:color w:val="auto"/>
              </w:rPr>
              <w:t>，</w:t>
            </w:r>
            <w:r>
              <w:rPr>
                <w:rFonts w:ascii="宋体" w:hAnsi="宋体"/>
                <w:color w:val="auto"/>
              </w:rPr>
              <w:t>信号</w:t>
            </w:r>
            <w:r>
              <w:rPr>
                <w:rFonts w:hint="eastAsia" w:ascii="宋体" w:hAnsi="宋体"/>
                <w:color w:val="auto"/>
              </w:rPr>
              <w:t>远传至站房内</w:t>
            </w:r>
          </w:p>
        </w:tc>
        <w:tc>
          <w:tcPr>
            <w:tcW w:w="388" w:type="pct"/>
            <w:vAlign w:val="center"/>
          </w:tcPr>
          <w:p w14:paraId="328897C3">
            <w:pPr>
              <w:spacing w:line="260" w:lineRule="exact"/>
              <w:rPr>
                <w:rFonts w:ascii="宋体" w:hAnsi="宋体"/>
                <w:color w:val="auto"/>
              </w:rPr>
            </w:pPr>
            <w:r>
              <w:rPr>
                <w:rFonts w:hint="eastAsia" w:ascii="宋体" w:hAnsi="宋体"/>
                <w:color w:val="auto"/>
              </w:rPr>
              <w:t>符合</w:t>
            </w:r>
          </w:p>
          <w:p w14:paraId="50BFBB09">
            <w:pPr>
              <w:spacing w:line="260" w:lineRule="exact"/>
              <w:rPr>
                <w:rFonts w:ascii="宋体" w:hAnsi="宋体"/>
                <w:color w:val="auto"/>
              </w:rPr>
            </w:pPr>
            <w:r>
              <w:rPr>
                <w:rFonts w:hint="eastAsia" w:ascii="宋体" w:hAnsi="宋体"/>
                <w:color w:val="auto"/>
              </w:rPr>
              <w:t>要求</w:t>
            </w:r>
          </w:p>
        </w:tc>
      </w:tr>
      <w:tr w14:paraId="7571F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3266549">
            <w:pPr>
              <w:numPr>
                <w:ilvl w:val="0"/>
                <w:numId w:val="14"/>
              </w:numPr>
              <w:spacing w:line="260" w:lineRule="exact"/>
              <w:jc w:val="center"/>
              <w:rPr>
                <w:rFonts w:ascii="宋体" w:hAnsi="宋体"/>
                <w:color w:val="auto"/>
              </w:rPr>
            </w:pPr>
          </w:p>
        </w:tc>
        <w:tc>
          <w:tcPr>
            <w:tcW w:w="1319" w:type="pct"/>
            <w:vAlign w:val="center"/>
          </w:tcPr>
          <w:p w14:paraId="1E3E082B">
            <w:pPr>
              <w:spacing w:line="260" w:lineRule="exact"/>
              <w:rPr>
                <w:rFonts w:ascii="宋体" w:hAnsi="宋体"/>
                <w:color w:val="auto"/>
              </w:rPr>
            </w:pPr>
            <w:r>
              <w:rPr>
                <w:rFonts w:ascii="宋体" w:hAnsi="宋体"/>
                <w:color w:val="auto"/>
              </w:rPr>
              <w:t>地区架空电力线路穿越生产区且不符合国家标准要求。</w:t>
            </w:r>
          </w:p>
        </w:tc>
        <w:tc>
          <w:tcPr>
            <w:tcW w:w="1398" w:type="pct"/>
            <w:vAlign w:val="center"/>
          </w:tcPr>
          <w:p w14:paraId="650C4A21">
            <w:pPr>
              <w:spacing w:line="260" w:lineRule="exact"/>
              <w:rPr>
                <w:rFonts w:ascii="宋体" w:hAnsi="宋体"/>
                <w:color w:val="auto"/>
              </w:rPr>
            </w:pPr>
            <w:r>
              <w:rPr>
                <w:rFonts w:ascii="宋体" w:hAnsi="宋体"/>
                <w:color w:val="auto"/>
              </w:rPr>
              <w:t>《安全生产法》第六十二条；</w:t>
            </w:r>
          </w:p>
          <w:p w14:paraId="1ADD2765">
            <w:pPr>
              <w:spacing w:line="260" w:lineRule="exact"/>
              <w:rPr>
                <w:rFonts w:ascii="宋体" w:hAnsi="宋体"/>
                <w:color w:val="auto"/>
              </w:rPr>
            </w:pPr>
            <w:r>
              <w:rPr>
                <w:rFonts w:ascii="宋体" w:hAnsi="宋体"/>
                <w:color w:val="auto"/>
              </w:rPr>
              <w:t>《化工和危险化学品生产经营单位重大生产安全事故隐患判定标准（试行）》第九条。</w:t>
            </w:r>
          </w:p>
        </w:tc>
        <w:tc>
          <w:tcPr>
            <w:tcW w:w="886" w:type="pct"/>
            <w:vAlign w:val="center"/>
          </w:tcPr>
          <w:p w14:paraId="52F69CFD">
            <w:pPr>
              <w:spacing w:line="260" w:lineRule="exact"/>
              <w:rPr>
                <w:rFonts w:ascii="宋体" w:hAnsi="宋体"/>
                <w:color w:val="auto"/>
              </w:rPr>
            </w:pPr>
            <w:r>
              <w:rPr>
                <w:rFonts w:ascii="宋体" w:hAnsi="宋体"/>
                <w:color w:val="auto"/>
              </w:rPr>
              <w:t>《安全生产法》第六十二条。</w:t>
            </w:r>
          </w:p>
        </w:tc>
        <w:tc>
          <w:tcPr>
            <w:tcW w:w="719" w:type="pct"/>
            <w:vAlign w:val="center"/>
          </w:tcPr>
          <w:p w14:paraId="46A2F138">
            <w:pPr>
              <w:spacing w:line="260" w:lineRule="exact"/>
              <w:rPr>
                <w:rFonts w:ascii="宋体" w:hAnsi="宋体"/>
                <w:color w:val="auto"/>
              </w:rPr>
            </w:pPr>
            <w:r>
              <w:rPr>
                <w:rFonts w:ascii="宋体" w:hAnsi="宋体"/>
                <w:color w:val="auto"/>
              </w:rPr>
              <w:t>架空电力线路</w:t>
            </w:r>
            <w:r>
              <w:rPr>
                <w:rFonts w:hint="eastAsia" w:ascii="宋体" w:hAnsi="宋体"/>
                <w:color w:val="auto"/>
              </w:rPr>
              <w:t>未</w:t>
            </w:r>
            <w:r>
              <w:rPr>
                <w:rFonts w:ascii="宋体" w:hAnsi="宋体"/>
                <w:color w:val="auto"/>
              </w:rPr>
              <w:t>穿越</w:t>
            </w:r>
            <w:r>
              <w:rPr>
                <w:rFonts w:hint="eastAsia" w:ascii="宋体" w:hAnsi="宋体"/>
                <w:color w:val="auto"/>
              </w:rPr>
              <w:t>加油站</w:t>
            </w:r>
          </w:p>
        </w:tc>
        <w:tc>
          <w:tcPr>
            <w:tcW w:w="388" w:type="pct"/>
            <w:vAlign w:val="center"/>
          </w:tcPr>
          <w:p w14:paraId="5419CC71">
            <w:pPr>
              <w:spacing w:line="260" w:lineRule="exact"/>
              <w:rPr>
                <w:rFonts w:ascii="宋体" w:hAnsi="宋体"/>
                <w:color w:val="auto"/>
              </w:rPr>
            </w:pPr>
            <w:r>
              <w:rPr>
                <w:rFonts w:hint="eastAsia" w:ascii="宋体" w:hAnsi="宋体"/>
                <w:color w:val="auto"/>
              </w:rPr>
              <w:t>符合</w:t>
            </w:r>
          </w:p>
          <w:p w14:paraId="01CF3F6C">
            <w:pPr>
              <w:spacing w:line="260" w:lineRule="exact"/>
              <w:rPr>
                <w:rFonts w:ascii="宋体" w:hAnsi="宋体"/>
                <w:color w:val="auto"/>
              </w:rPr>
            </w:pPr>
            <w:r>
              <w:rPr>
                <w:rFonts w:hint="eastAsia" w:ascii="宋体" w:hAnsi="宋体"/>
                <w:color w:val="auto"/>
              </w:rPr>
              <w:t>要求</w:t>
            </w:r>
          </w:p>
        </w:tc>
      </w:tr>
      <w:tr w14:paraId="1EBA15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D997D44">
            <w:pPr>
              <w:numPr>
                <w:ilvl w:val="0"/>
                <w:numId w:val="14"/>
              </w:numPr>
              <w:spacing w:line="260" w:lineRule="exact"/>
              <w:jc w:val="center"/>
              <w:rPr>
                <w:rFonts w:ascii="宋体" w:hAnsi="宋体"/>
                <w:color w:val="auto"/>
              </w:rPr>
            </w:pPr>
          </w:p>
        </w:tc>
        <w:tc>
          <w:tcPr>
            <w:tcW w:w="1319" w:type="pct"/>
            <w:vAlign w:val="center"/>
          </w:tcPr>
          <w:p w14:paraId="2B5035FA">
            <w:pPr>
              <w:spacing w:line="260" w:lineRule="exact"/>
              <w:rPr>
                <w:rFonts w:ascii="宋体" w:hAnsi="宋体"/>
                <w:color w:val="auto"/>
              </w:rPr>
            </w:pPr>
            <w:r>
              <w:rPr>
                <w:rFonts w:ascii="宋体" w:hAnsi="宋体"/>
                <w:color w:val="auto"/>
              </w:rPr>
              <w:t>化工生产装置未按国家标准要求设置双重电源供电。</w:t>
            </w:r>
          </w:p>
        </w:tc>
        <w:tc>
          <w:tcPr>
            <w:tcW w:w="1398" w:type="pct"/>
            <w:vAlign w:val="center"/>
          </w:tcPr>
          <w:p w14:paraId="7CEE6C03">
            <w:pPr>
              <w:spacing w:line="260" w:lineRule="exact"/>
              <w:rPr>
                <w:rFonts w:ascii="宋体" w:hAnsi="宋体"/>
                <w:color w:val="auto"/>
              </w:rPr>
            </w:pPr>
            <w:r>
              <w:rPr>
                <w:rFonts w:ascii="宋体" w:hAnsi="宋体"/>
                <w:color w:val="auto"/>
              </w:rPr>
              <w:t>《安全生产法》第六十二条；</w:t>
            </w:r>
          </w:p>
          <w:p w14:paraId="4B5FBDB1">
            <w:pPr>
              <w:spacing w:line="260" w:lineRule="exact"/>
              <w:rPr>
                <w:rFonts w:ascii="宋体" w:hAnsi="宋体"/>
                <w:color w:val="auto"/>
              </w:rPr>
            </w:pPr>
            <w:r>
              <w:rPr>
                <w:rFonts w:ascii="宋体" w:hAnsi="宋体"/>
                <w:color w:val="auto"/>
              </w:rPr>
              <w:t>《化工和危险化学品生产经营单位重大生产安全事故隐患判定标准（试行）》第十四条；</w:t>
            </w:r>
          </w:p>
          <w:p w14:paraId="62A8DED4">
            <w:pPr>
              <w:spacing w:line="260" w:lineRule="exact"/>
              <w:rPr>
                <w:rFonts w:ascii="宋体" w:hAnsi="宋体"/>
                <w:color w:val="auto"/>
              </w:rPr>
            </w:pPr>
            <w:r>
              <w:rPr>
                <w:rFonts w:ascii="宋体" w:hAnsi="宋体"/>
                <w:color w:val="auto"/>
              </w:rPr>
              <w:t>《供配电系统设计规范》（GB50052-2009）3.0.2；</w:t>
            </w:r>
          </w:p>
          <w:p w14:paraId="3CF5D967">
            <w:pPr>
              <w:spacing w:line="260" w:lineRule="exact"/>
              <w:rPr>
                <w:rFonts w:ascii="宋体" w:hAnsi="宋体"/>
                <w:color w:val="auto"/>
              </w:rPr>
            </w:pPr>
            <w:r>
              <w:rPr>
                <w:rFonts w:ascii="宋体" w:hAnsi="宋体"/>
                <w:color w:val="auto"/>
              </w:rPr>
              <w:t>《石油化工企业生产装置电力设计技术规范》（SH3038-2000）4.1、4.2。</w:t>
            </w:r>
          </w:p>
        </w:tc>
        <w:tc>
          <w:tcPr>
            <w:tcW w:w="886" w:type="pct"/>
            <w:vAlign w:val="center"/>
          </w:tcPr>
          <w:p w14:paraId="15703A43">
            <w:pPr>
              <w:spacing w:line="260" w:lineRule="exact"/>
              <w:rPr>
                <w:rFonts w:ascii="宋体" w:hAnsi="宋体"/>
                <w:color w:val="auto"/>
              </w:rPr>
            </w:pPr>
            <w:r>
              <w:rPr>
                <w:rFonts w:ascii="宋体" w:hAnsi="宋体"/>
                <w:color w:val="auto"/>
              </w:rPr>
              <w:t>《安全生产法》第六十二条。</w:t>
            </w:r>
          </w:p>
        </w:tc>
        <w:tc>
          <w:tcPr>
            <w:tcW w:w="719" w:type="pct"/>
            <w:vAlign w:val="center"/>
          </w:tcPr>
          <w:p w14:paraId="221F6B29">
            <w:pPr>
              <w:spacing w:line="260" w:lineRule="exact"/>
              <w:rPr>
                <w:rFonts w:ascii="宋体" w:hAnsi="宋体"/>
                <w:color w:val="auto"/>
              </w:rPr>
            </w:pPr>
            <w:r>
              <w:rPr>
                <w:rFonts w:hint="eastAsia" w:ascii="宋体" w:hAnsi="宋体"/>
                <w:color w:val="auto"/>
              </w:rPr>
              <w:t>不涉及</w:t>
            </w:r>
            <w:r>
              <w:rPr>
                <w:rFonts w:ascii="宋体" w:hAnsi="宋体"/>
                <w:color w:val="auto"/>
              </w:rPr>
              <w:t>化工生产装置</w:t>
            </w:r>
          </w:p>
        </w:tc>
        <w:tc>
          <w:tcPr>
            <w:tcW w:w="388" w:type="pct"/>
            <w:vAlign w:val="center"/>
          </w:tcPr>
          <w:p w14:paraId="7D04EB35">
            <w:pPr>
              <w:spacing w:line="260" w:lineRule="exact"/>
              <w:rPr>
                <w:rFonts w:ascii="宋体" w:hAnsi="宋体"/>
                <w:color w:val="auto"/>
              </w:rPr>
            </w:pPr>
            <w:r>
              <w:rPr>
                <w:rFonts w:hint="eastAsia" w:ascii="宋体" w:hAnsi="宋体"/>
                <w:color w:val="auto"/>
              </w:rPr>
              <w:t>/</w:t>
            </w:r>
          </w:p>
        </w:tc>
      </w:tr>
      <w:tr w14:paraId="14B7C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C5145C4">
            <w:pPr>
              <w:numPr>
                <w:ilvl w:val="0"/>
                <w:numId w:val="14"/>
              </w:numPr>
              <w:spacing w:line="260" w:lineRule="exact"/>
              <w:jc w:val="center"/>
              <w:rPr>
                <w:rFonts w:ascii="宋体" w:hAnsi="宋体"/>
                <w:color w:val="auto"/>
              </w:rPr>
            </w:pPr>
          </w:p>
        </w:tc>
        <w:tc>
          <w:tcPr>
            <w:tcW w:w="1319" w:type="pct"/>
            <w:vAlign w:val="center"/>
          </w:tcPr>
          <w:p w14:paraId="13D58709">
            <w:pPr>
              <w:spacing w:line="260" w:lineRule="exact"/>
              <w:rPr>
                <w:rFonts w:ascii="宋体" w:hAnsi="宋体"/>
                <w:color w:val="auto"/>
              </w:rPr>
            </w:pPr>
            <w:r>
              <w:rPr>
                <w:rFonts w:ascii="宋体" w:hAnsi="宋体"/>
                <w:color w:val="auto"/>
              </w:rPr>
              <w:t>未建立安全风险研判与承诺公告制度，董事长或总经理等主要负责人未每天作出安全承诺并向社会公告。</w:t>
            </w:r>
          </w:p>
        </w:tc>
        <w:tc>
          <w:tcPr>
            <w:tcW w:w="1398" w:type="pct"/>
            <w:vAlign w:val="center"/>
          </w:tcPr>
          <w:p w14:paraId="7A6C04E5">
            <w:pPr>
              <w:spacing w:line="260" w:lineRule="exact"/>
              <w:rPr>
                <w:rFonts w:ascii="宋体" w:hAnsi="宋体"/>
                <w:color w:val="auto"/>
              </w:rPr>
            </w:pPr>
            <w:r>
              <w:rPr>
                <w:rFonts w:ascii="宋体" w:hAnsi="宋体"/>
                <w:color w:val="auto"/>
              </w:rPr>
              <w:t>《危险化学品企业安全风险隐患排查治理导则》4.1.5。</w:t>
            </w:r>
          </w:p>
        </w:tc>
        <w:tc>
          <w:tcPr>
            <w:tcW w:w="886" w:type="pct"/>
            <w:vAlign w:val="center"/>
          </w:tcPr>
          <w:p w14:paraId="72C59028">
            <w:pPr>
              <w:spacing w:line="260" w:lineRule="exact"/>
              <w:rPr>
                <w:rFonts w:ascii="宋体" w:hAnsi="宋体"/>
                <w:color w:val="auto"/>
              </w:rPr>
            </w:pPr>
            <w:r>
              <w:rPr>
                <w:rFonts w:ascii="宋体" w:hAnsi="宋体"/>
                <w:color w:val="auto"/>
              </w:rPr>
              <w:t>《安全生产法》第九十九条。</w:t>
            </w:r>
          </w:p>
        </w:tc>
        <w:tc>
          <w:tcPr>
            <w:tcW w:w="719" w:type="pct"/>
            <w:vAlign w:val="center"/>
          </w:tcPr>
          <w:p w14:paraId="21F51AEF">
            <w:pPr>
              <w:spacing w:line="260" w:lineRule="exact"/>
              <w:rPr>
                <w:rFonts w:ascii="宋体" w:hAnsi="宋体"/>
                <w:color w:val="auto"/>
              </w:rPr>
            </w:pPr>
            <w:r>
              <w:rPr>
                <w:rFonts w:ascii="宋体" w:hAnsi="宋体"/>
                <w:color w:val="auto"/>
              </w:rPr>
              <w:t>建立</w:t>
            </w:r>
            <w:r>
              <w:rPr>
                <w:rFonts w:hint="eastAsia" w:ascii="宋体" w:hAnsi="宋体"/>
                <w:color w:val="auto"/>
              </w:rPr>
              <w:t>了</w:t>
            </w:r>
            <w:r>
              <w:rPr>
                <w:rFonts w:ascii="宋体" w:hAnsi="宋体"/>
                <w:color w:val="auto"/>
              </w:rPr>
              <w:t>安全风险研判与承诺公告制度，每天作出安全承诺并向社会公告</w:t>
            </w:r>
          </w:p>
        </w:tc>
        <w:tc>
          <w:tcPr>
            <w:tcW w:w="388" w:type="pct"/>
            <w:vAlign w:val="center"/>
          </w:tcPr>
          <w:p w14:paraId="2DF95ADD">
            <w:pPr>
              <w:spacing w:line="260" w:lineRule="exact"/>
              <w:rPr>
                <w:rFonts w:ascii="宋体" w:hAnsi="宋体"/>
                <w:color w:val="auto"/>
              </w:rPr>
            </w:pPr>
            <w:r>
              <w:rPr>
                <w:rFonts w:hint="eastAsia" w:ascii="宋体" w:hAnsi="宋体"/>
                <w:color w:val="auto"/>
              </w:rPr>
              <w:t>符合</w:t>
            </w:r>
          </w:p>
          <w:p w14:paraId="78AE8686">
            <w:pPr>
              <w:spacing w:line="260" w:lineRule="exact"/>
              <w:rPr>
                <w:rFonts w:ascii="宋体" w:hAnsi="宋体"/>
                <w:color w:val="auto"/>
              </w:rPr>
            </w:pPr>
            <w:r>
              <w:rPr>
                <w:rFonts w:hint="eastAsia" w:ascii="宋体" w:hAnsi="宋体"/>
                <w:color w:val="auto"/>
              </w:rPr>
              <w:t>要求</w:t>
            </w:r>
          </w:p>
        </w:tc>
      </w:tr>
      <w:tr w14:paraId="3F584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E3797D1">
            <w:pPr>
              <w:numPr>
                <w:ilvl w:val="0"/>
                <w:numId w:val="14"/>
              </w:numPr>
              <w:spacing w:line="260" w:lineRule="exact"/>
              <w:jc w:val="center"/>
              <w:rPr>
                <w:rFonts w:ascii="宋体" w:hAnsi="宋体"/>
                <w:color w:val="auto"/>
              </w:rPr>
            </w:pPr>
          </w:p>
        </w:tc>
        <w:tc>
          <w:tcPr>
            <w:tcW w:w="1319" w:type="pct"/>
            <w:vAlign w:val="center"/>
          </w:tcPr>
          <w:p w14:paraId="0F76E75A">
            <w:pPr>
              <w:spacing w:line="260" w:lineRule="exact"/>
              <w:rPr>
                <w:rFonts w:ascii="宋体" w:hAnsi="宋体"/>
                <w:color w:val="auto"/>
              </w:rPr>
            </w:pPr>
            <w:r>
              <w:rPr>
                <w:rFonts w:ascii="宋体" w:hAnsi="宋体"/>
                <w:color w:val="auto"/>
              </w:rPr>
              <w:t>危险化学品生产企业未提供化学品安全技术说明书，未在包装（包括外包装件）上粘贴、拴挂化学品安全标签。</w:t>
            </w:r>
          </w:p>
        </w:tc>
        <w:tc>
          <w:tcPr>
            <w:tcW w:w="1398" w:type="pct"/>
            <w:vAlign w:val="center"/>
          </w:tcPr>
          <w:p w14:paraId="6BA89B86">
            <w:pPr>
              <w:spacing w:line="260" w:lineRule="exact"/>
              <w:rPr>
                <w:rFonts w:ascii="宋体" w:hAnsi="宋体"/>
                <w:color w:val="auto"/>
              </w:rPr>
            </w:pPr>
            <w:r>
              <w:rPr>
                <w:rFonts w:ascii="宋体" w:hAnsi="宋体"/>
                <w:color w:val="auto"/>
              </w:rPr>
              <w:t>《危险化学品安全管理条例》第十五条。</w:t>
            </w:r>
          </w:p>
        </w:tc>
        <w:tc>
          <w:tcPr>
            <w:tcW w:w="886" w:type="pct"/>
            <w:vAlign w:val="center"/>
          </w:tcPr>
          <w:p w14:paraId="5650402A">
            <w:pPr>
              <w:spacing w:line="260" w:lineRule="exact"/>
              <w:rPr>
                <w:rFonts w:ascii="宋体" w:hAnsi="宋体"/>
                <w:color w:val="auto"/>
              </w:rPr>
            </w:pPr>
            <w:r>
              <w:rPr>
                <w:rFonts w:ascii="宋体" w:hAnsi="宋体"/>
                <w:color w:val="auto"/>
              </w:rPr>
              <w:t>《危险化学品安全管理条例》第七十八条。</w:t>
            </w:r>
          </w:p>
        </w:tc>
        <w:tc>
          <w:tcPr>
            <w:tcW w:w="719" w:type="pct"/>
            <w:vAlign w:val="center"/>
          </w:tcPr>
          <w:p w14:paraId="22B9D06C">
            <w:pPr>
              <w:spacing w:line="260" w:lineRule="exact"/>
              <w:rPr>
                <w:rFonts w:ascii="宋体" w:hAnsi="宋体"/>
                <w:color w:val="auto"/>
              </w:rPr>
            </w:pPr>
            <w:r>
              <w:rPr>
                <w:rFonts w:hint="eastAsia" w:ascii="宋体" w:hAnsi="宋体"/>
                <w:color w:val="auto"/>
              </w:rPr>
              <w:t>不涉及</w:t>
            </w:r>
            <w:r>
              <w:rPr>
                <w:rFonts w:ascii="宋体" w:hAnsi="宋体"/>
                <w:color w:val="auto"/>
              </w:rPr>
              <w:t>生产</w:t>
            </w:r>
            <w:r>
              <w:rPr>
                <w:rFonts w:hint="eastAsia" w:ascii="宋体" w:hAnsi="宋体"/>
                <w:color w:val="auto"/>
              </w:rPr>
              <w:t>工艺过程</w:t>
            </w:r>
          </w:p>
        </w:tc>
        <w:tc>
          <w:tcPr>
            <w:tcW w:w="388" w:type="pct"/>
            <w:vAlign w:val="center"/>
          </w:tcPr>
          <w:p w14:paraId="617CEE06">
            <w:pPr>
              <w:spacing w:line="260" w:lineRule="exact"/>
              <w:rPr>
                <w:rFonts w:ascii="宋体" w:hAnsi="宋体"/>
                <w:color w:val="auto"/>
              </w:rPr>
            </w:pPr>
            <w:r>
              <w:rPr>
                <w:rFonts w:hint="eastAsia" w:ascii="宋体" w:hAnsi="宋体"/>
                <w:color w:val="auto"/>
              </w:rPr>
              <w:t>/</w:t>
            </w:r>
          </w:p>
        </w:tc>
      </w:tr>
      <w:tr w14:paraId="78E53E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94AD587">
            <w:pPr>
              <w:numPr>
                <w:ilvl w:val="0"/>
                <w:numId w:val="14"/>
              </w:numPr>
              <w:spacing w:line="260" w:lineRule="exact"/>
              <w:jc w:val="center"/>
              <w:rPr>
                <w:rFonts w:ascii="宋体" w:hAnsi="宋体"/>
                <w:color w:val="auto"/>
              </w:rPr>
            </w:pPr>
          </w:p>
        </w:tc>
        <w:tc>
          <w:tcPr>
            <w:tcW w:w="1319" w:type="pct"/>
            <w:vAlign w:val="center"/>
          </w:tcPr>
          <w:p w14:paraId="72F29B09">
            <w:pPr>
              <w:spacing w:line="260" w:lineRule="exact"/>
              <w:rPr>
                <w:rFonts w:ascii="宋体" w:hAnsi="宋体"/>
                <w:color w:val="auto"/>
              </w:rPr>
            </w:pPr>
            <w:r>
              <w:rPr>
                <w:rFonts w:ascii="宋体" w:hAnsi="宋体"/>
                <w:color w:val="auto"/>
              </w:rPr>
              <w:t>未将工艺、设备、生产组织方式等方面发生的变化纳入变更管理，或在变更时未进行安全风险分析。</w:t>
            </w:r>
          </w:p>
        </w:tc>
        <w:tc>
          <w:tcPr>
            <w:tcW w:w="1398" w:type="pct"/>
            <w:vAlign w:val="center"/>
          </w:tcPr>
          <w:p w14:paraId="2FF25594">
            <w:pPr>
              <w:spacing w:line="260" w:lineRule="exact"/>
              <w:rPr>
                <w:rFonts w:ascii="宋体" w:hAnsi="宋体"/>
                <w:color w:val="auto"/>
              </w:rPr>
            </w:pPr>
            <w:r>
              <w:rPr>
                <w:rFonts w:ascii="宋体" w:hAnsi="宋体"/>
                <w:color w:val="auto"/>
              </w:rPr>
              <w:t>《危险化学品企业安全风险隐患排查治理导则》4.12。</w:t>
            </w:r>
          </w:p>
        </w:tc>
        <w:tc>
          <w:tcPr>
            <w:tcW w:w="886" w:type="pct"/>
            <w:vAlign w:val="center"/>
          </w:tcPr>
          <w:p w14:paraId="70FE70BE">
            <w:pPr>
              <w:spacing w:line="260" w:lineRule="exact"/>
              <w:rPr>
                <w:rFonts w:ascii="宋体" w:hAnsi="宋体"/>
                <w:color w:val="auto"/>
              </w:rPr>
            </w:pPr>
            <w:r>
              <w:rPr>
                <w:rFonts w:ascii="宋体" w:hAnsi="宋体"/>
                <w:color w:val="auto"/>
              </w:rPr>
              <w:t>《安全生产法》第九十九条。</w:t>
            </w:r>
          </w:p>
        </w:tc>
        <w:tc>
          <w:tcPr>
            <w:tcW w:w="719" w:type="pct"/>
            <w:vAlign w:val="center"/>
          </w:tcPr>
          <w:p w14:paraId="4B7E130A">
            <w:pPr>
              <w:spacing w:line="260" w:lineRule="exact"/>
              <w:rPr>
                <w:rFonts w:ascii="宋体" w:hAnsi="宋体"/>
                <w:color w:val="auto"/>
              </w:rPr>
            </w:pPr>
            <w:r>
              <w:rPr>
                <w:rFonts w:hint="eastAsia" w:ascii="宋体" w:hAnsi="宋体"/>
                <w:color w:val="auto"/>
              </w:rPr>
              <w:t>设有变更</w:t>
            </w:r>
            <w:r>
              <w:rPr>
                <w:rFonts w:ascii="宋体" w:hAnsi="宋体"/>
                <w:color w:val="auto"/>
              </w:rPr>
              <w:t>管理</w:t>
            </w:r>
            <w:r>
              <w:rPr>
                <w:rFonts w:hint="eastAsia" w:ascii="宋体" w:hAnsi="宋体"/>
                <w:color w:val="auto"/>
              </w:rPr>
              <w:t>制度和安全风险评价管理制度</w:t>
            </w:r>
          </w:p>
        </w:tc>
        <w:tc>
          <w:tcPr>
            <w:tcW w:w="388" w:type="pct"/>
            <w:vAlign w:val="center"/>
          </w:tcPr>
          <w:p w14:paraId="55AAF6DE">
            <w:pPr>
              <w:spacing w:line="260" w:lineRule="exact"/>
              <w:rPr>
                <w:rFonts w:ascii="宋体" w:hAnsi="宋体"/>
                <w:color w:val="auto"/>
              </w:rPr>
            </w:pPr>
            <w:r>
              <w:rPr>
                <w:rFonts w:hint="eastAsia" w:ascii="宋体" w:hAnsi="宋体"/>
                <w:color w:val="auto"/>
              </w:rPr>
              <w:t>符合</w:t>
            </w:r>
          </w:p>
          <w:p w14:paraId="262B522A">
            <w:pPr>
              <w:spacing w:line="260" w:lineRule="exact"/>
              <w:rPr>
                <w:rFonts w:ascii="宋体" w:hAnsi="宋体"/>
                <w:color w:val="auto"/>
              </w:rPr>
            </w:pPr>
            <w:r>
              <w:rPr>
                <w:rFonts w:hint="eastAsia" w:ascii="宋体" w:hAnsi="宋体"/>
                <w:color w:val="auto"/>
              </w:rPr>
              <w:t>要求</w:t>
            </w:r>
          </w:p>
        </w:tc>
      </w:tr>
      <w:tr w14:paraId="62FE6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B3B29C0">
            <w:pPr>
              <w:numPr>
                <w:ilvl w:val="0"/>
                <w:numId w:val="14"/>
              </w:numPr>
              <w:spacing w:line="260" w:lineRule="exact"/>
              <w:jc w:val="center"/>
              <w:rPr>
                <w:rFonts w:ascii="宋体" w:hAnsi="宋体"/>
                <w:color w:val="auto"/>
              </w:rPr>
            </w:pPr>
          </w:p>
        </w:tc>
        <w:tc>
          <w:tcPr>
            <w:tcW w:w="1319" w:type="pct"/>
            <w:vAlign w:val="center"/>
          </w:tcPr>
          <w:p w14:paraId="53E8A780">
            <w:pPr>
              <w:spacing w:line="260" w:lineRule="exact"/>
              <w:rPr>
                <w:rFonts w:ascii="宋体" w:hAnsi="宋体"/>
                <w:color w:val="auto"/>
              </w:rPr>
            </w:pPr>
            <w:r>
              <w:rPr>
                <w:rFonts w:ascii="宋体" w:hAnsi="宋体"/>
                <w:color w:val="auto"/>
              </w:rPr>
              <w:t>未按照《危险化学品单位应急救援物资配备要求》配备应急救援物资。</w:t>
            </w:r>
          </w:p>
        </w:tc>
        <w:tc>
          <w:tcPr>
            <w:tcW w:w="1398" w:type="pct"/>
            <w:vAlign w:val="center"/>
          </w:tcPr>
          <w:p w14:paraId="42989ED9">
            <w:pPr>
              <w:spacing w:line="260" w:lineRule="exact"/>
              <w:rPr>
                <w:rFonts w:ascii="宋体" w:hAnsi="宋体"/>
                <w:color w:val="auto"/>
              </w:rPr>
            </w:pPr>
            <w:r>
              <w:rPr>
                <w:rFonts w:ascii="宋体" w:hAnsi="宋体"/>
                <w:color w:val="auto"/>
              </w:rPr>
              <w:t>《安全生产法》第七十九条；</w:t>
            </w:r>
          </w:p>
          <w:p w14:paraId="29301506">
            <w:pPr>
              <w:spacing w:line="260" w:lineRule="exact"/>
              <w:rPr>
                <w:rFonts w:ascii="宋体" w:hAnsi="宋体"/>
                <w:color w:val="auto"/>
              </w:rPr>
            </w:pPr>
            <w:r>
              <w:rPr>
                <w:rFonts w:ascii="宋体" w:hAnsi="宋体"/>
                <w:color w:val="auto"/>
              </w:rPr>
              <w:t>《危险化学品单位应急救援物资配备要求》（GB 30077-2013）。</w:t>
            </w:r>
          </w:p>
        </w:tc>
        <w:tc>
          <w:tcPr>
            <w:tcW w:w="886" w:type="pct"/>
            <w:vAlign w:val="center"/>
          </w:tcPr>
          <w:p w14:paraId="4E59E0C7">
            <w:pPr>
              <w:spacing w:line="260" w:lineRule="exact"/>
              <w:rPr>
                <w:rFonts w:ascii="宋体" w:hAnsi="宋体"/>
                <w:color w:val="auto"/>
              </w:rPr>
            </w:pPr>
            <w:r>
              <w:rPr>
                <w:rFonts w:ascii="宋体" w:hAnsi="宋体"/>
                <w:color w:val="auto"/>
              </w:rPr>
              <w:t>《生产安全事故应急预案管理办法》第四十四条第七款。</w:t>
            </w:r>
          </w:p>
        </w:tc>
        <w:tc>
          <w:tcPr>
            <w:tcW w:w="719" w:type="pct"/>
            <w:vAlign w:val="center"/>
          </w:tcPr>
          <w:p w14:paraId="0C1500CF">
            <w:pPr>
              <w:spacing w:line="260" w:lineRule="exact"/>
              <w:rPr>
                <w:rFonts w:ascii="宋体" w:hAnsi="宋体"/>
                <w:color w:val="auto"/>
              </w:rPr>
            </w:pPr>
            <w:r>
              <w:rPr>
                <w:rFonts w:ascii="宋体" w:hAnsi="宋体"/>
                <w:color w:val="auto"/>
              </w:rPr>
              <w:t>配备</w:t>
            </w:r>
            <w:r>
              <w:rPr>
                <w:rFonts w:hint="eastAsia" w:ascii="宋体" w:hAnsi="宋体"/>
                <w:color w:val="auto"/>
              </w:rPr>
              <w:t>相关</w:t>
            </w:r>
            <w:r>
              <w:rPr>
                <w:rFonts w:ascii="宋体" w:hAnsi="宋体"/>
                <w:color w:val="auto"/>
              </w:rPr>
              <w:t>应急救援物资</w:t>
            </w:r>
          </w:p>
        </w:tc>
        <w:tc>
          <w:tcPr>
            <w:tcW w:w="388" w:type="pct"/>
            <w:vAlign w:val="center"/>
          </w:tcPr>
          <w:p w14:paraId="602EE156">
            <w:pPr>
              <w:spacing w:line="260" w:lineRule="exact"/>
              <w:rPr>
                <w:rFonts w:ascii="宋体" w:hAnsi="宋体"/>
                <w:color w:val="auto"/>
              </w:rPr>
            </w:pPr>
            <w:r>
              <w:rPr>
                <w:rFonts w:hint="eastAsia" w:ascii="宋体" w:hAnsi="宋体"/>
                <w:color w:val="auto"/>
              </w:rPr>
              <w:t>符合</w:t>
            </w:r>
          </w:p>
          <w:p w14:paraId="3AF7B870">
            <w:pPr>
              <w:spacing w:line="260" w:lineRule="exact"/>
              <w:rPr>
                <w:rFonts w:ascii="宋体" w:hAnsi="宋体"/>
                <w:color w:val="auto"/>
              </w:rPr>
            </w:pPr>
            <w:r>
              <w:rPr>
                <w:rFonts w:hint="eastAsia" w:ascii="宋体" w:hAnsi="宋体"/>
                <w:color w:val="auto"/>
              </w:rPr>
              <w:t>要求</w:t>
            </w:r>
          </w:p>
        </w:tc>
      </w:tr>
    </w:tbl>
    <w:p w14:paraId="754F5433">
      <w:pPr>
        <w:spacing w:line="560" w:lineRule="exact"/>
        <w:ind w:firstLine="560" w:firstLineChars="200"/>
        <w:rPr>
          <w:rFonts w:ascii="宋体" w:hAnsi="宋体"/>
          <w:color w:val="auto"/>
          <w:sz w:val="30"/>
          <w:szCs w:val="30"/>
        </w:rPr>
      </w:pPr>
      <w:r>
        <w:rPr>
          <w:rFonts w:ascii="宋体" w:hAnsi="宋体"/>
          <w:color w:val="auto"/>
          <w:sz w:val="28"/>
          <w:szCs w:val="28"/>
        </w:rPr>
        <w:t>评价结论：</w:t>
      </w:r>
      <w:r>
        <w:rPr>
          <w:rFonts w:hint="eastAsia" w:ascii="宋体" w:hAnsi="宋体"/>
          <w:color w:val="auto"/>
          <w:sz w:val="28"/>
          <w:szCs w:val="28"/>
        </w:rPr>
        <w:t>根据</w:t>
      </w:r>
      <w:r>
        <w:rPr>
          <w:rFonts w:ascii="宋体" w:hAnsi="宋体"/>
          <w:color w:val="auto"/>
          <w:sz w:val="28"/>
          <w:szCs w:val="28"/>
        </w:rPr>
        <w:t>上表所述</w:t>
      </w:r>
      <w:r>
        <w:rPr>
          <w:rFonts w:hint="eastAsia" w:ascii="宋体" w:hAnsi="宋体"/>
          <w:color w:val="auto"/>
          <w:sz w:val="28"/>
          <w:szCs w:val="28"/>
        </w:rPr>
        <w:t>，均符合要求</w:t>
      </w:r>
      <w:r>
        <w:rPr>
          <w:rFonts w:ascii="宋体" w:hAnsi="宋体"/>
          <w:color w:val="auto"/>
          <w:sz w:val="28"/>
          <w:szCs w:val="28"/>
        </w:rPr>
        <w:t>。</w:t>
      </w:r>
      <w:bookmarkStart w:id="199" w:name="_Toc12089"/>
      <w:bookmarkStart w:id="200" w:name="_Toc25641"/>
      <w:bookmarkStart w:id="201" w:name="_Toc92712600"/>
    </w:p>
    <w:p w14:paraId="5392B596">
      <w:pPr>
        <w:pStyle w:val="3"/>
        <w:spacing w:line="560" w:lineRule="exact"/>
        <w:jc w:val="center"/>
        <w:rPr>
          <w:rFonts w:ascii="宋体" w:hAnsi="宋体"/>
          <w:color w:val="auto"/>
          <w:sz w:val="30"/>
          <w:szCs w:val="30"/>
        </w:rPr>
      </w:pPr>
      <w:bookmarkStart w:id="202" w:name="_Toc26675"/>
      <w:r>
        <w:rPr>
          <w:rFonts w:hint="eastAsia" w:ascii="宋体" w:hAnsi="宋体"/>
          <w:color w:val="auto"/>
          <w:sz w:val="30"/>
          <w:szCs w:val="30"/>
        </w:rPr>
        <w:t>5.14 安全经营条件评价</w:t>
      </w:r>
      <w:bookmarkEnd w:id="199"/>
      <w:bookmarkEnd w:id="200"/>
      <w:bookmarkEnd w:id="201"/>
      <w:bookmarkEnd w:id="202"/>
    </w:p>
    <w:p w14:paraId="25406E4C">
      <w:pPr>
        <w:spacing w:line="560" w:lineRule="exact"/>
        <w:ind w:firstLine="560" w:firstLineChars="200"/>
        <w:rPr>
          <w:rFonts w:ascii="宋体" w:hAnsi="宋体"/>
          <w:color w:val="auto"/>
          <w:sz w:val="28"/>
          <w:szCs w:val="28"/>
        </w:rPr>
      </w:pPr>
      <w:r>
        <w:rPr>
          <w:rFonts w:hint="eastAsia" w:ascii="宋体" w:hAnsi="宋体"/>
          <w:color w:val="auto"/>
          <w:sz w:val="28"/>
          <w:szCs w:val="28"/>
        </w:rPr>
        <w:t>根据</w:t>
      </w:r>
      <w:r>
        <w:rPr>
          <w:rFonts w:ascii="宋体" w:hAnsi="宋体"/>
          <w:color w:val="auto"/>
          <w:sz w:val="28"/>
          <w:szCs w:val="28"/>
        </w:rPr>
        <w:t>《危险化学品经营许可证管理办法》</w:t>
      </w:r>
      <w:r>
        <w:rPr>
          <w:rFonts w:hint="eastAsia" w:ascii="宋体" w:hAnsi="宋体"/>
          <w:color w:val="auto"/>
          <w:sz w:val="28"/>
          <w:szCs w:val="28"/>
        </w:rPr>
        <w:t>（</w:t>
      </w:r>
      <w:r>
        <w:rPr>
          <w:rFonts w:ascii="宋体" w:hAnsi="宋体"/>
          <w:color w:val="auto"/>
          <w:sz w:val="28"/>
          <w:szCs w:val="28"/>
        </w:rPr>
        <w:t>安监总局55号令</w:t>
      </w:r>
      <w:r>
        <w:rPr>
          <w:rFonts w:hint="eastAsia" w:ascii="宋体" w:hAnsi="宋体"/>
          <w:color w:val="auto"/>
          <w:sz w:val="28"/>
          <w:szCs w:val="28"/>
        </w:rPr>
        <w:t>，</w:t>
      </w:r>
      <w:r>
        <w:rPr>
          <w:rFonts w:ascii="宋体" w:hAnsi="宋体"/>
          <w:color w:val="auto"/>
          <w:sz w:val="28"/>
          <w:szCs w:val="28"/>
        </w:rPr>
        <w:t>第79号修正</w:t>
      </w:r>
      <w:r>
        <w:rPr>
          <w:rFonts w:hint="eastAsia" w:ascii="宋体" w:hAnsi="宋体"/>
          <w:color w:val="auto"/>
          <w:sz w:val="28"/>
          <w:szCs w:val="28"/>
        </w:rPr>
        <w:t>）</w:t>
      </w:r>
      <w:r>
        <w:rPr>
          <w:rFonts w:ascii="宋体" w:hAnsi="宋体"/>
          <w:color w:val="auto"/>
          <w:sz w:val="28"/>
          <w:szCs w:val="28"/>
        </w:rPr>
        <w:t>的要求</w:t>
      </w:r>
      <w:r>
        <w:rPr>
          <w:rFonts w:hint="eastAsia" w:ascii="宋体" w:hAnsi="宋体"/>
          <w:color w:val="auto"/>
          <w:sz w:val="28"/>
          <w:szCs w:val="28"/>
        </w:rPr>
        <w:t>编制如下</w:t>
      </w:r>
      <w:r>
        <w:rPr>
          <w:rFonts w:ascii="宋体" w:hAnsi="宋体"/>
          <w:color w:val="auto"/>
          <w:sz w:val="28"/>
          <w:szCs w:val="28"/>
        </w:rPr>
        <w:t>安全</w:t>
      </w:r>
      <w:r>
        <w:rPr>
          <w:rFonts w:hint="eastAsia" w:ascii="宋体" w:hAnsi="宋体"/>
          <w:color w:val="auto"/>
          <w:sz w:val="28"/>
          <w:szCs w:val="28"/>
        </w:rPr>
        <w:t>经营</w:t>
      </w:r>
      <w:r>
        <w:rPr>
          <w:rFonts w:ascii="宋体" w:hAnsi="宋体"/>
          <w:color w:val="auto"/>
          <w:sz w:val="28"/>
          <w:szCs w:val="28"/>
        </w:rPr>
        <w:t>条件</w:t>
      </w:r>
      <w:r>
        <w:rPr>
          <w:rFonts w:hint="eastAsia" w:ascii="宋体" w:hAnsi="宋体"/>
          <w:color w:val="auto"/>
          <w:sz w:val="28"/>
          <w:szCs w:val="28"/>
        </w:rPr>
        <w:t>检查</w:t>
      </w:r>
      <w:r>
        <w:rPr>
          <w:rFonts w:ascii="宋体" w:hAnsi="宋体"/>
          <w:color w:val="auto"/>
          <w:sz w:val="28"/>
          <w:szCs w:val="28"/>
        </w:rPr>
        <w:t>表</w:t>
      </w:r>
      <w:r>
        <w:rPr>
          <w:rFonts w:hint="eastAsia" w:ascii="宋体" w:hAnsi="宋体"/>
          <w:color w:val="auto"/>
          <w:sz w:val="28"/>
          <w:szCs w:val="28"/>
        </w:rPr>
        <w:t>5.14-1</w:t>
      </w:r>
      <w:r>
        <w:rPr>
          <w:rFonts w:ascii="宋体" w:hAnsi="宋体"/>
          <w:color w:val="auto"/>
          <w:sz w:val="28"/>
          <w:szCs w:val="28"/>
        </w:rPr>
        <w:t>。</w:t>
      </w:r>
    </w:p>
    <w:p w14:paraId="5F1C13A1">
      <w:pPr>
        <w:spacing w:line="56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5.14-1  安全经营条件评价</w:t>
      </w:r>
      <w:r>
        <w:rPr>
          <w:rFonts w:ascii="宋体" w:hAnsi="宋体"/>
          <w:color w:val="auto"/>
          <w:sz w:val="28"/>
          <w:szCs w:val="28"/>
        </w:rPr>
        <w:t>符合性评价表</w:t>
      </w:r>
    </w:p>
    <w:tbl>
      <w:tblPr>
        <w:tblStyle w:val="25"/>
        <w:tblW w:w="504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76"/>
        <w:gridCol w:w="5182"/>
        <w:gridCol w:w="1109"/>
        <w:gridCol w:w="1620"/>
        <w:gridCol w:w="601"/>
      </w:tblGrid>
      <w:tr w14:paraId="310828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blHeader/>
          <w:jc w:val="center"/>
        </w:trPr>
        <w:tc>
          <w:tcPr>
            <w:tcW w:w="368" w:type="pct"/>
            <w:vAlign w:val="center"/>
          </w:tcPr>
          <w:p w14:paraId="4619C0EC">
            <w:pPr>
              <w:jc w:val="center"/>
              <w:rPr>
                <w:rFonts w:ascii="宋体" w:hAnsi="宋体"/>
                <w:b/>
                <w:color w:val="auto"/>
              </w:rPr>
            </w:pPr>
            <w:r>
              <w:rPr>
                <w:rFonts w:ascii="宋体" w:hAnsi="宋体"/>
                <w:b/>
                <w:color w:val="auto"/>
              </w:rPr>
              <w:t>序号</w:t>
            </w:r>
          </w:p>
        </w:tc>
        <w:tc>
          <w:tcPr>
            <w:tcW w:w="2818" w:type="pct"/>
            <w:vAlign w:val="center"/>
          </w:tcPr>
          <w:p w14:paraId="29430C48">
            <w:pPr>
              <w:jc w:val="center"/>
              <w:rPr>
                <w:rFonts w:ascii="宋体" w:hAnsi="宋体"/>
                <w:b/>
                <w:color w:val="auto"/>
              </w:rPr>
            </w:pPr>
            <w:r>
              <w:rPr>
                <w:rFonts w:ascii="宋体" w:hAnsi="宋体"/>
                <w:b/>
                <w:color w:val="auto"/>
              </w:rPr>
              <w:t>检查内容</w:t>
            </w:r>
          </w:p>
        </w:tc>
        <w:tc>
          <w:tcPr>
            <w:tcW w:w="603" w:type="pct"/>
            <w:vAlign w:val="center"/>
          </w:tcPr>
          <w:p w14:paraId="53BE3B94">
            <w:pPr>
              <w:jc w:val="center"/>
              <w:rPr>
                <w:rFonts w:ascii="宋体" w:hAnsi="宋体"/>
                <w:b/>
                <w:color w:val="auto"/>
              </w:rPr>
            </w:pPr>
            <w:r>
              <w:rPr>
                <w:rFonts w:hint="eastAsia" w:ascii="宋体" w:hAnsi="宋体"/>
                <w:b/>
                <w:color w:val="auto"/>
              </w:rPr>
              <w:t>检查依据</w:t>
            </w:r>
          </w:p>
        </w:tc>
        <w:tc>
          <w:tcPr>
            <w:tcW w:w="881" w:type="pct"/>
            <w:vAlign w:val="center"/>
          </w:tcPr>
          <w:p w14:paraId="096762F2">
            <w:pPr>
              <w:jc w:val="center"/>
              <w:rPr>
                <w:rFonts w:ascii="宋体" w:hAnsi="宋体"/>
                <w:b/>
                <w:color w:val="auto"/>
              </w:rPr>
            </w:pPr>
            <w:r>
              <w:rPr>
                <w:rFonts w:ascii="宋体" w:hAnsi="宋体"/>
                <w:b/>
                <w:color w:val="auto"/>
              </w:rPr>
              <w:t>检查记录</w:t>
            </w:r>
          </w:p>
        </w:tc>
        <w:tc>
          <w:tcPr>
            <w:tcW w:w="326" w:type="pct"/>
            <w:vAlign w:val="center"/>
          </w:tcPr>
          <w:p w14:paraId="3DBB2730">
            <w:pPr>
              <w:jc w:val="center"/>
              <w:rPr>
                <w:rFonts w:ascii="宋体" w:hAnsi="宋体"/>
                <w:b/>
                <w:color w:val="auto"/>
              </w:rPr>
            </w:pPr>
            <w:r>
              <w:rPr>
                <w:rFonts w:ascii="宋体" w:hAnsi="宋体"/>
                <w:b/>
                <w:color w:val="auto"/>
              </w:rPr>
              <w:t>结论</w:t>
            </w:r>
          </w:p>
        </w:tc>
      </w:tr>
      <w:tr w14:paraId="2EB853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16C96E07">
            <w:pPr>
              <w:jc w:val="center"/>
              <w:rPr>
                <w:rFonts w:ascii="宋体" w:hAnsi="宋体"/>
                <w:color w:val="auto"/>
              </w:rPr>
            </w:pPr>
            <w:r>
              <w:rPr>
                <w:rFonts w:ascii="宋体" w:hAnsi="宋体"/>
                <w:color w:val="auto"/>
              </w:rPr>
              <w:t>1</w:t>
            </w:r>
          </w:p>
        </w:tc>
        <w:tc>
          <w:tcPr>
            <w:tcW w:w="2818" w:type="pct"/>
            <w:vAlign w:val="center"/>
          </w:tcPr>
          <w:p w14:paraId="6CACCC5E">
            <w:pPr>
              <w:rPr>
                <w:rFonts w:ascii="宋体" w:hAnsi="宋体"/>
                <w:color w:val="auto"/>
              </w:rPr>
            </w:pPr>
            <w:r>
              <w:rPr>
                <w:rFonts w:hint="eastAsia" w:ascii="宋体" w:hAnsi="宋体"/>
                <w:color w:val="auto"/>
              </w:rPr>
              <w:t>从事危险化学品经营的单位（以下统称申请人）应当依法登记注册为企业，并具备下列基本条件：</w:t>
            </w:r>
          </w:p>
        </w:tc>
        <w:tc>
          <w:tcPr>
            <w:tcW w:w="603" w:type="pct"/>
            <w:tcBorders>
              <w:bottom w:val="single" w:color="auto" w:sz="4" w:space="0"/>
            </w:tcBorders>
            <w:vAlign w:val="center"/>
          </w:tcPr>
          <w:p w14:paraId="5E15CBF8">
            <w:pPr>
              <w:jc w:val="center"/>
              <w:rPr>
                <w:rFonts w:ascii="宋体" w:hAnsi="宋体"/>
                <w:color w:val="auto"/>
              </w:rPr>
            </w:pPr>
            <w:r>
              <w:rPr>
                <w:rFonts w:hint="eastAsia" w:ascii="宋体" w:hAnsi="宋体"/>
                <w:color w:val="auto"/>
              </w:rPr>
              <w:t>第六条</w:t>
            </w:r>
          </w:p>
        </w:tc>
        <w:tc>
          <w:tcPr>
            <w:tcW w:w="1208" w:type="pct"/>
            <w:gridSpan w:val="2"/>
            <w:vAlign w:val="center"/>
          </w:tcPr>
          <w:p w14:paraId="2E2E4B08">
            <w:pPr>
              <w:rPr>
                <w:rFonts w:ascii="宋体" w:hAnsi="宋体"/>
                <w:color w:val="auto"/>
              </w:rPr>
            </w:pPr>
          </w:p>
        </w:tc>
      </w:tr>
      <w:tr w14:paraId="76C35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4B0026F3">
            <w:pPr>
              <w:spacing w:line="340" w:lineRule="exact"/>
              <w:jc w:val="center"/>
              <w:rPr>
                <w:rFonts w:ascii="宋体" w:hAnsi="宋体"/>
                <w:color w:val="auto"/>
              </w:rPr>
            </w:pPr>
            <w:r>
              <w:rPr>
                <w:rFonts w:hint="eastAsia" w:ascii="宋体" w:hAnsi="宋体"/>
                <w:color w:val="auto"/>
              </w:rPr>
              <w:t>1.1</w:t>
            </w:r>
          </w:p>
        </w:tc>
        <w:tc>
          <w:tcPr>
            <w:tcW w:w="2818" w:type="pct"/>
            <w:vAlign w:val="center"/>
          </w:tcPr>
          <w:p w14:paraId="63E4FBDB">
            <w:pPr>
              <w:spacing w:line="340" w:lineRule="exact"/>
              <w:rPr>
                <w:rFonts w:ascii="宋体" w:hAnsi="宋体"/>
                <w:color w:val="auto"/>
              </w:rPr>
            </w:pPr>
            <w:r>
              <w:rPr>
                <w:rFonts w:hint="eastAsia" w:ascii="宋体" w:hAnsi="宋体"/>
                <w:color w:val="auto"/>
              </w:rPr>
              <w:t>（一）经营和储存场所、设施、建筑物符合《汽车加油加气加氢站技术标准》（GB 50156-2021）、《建筑设计防火规范》（GB 50016）、《石油化工企业设计防火规范》（GB 50160）、《石油库设计规范》（GB 50074）等相关国家标准、行业标准的规定。</w:t>
            </w:r>
          </w:p>
        </w:tc>
        <w:tc>
          <w:tcPr>
            <w:tcW w:w="603" w:type="pct"/>
            <w:vMerge w:val="restart"/>
            <w:tcBorders>
              <w:top w:val="single" w:color="auto" w:sz="4" w:space="0"/>
            </w:tcBorders>
            <w:vAlign w:val="center"/>
          </w:tcPr>
          <w:p w14:paraId="1E1AE90D">
            <w:pPr>
              <w:spacing w:line="340" w:lineRule="exact"/>
              <w:jc w:val="center"/>
              <w:rPr>
                <w:rFonts w:ascii="宋体" w:hAnsi="宋体"/>
                <w:color w:val="auto"/>
              </w:rPr>
            </w:pPr>
          </w:p>
        </w:tc>
        <w:tc>
          <w:tcPr>
            <w:tcW w:w="881" w:type="pct"/>
            <w:vAlign w:val="center"/>
          </w:tcPr>
          <w:p w14:paraId="436495DF">
            <w:pPr>
              <w:spacing w:line="340" w:lineRule="exact"/>
              <w:rPr>
                <w:rFonts w:ascii="宋体" w:hAnsi="宋体"/>
                <w:color w:val="auto"/>
              </w:rPr>
            </w:pPr>
            <w:r>
              <w:rPr>
                <w:rFonts w:hint="eastAsia" w:ascii="宋体" w:hAnsi="宋体"/>
                <w:color w:val="auto"/>
              </w:rPr>
              <w:t>经营和储存场所、设施、建筑物符合相关国家标准、行业标准的规定</w:t>
            </w:r>
          </w:p>
        </w:tc>
        <w:tc>
          <w:tcPr>
            <w:tcW w:w="326" w:type="pct"/>
            <w:vAlign w:val="center"/>
          </w:tcPr>
          <w:p w14:paraId="0462042B">
            <w:pPr>
              <w:spacing w:line="340" w:lineRule="exact"/>
              <w:jc w:val="center"/>
              <w:rPr>
                <w:rFonts w:ascii="宋体" w:hAnsi="宋体"/>
                <w:color w:val="auto"/>
              </w:rPr>
            </w:pPr>
            <w:r>
              <w:rPr>
                <w:rFonts w:hint="eastAsia" w:ascii="宋体" w:hAnsi="宋体"/>
                <w:color w:val="auto"/>
              </w:rPr>
              <w:t>符合要求</w:t>
            </w:r>
          </w:p>
        </w:tc>
      </w:tr>
      <w:tr w14:paraId="3BC76D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35646583">
            <w:pPr>
              <w:spacing w:line="340" w:lineRule="exact"/>
              <w:jc w:val="center"/>
              <w:rPr>
                <w:rFonts w:ascii="宋体" w:hAnsi="宋体"/>
                <w:color w:val="auto"/>
              </w:rPr>
            </w:pPr>
            <w:r>
              <w:rPr>
                <w:rFonts w:hint="eastAsia" w:ascii="宋体" w:hAnsi="宋体"/>
                <w:color w:val="auto"/>
              </w:rPr>
              <w:t>1.2</w:t>
            </w:r>
          </w:p>
        </w:tc>
        <w:tc>
          <w:tcPr>
            <w:tcW w:w="2818" w:type="pct"/>
            <w:vAlign w:val="center"/>
          </w:tcPr>
          <w:p w14:paraId="0C1EE977">
            <w:pPr>
              <w:spacing w:line="340" w:lineRule="exact"/>
              <w:rPr>
                <w:rFonts w:ascii="宋体" w:hAnsi="宋体"/>
                <w:color w:val="auto"/>
              </w:rPr>
            </w:pPr>
            <w:r>
              <w:rPr>
                <w:rFonts w:hint="eastAsia" w:ascii="宋体" w:hAnsi="宋体"/>
                <w:color w:val="auto"/>
              </w:rPr>
              <w:t>（二）企业主要负责人和安全生产管理人员具备与本企业危险化学品经营活动相适应的安全生产知识和管理能力，经专门的安全生产培训和安全生产监督管理部门考核合格，取得相应安全资格证书；特种作业人员经专门的安全作业培训，取得特种作业操作证书；其他从业人员依照有关规定经安全生产教育和专业技术培训合格。</w:t>
            </w:r>
          </w:p>
        </w:tc>
        <w:tc>
          <w:tcPr>
            <w:tcW w:w="603" w:type="pct"/>
            <w:vMerge w:val="continue"/>
            <w:vAlign w:val="center"/>
          </w:tcPr>
          <w:p w14:paraId="6EBA0E01">
            <w:pPr>
              <w:spacing w:line="340" w:lineRule="exact"/>
              <w:jc w:val="center"/>
              <w:rPr>
                <w:rFonts w:ascii="宋体" w:hAnsi="宋体"/>
                <w:color w:val="auto"/>
              </w:rPr>
            </w:pPr>
          </w:p>
        </w:tc>
        <w:tc>
          <w:tcPr>
            <w:tcW w:w="881" w:type="pct"/>
            <w:vAlign w:val="center"/>
          </w:tcPr>
          <w:p w14:paraId="5D055394">
            <w:pPr>
              <w:spacing w:line="340" w:lineRule="exact"/>
              <w:rPr>
                <w:rFonts w:ascii="宋体" w:hAnsi="宋体"/>
                <w:color w:val="auto"/>
              </w:rPr>
            </w:pPr>
            <w:r>
              <w:rPr>
                <w:rFonts w:hint="eastAsia" w:ascii="宋体" w:hAnsi="宋体"/>
                <w:color w:val="auto"/>
              </w:rPr>
              <w:t>主要负责人和安全生产管理人员考核合格并取证</w:t>
            </w:r>
          </w:p>
        </w:tc>
        <w:tc>
          <w:tcPr>
            <w:tcW w:w="326" w:type="pct"/>
            <w:vAlign w:val="center"/>
          </w:tcPr>
          <w:p w14:paraId="5ABF1833">
            <w:pPr>
              <w:spacing w:line="340" w:lineRule="exact"/>
              <w:jc w:val="center"/>
              <w:rPr>
                <w:rFonts w:ascii="宋体" w:hAnsi="宋体"/>
                <w:color w:val="auto"/>
              </w:rPr>
            </w:pPr>
            <w:r>
              <w:rPr>
                <w:rFonts w:hint="eastAsia" w:ascii="宋体" w:hAnsi="宋体"/>
                <w:color w:val="auto"/>
              </w:rPr>
              <w:t>符合要求</w:t>
            </w:r>
          </w:p>
        </w:tc>
      </w:tr>
      <w:tr w14:paraId="1E4B4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75A7C356">
            <w:pPr>
              <w:jc w:val="center"/>
              <w:rPr>
                <w:rFonts w:ascii="宋体" w:hAnsi="宋体"/>
                <w:color w:val="auto"/>
              </w:rPr>
            </w:pPr>
            <w:r>
              <w:rPr>
                <w:rFonts w:hint="eastAsia" w:ascii="宋体" w:hAnsi="宋体"/>
                <w:color w:val="auto"/>
              </w:rPr>
              <w:t>1.3</w:t>
            </w:r>
          </w:p>
        </w:tc>
        <w:tc>
          <w:tcPr>
            <w:tcW w:w="2818" w:type="pct"/>
            <w:vAlign w:val="center"/>
          </w:tcPr>
          <w:p w14:paraId="2E4F8D10">
            <w:pPr>
              <w:rPr>
                <w:rFonts w:ascii="宋体" w:hAnsi="宋体"/>
                <w:color w:val="auto"/>
              </w:rPr>
            </w:pPr>
            <w:r>
              <w:rPr>
                <w:rFonts w:hint="eastAsia" w:ascii="宋体" w:hAnsi="宋体"/>
                <w:color w:val="auto"/>
              </w:rPr>
              <w:t>（三）有健全的安全生产规章制度和岗位操作规程。</w:t>
            </w:r>
          </w:p>
        </w:tc>
        <w:tc>
          <w:tcPr>
            <w:tcW w:w="603" w:type="pct"/>
            <w:vMerge w:val="continue"/>
            <w:vAlign w:val="center"/>
          </w:tcPr>
          <w:p w14:paraId="0C229489">
            <w:pPr>
              <w:jc w:val="center"/>
              <w:rPr>
                <w:rFonts w:ascii="宋体" w:hAnsi="宋体"/>
                <w:color w:val="auto"/>
              </w:rPr>
            </w:pPr>
          </w:p>
        </w:tc>
        <w:tc>
          <w:tcPr>
            <w:tcW w:w="881" w:type="pct"/>
            <w:vAlign w:val="center"/>
          </w:tcPr>
          <w:p w14:paraId="4B5659A9">
            <w:pPr>
              <w:rPr>
                <w:rFonts w:ascii="宋体" w:hAnsi="宋体"/>
                <w:color w:val="auto"/>
              </w:rPr>
            </w:pPr>
            <w:r>
              <w:rPr>
                <w:rFonts w:hint="eastAsia" w:ascii="宋体" w:hAnsi="宋体"/>
                <w:color w:val="auto"/>
              </w:rPr>
              <w:t>建立了制度和规程</w:t>
            </w:r>
          </w:p>
        </w:tc>
        <w:tc>
          <w:tcPr>
            <w:tcW w:w="326" w:type="pct"/>
            <w:vAlign w:val="center"/>
          </w:tcPr>
          <w:p w14:paraId="20BDD44D">
            <w:pPr>
              <w:jc w:val="center"/>
              <w:rPr>
                <w:rFonts w:ascii="宋体" w:hAnsi="宋体"/>
                <w:color w:val="auto"/>
              </w:rPr>
            </w:pPr>
            <w:r>
              <w:rPr>
                <w:rFonts w:hint="eastAsia" w:ascii="宋体" w:hAnsi="宋体"/>
                <w:color w:val="auto"/>
              </w:rPr>
              <w:t>符合要求</w:t>
            </w:r>
          </w:p>
        </w:tc>
      </w:tr>
      <w:tr w14:paraId="6A37F7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3A654D20">
            <w:pPr>
              <w:jc w:val="center"/>
              <w:rPr>
                <w:rFonts w:ascii="宋体" w:hAnsi="宋体"/>
                <w:color w:val="auto"/>
              </w:rPr>
            </w:pPr>
            <w:r>
              <w:rPr>
                <w:rFonts w:hint="eastAsia" w:ascii="宋体" w:hAnsi="宋体"/>
                <w:color w:val="auto"/>
              </w:rPr>
              <w:t>1.4</w:t>
            </w:r>
          </w:p>
        </w:tc>
        <w:tc>
          <w:tcPr>
            <w:tcW w:w="2818" w:type="pct"/>
            <w:vAlign w:val="center"/>
          </w:tcPr>
          <w:p w14:paraId="37E3C2A3">
            <w:pPr>
              <w:rPr>
                <w:rFonts w:ascii="宋体" w:hAnsi="宋体"/>
                <w:color w:val="auto"/>
              </w:rPr>
            </w:pPr>
            <w:r>
              <w:rPr>
                <w:rFonts w:hint="eastAsia" w:ascii="宋体" w:hAnsi="宋体"/>
                <w:color w:val="auto"/>
              </w:rPr>
              <w:t>（四）有符合国家规定的危险化学品事故应急预案，并配备必要的应急救援器材、设备。</w:t>
            </w:r>
          </w:p>
        </w:tc>
        <w:tc>
          <w:tcPr>
            <w:tcW w:w="603" w:type="pct"/>
            <w:vMerge w:val="continue"/>
            <w:vAlign w:val="center"/>
          </w:tcPr>
          <w:p w14:paraId="4158A1D6">
            <w:pPr>
              <w:jc w:val="center"/>
              <w:rPr>
                <w:rFonts w:ascii="宋体" w:hAnsi="宋体"/>
                <w:color w:val="auto"/>
              </w:rPr>
            </w:pPr>
          </w:p>
        </w:tc>
        <w:tc>
          <w:tcPr>
            <w:tcW w:w="881" w:type="pct"/>
            <w:vAlign w:val="center"/>
          </w:tcPr>
          <w:p w14:paraId="78F3412A">
            <w:pPr>
              <w:rPr>
                <w:rFonts w:ascii="宋体" w:hAnsi="宋体"/>
                <w:color w:val="auto"/>
              </w:rPr>
            </w:pPr>
            <w:r>
              <w:rPr>
                <w:rFonts w:hint="eastAsia" w:ascii="宋体" w:hAnsi="宋体"/>
                <w:color w:val="auto"/>
              </w:rPr>
              <w:t>有事故应急预案并备案，配备必要的应急救援器材、设备</w:t>
            </w:r>
          </w:p>
        </w:tc>
        <w:tc>
          <w:tcPr>
            <w:tcW w:w="326" w:type="pct"/>
            <w:vAlign w:val="center"/>
          </w:tcPr>
          <w:p w14:paraId="20EB6509">
            <w:pPr>
              <w:jc w:val="center"/>
              <w:rPr>
                <w:rFonts w:ascii="宋体" w:hAnsi="宋体"/>
                <w:color w:val="auto"/>
              </w:rPr>
            </w:pPr>
            <w:r>
              <w:rPr>
                <w:rFonts w:hint="eastAsia" w:ascii="宋体" w:hAnsi="宋体"/>
                <w:color w:val="auto"/>
              </w:rPr>
              <w:t>符合要求</w:t>
            </w:r>
          </w:p>
        </w:tc>
      </w:tr>
      <w:tr w14:paraId="1FA11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21A3578B">
            <w:pPr>
              <w:jc w:val="center"/>
              <w:rPr>
                <w:rFonts w:ascii="宋体" w:hAnsi="宋体"/>
                <w:color w:val="auto"/>
              </w:rPr>
            </w:pPr>
            <w:r>
              <w:rPr>
                <w:rFonts w:hint="eastAsia" w:ascii="宋体" w:hAnsi="宋体"/>
                <w:color w:val="auto"/>
              </w:rPr>
              <w:t>1.5</w:t>
            </w:r>
          </w:p>
        </w:tc>
        <w:tc>
          <w:tcPr>
            <w:tcW w:w="2818" w:type="pct"/>
            <w:vAlign w:val="center"/>
          </w:tcPr>
          <w:p w14:paraId="24947EAF">
            <w:pPr>
              <w:rPr>
                <w:rFonts w:ascii="宋体" w:hAnsi="宋体"/>
                <w:color w:val="auto"/>
              </w:rPr>
            </w:pPr>
            <w:r>
              <w:rPr>
                <w:rFonts w:hint="eastAsia" w:ascii="宋体" w:hAnsi="宋体"/>
                <w:color w:val="auto"/>
              </w:rPr>
              <w:t>（五）法律、法规和国家标准或者行业标准规定的其他安全生产条件。</w:t>
            </w:r>
          </w:p>
          <w:p w14:paraId="6E03130F">
            <w:pPr>
              <w:rPr>
                <w:rFonts w:ascii="宋体" w:hAnsi="宋体"/>
                <w:color w:val="auto"/>
              </w:rPr>
            </w:pPr>
            <w:r>
              <w:rPr>
                <w:rFonts w:hint="eastAsia" w:ascii="宋体" w:hAnsi="宋体"/>
                <w:color w:val="auto"/>
              </w:rPr>
              <w:t>前款规定的安全生产规章制度，是指全员安全生产责任制度、危险化学品购销管理制度、危险化学品安全管理制度（包括防火、防爆、防中毒、防泄漏管理等内容）、安全投入保障制度、安全生产奖惩制度、安全生产教育培训制度、隐患排查治理制度、安全风险管理制度、应急管理制度、事故管理制度、职业卫生管理制度等。</w:t>
            </w:r>
          </w:p>
        </w:tc>
        <w:tc>
          <w:tcPr>
            <w:tcW w:w="603" w:type="pct"/>
            <w:vMerge w:val="continue"/>
            <w:vAlign w:val="center"/>
          </w:tcPr>
          <w:p w14:paraId="7950186D">
            <w:pPr>
              <w:jc w:val="center"/>
              <w:rPr>
                <w:rFonts w:ascii="宋体" w:hAnsi="宋体"/>
                <w:color w:val="auto"/>
              </w:rPr>
            </w:pPr>
          </w:p>
        </w:tc>
        <w:tc>
          <w:tcPr>
            <w:tcW w:w="881" w:type="pct"/>
            <w:vAlign w:val="center"/>
          </w:tcPr>
          <w:p w14:paraId="292FE841">
            <w:pPr>
              <w:rPr>
                <w:rFonts w:ascii="宋体" w:hAnsi="宋体"/>
                <w:color w:val="auto"/>
              </w:rPr>
            </w:pPr>
            <w:r>
              <w:rPr>
                <w:rFonts w:hint="eastAsia" w:ascii="宋体" w:hAnsi="宋体"/>
                <w:color w:val="auto"/>
              </w:rPr>
              <w:t>有相关安全生产规章制度</w:t>
            </w:r>
          </w:p>
        </w:tc>
        <w:tc>
          <w:tcPr>
            <w:tcW w:w="326" w:type="pct"/>
            <w:vAlign w:val="center"/>
          </w:tcPr>
          <w:p w14:paraId="71351305">
            <w:pPr>
              <w:jc w:val="center"/>
              <w:rPr>
                <w:rFonts w:ascii="宋体" w:hAnsi="宋体"/>
                <w:color w:val="auto"/>
              </w:rPr>
            </w:pPr>
            <w:r>
              <w:rPr>
                <w:rFonts w:hint="eastAsia" w:ascii="宋体" w:hAnsi="宋体"/>
                <w:color w:val="auto"/>
              </w:rPr>
              <w:t>符合要求</w:t>
            </w:r>
          </w:p>
        </w:tc>
      </w:tr>
      <w:tr w14:paraId="7F98E5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05FF680C">
            <w:pPr>
              <w:jc w:val="center"/>
              <w:rPr>
                <w:rFonts w:ascii="宋体" w:hAnsi="宋体"/>
                <w:color w:val="auto"/>
              </w:rPr>
            </w:pPr>
            <w:r>
              <w:rPr>
                <w:rFonts w:hint="eastAsia" w:ascii="宋体" w:hAnsi="宋体"/>
                <w:color w:val="auto"/>
              </w:rPr>
              <w:t>2</w:t>
            </w:r>
          </w:p>
        </w:tc>
        <w:tc>
          <w:tcPr>
            <w:tcW w:w="2818" w:type="pct"/>
            <w:vAlign w:val="center"/>
          </w:tcPr>
          <w:p w14:paraId="6D432DF7">
            <w:pPr>
              <w:rPr>
                <w:rFonts w:ascii="宋体" w:hAnsi="宋体"/>
                <w:color w:val="auto"/>
              </w:rPr>
            </w:pPr>
            <w:r>
              <w:rPr>
                <w:rFonts w:hint="eastAsia" w:ascii="宋体" w:hAnsi="宋体"/>
                <w:color w:val="auto"/>
              </w:rPr>
              <w:t>申请人经营剧毒化学品的，除符合本办法第六条规定的条件外，还应当建立剧毒化学品双人验收、双人保管、双人发货、双把锁、双本账等管理制度。</w:t>
            </w:r>
          </w:p>
        </w:tc>
        <w:tc>
          <w:tcPr>
            <w:tcW w:w="603" w:type="pct"/>
            <w:vAlign w:val="center"/>
          </w:tcPr>
          <w:p w14:paraId="27886DEB">
            <w:pPr>
              <w:jc w:val="center"/>
              <w:rPr>
                <w:rFonts w:ascii="宋体" w:hAnsi="宋体"/>
                <w:color w:val="auto"/>
              </w:rPr>
            </w:pPr>
            <w:r>
              <w:rPr>
                <w:rFonts w:hint="eastAsia" w:ascii="宋体" w:hAnsi="宋体"/>
                <w:color w:val="auto"/>
              </w:rPr>
              <w:t>第七条</w:t>
            </w:r>
          </w:p>
        </w:tc>
        <w:tc>
          <w:tcPr>
            <w:tcW w:w="881" w:type="pct"/>
            <w:vAlign w:val="center"/>
          </w:tcPr>
          <w:p w14:paraId="3AA88267">
            <w:pPr>
              <w:rPr>
                <w:rFonts w:ascii="宋体" w:hAnsi="宋体"/>
                <w:color w:val="auto"/>
              </w:rPr>
            </w:pPr>
            <w:r>
              <w:rPr>
                <w:rFonts w:hint="eastAsia" w:ascii="宋体" w:hAnsi="宋体"/>
                <w:color w:val="auto"/>
              </w:rPr>
              <w:t>不涉及经营剧毒化学品</w:t>
            </w:r>
          </w:p>
        </w:tc>
        <w:tc>
          <w:tcPr>
            <w:tcW w:w="326" w:type="pct"/>
            <w:vAlign w:val="center"/>
          </w:tcPr>
          <w:p w14:paraId="338081EF">
            <w:pPr>
              <w:jc w:val="center"/>
              <w:rPr>
                <w:rFonts w:ascii="宋体" w:hAnsi="宋体"/>
                <w:color w:val="auto"/>
              </w:rPr>
            </w:pPr>
            <w:r>
              <w:rPr>
                <w:rFonts w:hint="eastAsia" w:ascii="宋体" w:hAnsi="宋体"/>
                <w:color w:val="auto"/>
              </w:rPr>
              <w:t>符合要求</w:t>
            </w:r>
          </w:p>
        </w:tc>
      </w:tr>
    </w:tbl>
    <w:p w14:paraId="0E5CFF6C">
      <w:pPr>
        <w:spacing w:line="560" w:lineRule="exact"/>
        <w:ind w:firstLine="560" w:firstLineChars="20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该加油站的安全经营条件评价符合要求</w:t>
      </w:r>
      <w:r>
        <w:rPr>
          <w:rFonts w:ascii="宋体" w:hAnsi="宋体"/>
          <w:color w:val="auto"/>
          <w:sz w:val="28"/>
          <w:szCs w:val="28"/>
        </w:rPr>
        <w:t>。</w:t>
      </w:r>
    </w:p>
    <w:p w14:paraId="4CF4D4EA">
      <w:pPr>
        <w:pStyle w:val="3"/>
        <w:spacing w:line="560" w:lineRule="exact"/>
        <w:jc w:val="center"/>
        <w:rPr>
          <w:rFonts w:ascii="宋体" w:hAnsi="宋体"/>
          <w:color w:val="auto"/>
          <w:sz w:val="30"/>
          <w:szCs w:val="30"/>
        </w:rPr>
      </w:pPr>
      <w:bookmarkStart w:id="203" w:name="_Toc26461"/>
      <w:bookmarkStart w:id="204" w:name="_Toc15085"/>
      <w:r>
        <w:rPr>
          <w:rFonts w:hint="eastAsia" w:ascii="宋体" w:hAnsi="宋体"/>
          <w:color w:val="auto"/>
          <w:sz w:val="30"/>
          <w:szCs w:val="30"/>
        </w:rPr>
        <w:t>5.15 安全设施符合性诊断及整改设计提出的对策措施采纳情况</w:t>
      </w:r>
      <w:bookmarkEnd w:id="203"/>
    </w:p>
    <w:p w14:paraId="722B85D2">
      <w:pPr>
        <w:widowControl/>
        <w:tabs>
          <w:tab w:val="left" w:pos="7140"/>
        </w:tabs>
        <w:spacing w:line="56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对照《中国石化销售股份有限公司江西赣州</w:t>
      </w:r>
      <w:r>
        <w:rPr>
          <w:rFonts w:hint="eastAsia" w:ascii="Times New Roman" w:hAnsi="Times New Roman" w:cs="宋体"/>
          <w:color w:val="auto"/>
          <w:sz w:val="28"/>
          <w:szCs w:val="28"/>
          <w:lang w:eastAsia="zh-CN"/>
        </w:rPr>
        <w:t>兴国石油分公司江背加油站</w:t>
      </w:r>
      <w:r>
        <w:rPr>
          <w:rFonts w:hint="eastAsia" w:ascii="Times New Roman" w:hAnsi="Times New Roman" w:cs="宋体"/>
          <w:color w:val="auto"/>
          <w:sz w:val="28"/>
          <w:szCs w:val="28"/>
        </w:rPr>
        <w:t>安全设施符合性诊断及整改设计》，项目诊断及整改设计中提出的安全对策措施采纳情况见下表。</w:t>
      </w:r>
    </w:p>
    <w:p w14:paraId="4298E6A5">
      <w:pPr>
        <w:jc w:val="center"/>
        <w:rPr>
          <w:rFonts w:ascii="宋体" w:hAnsi="宋体" w:cs="宋体"/>
          <w:b/>
          <w:bCs/>
          <w:color w:val="auto"/>
        </w:rPr>
      </w:pPr>
      <w:r>
        <w:rPr>
          <w:rFonts w:hint="eastAsia" w:ascii="宋体" w:hAnsi="宋体" w:cs="宋体"/>
          <w:b/>
          <w:bCs/>
          <w:color w:val="auto"/>
        </w:rPr>
        <w:t>表</w:t>
      </w:r>
      <w:r>
        <w:rPr>
          <w:rFonts w:hint="eastAsia" w:ascii="Times New Roman" w:hAnsi="Times New Roman" w:cs="Times New Roman"/>
          <w:b/>
          <w:bCs/>
          <w:color w:val="auto"/>
        </w:rPr>
        <w:t>5</w:t>
      </w:r>
      <w:r>
        <w:rPr>
          <w:rFonts w:ascii="Times New Roman" w:hAnsi="Times New Roman" w:cs="Times New Roman"/>
          <w:b/>
          <w:bCs/>
          <w:color w:val="auto"/>
        </w:rPr>
        <w:t>.</w:t>
      </w:r>
      <w:r>
        <w:rPr>
          <w:rFonts w:hint="eastAsia" w:ascii="Times New Roman" w:hAnsi="Times New Roman" w:cs="Times New Roman"/>
          <w:b/>
          <w:bCs/>
          <w:color w:val="auto"/>
        </w:rPr>
        <w:t>15-1</w:t>
      </w:r>
      <w:r>
        <w:rPr>
          <w:rFonts w:ascii="Times New Roman" w:hAnsi="Times New Roman" w:cs="Times New Roman"/>
          <w:b/>
          <w:bCs/>
          <w:color w:val="auto"/>
        </w:rPr>
        <w:t xml:space="preserve"> </w:t>
      </w:r>
      <w:r>
        <w:rPr>
          <w:rFonts w:hint="eastAsia" w:ascii="宋体" w:hAnsi="宋体" w:cs="宋体"/>
          <w:b/>
          <w:bCs/>
          <w:color w:val="auto"/>
        </w:rPr>
        <w:t>安全设施符合性诊断及整改设计中提出的安全措施采纳情况一览表</w:t>
      </w:r>
    </w:p>
    <w:tbl>
      <w:tblPr>
        <w:tblStyle w:val="25"/>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5930"/>
        <w:gridCol w:w="1580"/>
        <w:gridCol w:w="870"/>
      </w:tblGrid>
      <w:tr w14:paraId="0B26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82" w:type="dxa"/>
            <w:vAlign w:val="center"/>
          </w:tcPr>
          <w:p w14:paraId="110B0D89">
            <w:pPr>
              <w:spacing w:line="240" w:lineRule="exact"/>
              <w:jc w:val="center"/>
              <w:rPr>
                <w:rFonts w:cs="Times New Roman"/>
                <w:b/>
                <w:bCs/>
                <w:color w:val="auto"/>
                <w:sz w:val="18"/>
                <w:szCs w:val="18"/>
              </w:rPr>
            </w:pPr>
            <w:r>
              <w:rPr>
                <w:rFonts w:hint="eastAsia" w:cs="宋体"/>
                <w:b/>
                <w:bCs/>
                <w:color w:val="auto"/>
                <w:sz w:val="18"/>
                <w:szCs w:val="18"/>
              </w:rPr>
              <w:t>序号</w:t>
            </w:r>
          </w:p>
        </w:tc>
        <w:tc>
          <w:tcPr>
            <w:tcW w:w="5930" w:type="dxa"/>
            <w:vAlign w:val="center"/>
          </w:tcPr>
          <w:p w14:paraId="7F90B3E7">
            <w:pPr>
              <w:spacing w:line="240" w:lineRule="exact"/>
              <w:jc w:val="center"/>
              <w:rPr>
                <w:rFonts w:cs="Times New Roman"/>
                <w:b/>
                <w:bCs/>
                <w:color w:val="auto"/>
                <w:sz w:val="18"/>
                <w:szCs w:val="18"/>
              </w:rPr>
            </w:pPr>
            <w:r>
              <w:rPr>
                <w:rFonts w:hint="eastAsia" w:cs="宋体"/>
                <w:b/>
                <w:bCs/>
                <w:color w:val="auto"/>
                <w:sz w:val="18"/>
                <w:szCs w:val="18"/>
              </w:rPr>
              <w:t>诊断及整改设计中提出的安全对策措施</w:t>
            </w:r>
          </w:p>
        </w:tc>
        <w:tc>
          <w:tcPr>
            <w:tcW w:w="1580" w:type="dxa"/>
            <w:vAlign w:val="center"/>
          </w:tcPr>
          <w:p w14:paraId="62C8D70B">
            <w:pPr>
              <w:spacing w:line="240" w:lineRule="exact"/>
              <w:jc w:val="center"/>
              <w:rPr>
                <w:rFonts w:cs="Times New Roman"/>
                <w:b/>
                <w:bCs/>
                <w:color w:val="auto"/>
                <w:sz w:val="18"/>
                <w:szCs w:val="18"/>
              </w:rPr>
            </w:pPr>
            <w:r>
              <w:rPr>
                <w:rFonts w:hint="eastAsia" w:cs="宋体"/>
                <w:b/>
                <w:bCs/>
                <w:color w:val="auto"/>
                <w:sz w:val="18"/>
                <w:szCs w:val="18"/>
              </w:rPr>
              <w:t>现场情况</w:t>
            </w:r>
          </w:p>
        </w:tc>
        <w:tc>
          <w:tcPr>
            <w:tcW w:w="870" w:type="dxa"/>
            <w:vAlign w:val="center"/>
          </w:tcPr>
          <w:p w14:paraId="18D71528">
            <w:pPr>
              <w:spacing w:line="240" w:lineRule="exact"/>
              <w:jc w:val="center"/>
              <w:rPr>
                <w:rFonts w:cs="Times New Roman"/>
                <w:b/>
                <w:bCs/>
                <w:color w:val="auto"/>
                <w:sz w:val="18"/>
                <w:szCs w:val="18"/>
              </w:rPr>
            </w:pPr>
            <w:r>
              <w:rPr>
                <w:rFonts w:hint="eastAsia" w:cs="宋体"/>
                <w:b/>
                <w:bCs/>
                <w:color w:val="auto"/>
                <w:sz w:val="18"/>
                <w:szCs w:val="18"/>
              </w:rPr>
              <w:t>采纳情况</w:t>
            </w:r>
          </w:p>
        </w:tc>
      </w:tr>
      <w:tr w14:paraId="77AC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51524FC">
            <w:pPr>
              <w:spacing w:line="240" w:lineRule="exact"/>
              <w:jc w:val="center"/>
              <w:rPr>
                <w:rFonts w:cs="Times New Roman"/>
                <w:b/>
                <w:bCs/>
                <w:color w:val="auto"/>
                <w:sz w:val="18"/>
                <w:szCs w:val="18"/>
              </w:rPr>
            </w:pPr>
          </w:p>
        </w:tc>
        <w:tc>
          <w:tcPr>
            <w:tcW w:w="8380" w:type="dxa"/>
            <w:gridSpan w:val="3"/>
            <w:vAlign w:val="center"/>
          </w:tcPr>
          <w:p w14:paraId="65BDB14D">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 xml:space="preserve">.1 </w:t>
            </w:r>
            <w:r>
              <w:rPr>
                <w:rFonts w:hint="eastAsia" w:ascii="宋体" w:hAnsi="宋体" w:cs="宋体"/>
                <w:b/>
                <w:bCs/>
                <w:color w:val="auto"/>
                <w:sz w:val="18"/>
                <w:szCs w:val="18"/>
              </w:rPr>
              <w:t>工艺系统的安全设施设计</w:t>
            </w:r>
          </w:p>
        </w:tc>
      </w:tr>
      <w:tr w14:paraId="4BD8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1325C4B1">
            <w:pPr>
              <w:spacing w:line="240" w:lineRule="exact"/>
              <w:jc w:val="center"/>
              <w:rPr>
                <w:rFonts w:cs="Times New Roman"/>
                <w:b/>
                <w:bCs/>
                <w:color w:val="auto"/>
                <w:sz w:val="18"/>
                <w:szCs w:val="18"/>
              </w:rPr>
            </w:pPr>
          </w:p>
        </w:tc>
        <w:tc>
          <w:tcPr>
            <w:tcW w:w="8380" w:type="dxa"/>
            <w:gridSpan w:val="3"/>
            <w:vAlign w:val="center"/>
          </w:tcPr>
          <w:p w14:paraId="61D55316">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.1.1 </w:t>
            </w:r>
            <w:r>
              <w:rPr>
                <w:rFonts w:hint="eastAsia" w:ascii="宋体" w:hAnsi="宋体" w:cs="宋体"/>
                <w:b/>
                <w:bCs/>
                <w:color w:val="auto"/>
                <w:sz w:val="18"/>
                <w:szCs w:val="18"/>
              </w:rPr>
              <w:t>工艺过程采取的防火、防爆、防尘、防泄漏、防毒、防腐蚀等主要措施</w:t>
            </w:r>
          </w:p>
        </w:tc>
      </w:tr>
      <w:tr w14:paraId="4C37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42487BD9">
            <w:pPr>
              <w:spacing w:line="240" w:lineRule="exact"/>
              <w:jc w:val="center"/>
              <w:rPr>
                <w:rFonts w:cs="Times New Roman"/>
                <w:color w:val="auto"/>
                <w:sz w:val="18"/>
                <w:szCs w:val="18"/>
              </w:rPr>
            </w:pPr>
            <w:r>
              <w:rPr>
                <w:color w:val="auto"/>
                <w:sz w:val="18"/>
                <w:szCs w:val="18"/>
              </w:rPr>
              <w:t>1</w:t>
            </w:r>
            <w:r>
              <w:rPr>
                <w:rFonts w:hint="eastAsia" w:ascii="宋体" w:hAnsi="宋体" w:cs="宋体"/>
                <w:color w:val="auto"/>
                <w:sz w:val="18"/>
                <w:szCs w:val="18"/>
              </w:rPr>
              <w:t>）防泄漏措施</w:t>
            </w:r>
          </w:p>
        </w:tc>
        <w:tc>
          <w:tcPr>
            <w:tcW w:w="5930" w:type="dxa"/>
            <w:vAlign w:val="center"/>
          </w:tcPr>
          <w:p w14:paraId="068E2F3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项目根据工艺技术特点，加油系统采用常压、常温操作，且保持密闭生产，油罐设置液位计以及高液位报警及卸油防溢阀，以减少汽油、柴油的泄漏。</w:t>
            </w:r>
          </w:p>
        </w:tc>
        <w:tc>
          <w:tcPr>
            <w:tcW w:w="1580" w:type="dxa"/>
            <w:vAlign w:val="center"/>
          </w:tcPr>
          <w:p w14:paraId="79A745AE">
            <w:pPr>
              <w:spacing w:line="240" w:lineRule="exact"/>
              <w:jc w:val="center"/>
              <w:rPr>
                <w:rFonts w:cs="Times New Roman"/>
                <w:color w:val="auto"/>
                <w:sz w:val="18"/>
                <w:szCs w:val="18"/>
              </w:rPr>
            </w:pPr>
            <w:r>
              <w:rPr>
                <w:rFonts w:hint="eastAsia" w:cs="Times New Roman"/>
                <w:color w:val="auto"/>
                <w:sz w:val="18"/>
                <w:szCs w:val="18"/>
              </w:rPr>
              <w:t>加油系统常压常温操作，油罐设置液位报警及防溢阀等措施</w:t>
            </w:r>
          </w:p>
        </w:tc>
        <w:tc>
          <w:tcPr>
            <w:tcW w:w="870" w:type="dxa"/>
            <w:vAlign w:val="center"/>
          </w:tcPr>
          <w:p w14:paraId="2B9863A2">
            <w:pPr>
              <w:spacing w:line="240" w:lineRule="exact"/>
              <w:jc w:val="center"/>
              <w:rPr>
                <w:rFonts w:cs="Times New Roman"/>
                <w:color w:val="auto"/>
                <w:sz w:val="18"/>
                <w:szCs w:val="18"/>
              </w:rPr>
            </w:pPr>
            <w:r>
              <w:rPr>
                <w:rFonts w:hint="eastAsia" w:cs="Times New Roman"/>
                <w:color w:val="auto"/>
                <w:sz w:val="18"/>
                <w:szCs w:val="18"/>
              </w:rPr>
              <w:t>已落实</w:t>
            </w:r>
          </w:p>
        </w:tc>
      </w:tr>
      <w:tr w14:paraId="78C0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2E48E8E">
            <w:pPr>
              <w:widowControl/>
              <w:spacing w:line="240" w:lineRule="exact"/>
              <w:jc w:val="left"/>
              <w:rPr>
                <w:rFonts w:cs="Times New Roman"/>
                <w:color w:val="auto"/>
                <w:sz w:val="18"/>
                <w:szCs w:val="18"/>
              </w:rPr>
            </w:pPr>
          </w:p>
        </w:tc>
        <w:tc>
          <w:tcPr>
            <w:tcW w:w="5930" w:type="dxa"/>
            <w:vAlign w:val="center"/>
          </w:tcPr>
          <w:p w14:paraId="0A1084F1">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对于设备及管道严格按规范要求确定设计压力及设计温度，按规</w:t>
            </w:r>
          </w:p>
          <w:p w14:paraId="3942A1B7">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范要求进行设备选型，项目油罐采用内钢外玻璃纤维增强塑料双层油罐</w:t>
            </w:r>
          </w:p>
          <w:p w14:paraId="7C53DFD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（SF双层罐，Φ2.6×6m，V=30m³），内层钢制罐体的厚度至少为7mm，</w:t>
            </w:r>
          </w:p>
          <w:p w14:paraId="12BBBAA5">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封头厚度至少为8mm，且外层玻璃纤维增强塑料的外层壁厚不小于5mm，封头厚度至少为6mm；内层钢制油罐的设计内压不低于0.08MPa，满足规范要求。双层油罐上设置渗漏检测立管，并配备防渗漏检测仪，防止内层罐的油品泄漏。</w:t>
            </w:r>
          </w:p>
        </w:tc>
        <w:tc>
          <w:tcPr>
            <w:tcW w:w="1580" w:type="dxa"/>
            <w:vAlign w:val="center"/>
          </w:tcPr>
          <w:p w14:paraId="5A8EE522">
            <w:pPr>
              <w:spacing w:line="240" w:lineRule="exact"/>
              <w:jc w:val="center"/>
              <w:rPr>
                <w:rFonts w:cs="Times New Roman"/>
                <w:color w:val="auto"/>
                <w:sz w:val="18"/>
                <w:szCs w:val="18"/>
              </w:rPr>
            </w:pPr>
            <w:r>
              <w:rPr>
                <w:rFonts w:hint="eastAsia" w:ascii="宋体" w:hAnsi="宋体"/>
                <w:color w:val="auto"/>
              </w:rPr>
              <w:t>SF双层储罐</w:t>
            </w:r>
          </w:p>
        </w:tc>
        <w:tc>
          <w:tcPr>
            <w:tcW w:w="870" w:type="dxa"/>
            <w:vAlign w:val="center"/>
          </w:tcPr>
          <w:p w14:paraId="1887BDB0">
            <w:pPr>
              <w:spacing w:line="240" w:lineRule="exact"/>
              <w:jc w:val="center"/>
              <w:rPr>
                <w:rFonts w:cs="Times New Roman"/>
                <w:color w:val="auto"/>
                <w:sz w:val="18"/>
                <w:szCs w:val="18"/>
              </w:rPr>
            </w:pPr>
            <w:r>
              <w:rPr>
                <w:rFonts w:hint="eastAsia" w:cs="Times New Roman"/>
                <w:color w:val="auto"/>
                <w:sz w:val="18"/>
                <w:szCs w:val="18"/>
              </w:rPr>
              <w:t>已落实</w:t>
            </w:r>
          </w:p>
        </w:tc>
      </w:tr>
      <w:tr w14:paraId="6751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A050E65">
            <w:pPr>
              <w:widowControl/>
              <w:spacing w:line="240" w:lineRule="exact"/>
              <w:jc w:val="left"/>
              <w:rPr>
                <w:rFonts w:cs="Times New Roman"/>
                <w:color w:val="auto"/>
                <w:sz w:val="18"/>
                <w:szCs w:val="18"/>
              </w:rPr>
            </w:pPr>
          </w:p>
        </w:tc>
        <w:tc>
          <w:tcPr>
            <w:tcW w:w="5930" w:type="dxa"/>
            <w:vAlign w:val="center"/>
          </w:tcPr>
          <w:p w14:paraId="04B9BFB0">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汽油、柴油输油管道选用双层复合管线（无孔隙聚乙烯材料）在双层复合管线低点设置泄漏检测点，可定时查看。埋地部分的热塑性塑料管道采用配套的专用连接管件电熔连接，热塑性塑料管道与无缝钢管之间采用配套的专用钢塑转换接头连接；通气管和露出地面以上的管道采用无缝钢管，无缝钢管的公称壁厚不小于4mm，埋地钢管的连接采用焊接。</w:t>
            </w:r>
          </w:p>
        </w:tc>
        <w:tc>
          <w:tcPr>
            <w:tcW w:w="1580" w:type="dxa"/>
            <w:vAlign w:val="center"/>
          </w:tcPr>
          <w:p w14:paraId="27DBD5EF">
            <w:pPr>
              <w:spacing w:line="240" w:lineRule="exact"/>
              <w:jc w:val="center"/>
              <w:rPr>
                <w:rFonts w:cs="Times New Roman"/>
                <w:color w:val="auto"/>
                <w:sz w:val="18"/>
                <w:szCs w:val="18"/>
              </w:rPr>
            </w:pPr>
            <w:r>
              <w:rPr>
                <w:rFonts w:hint="eastAsia" w:cs="Times New Roman"/>
                <w:color w:val="auto"/>
                <w:sz w:val="18"/>
                <w:szCs w:val="18"/>
              </w:rPr>
              <w:t>按要求设置；工艺管道按要求进行选型</w:t>
            </w:r>
          </w:p>
        </w:tc>
        <w:tc>
          <w:tcPr>
            <w:tcW w:w="870" w:type="dxa"/>
            <w:vAlign w:val="center"/>
          </w:tcPr>
          <w:p w14:paraId="25FB112B">
            <w:pPr>
              <w:spacing w:line="240" w:lineRule="exact"/>
              <w:jc w:val="center"/>
              <w:rPr>
                <w:rFonts w:cs="Times New Roman"/>
                <w:color w:val="auto"/>
                <w:sz w:val="18"/>
                <w:szCs w:val="18"/>
              </w:rPr>
            </w:pPr>
            <w:r>
              <w:rPr>
                <w:rFonts w:hint="eastAsia" w:cs="Times New Roman"/>
                <w:color w:val="auto"/>
                <w:sz w:val="18"/>
                <w:szCs w:val="18"/>
              </w:rPr>
              <w:t>已落实</w:t>
            </w:r>
          </w:p>
        </w:tc>
      </w:tr>
      <w:tr w14:paraId="2432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D6285FE">
            <w:pPr>
              <w:widowControl/>
              <w:spacing w:line="240" w:lineRule="exact"/>
              <w:jc w:val="left"/>
              <w:rPr>
                <w:rFonts w:cs="Times New Roman"/>
                <w:color w:val="auto"/>
                <w:sz w:val="18"/>
                <w:szCs w:val="18"/>
              </w:rPr>
            </w:pPr>
          </w:p>
        </w:tc>
        <w:tc>
          <w:tcPr>
            <w:tcW w:w="5930" w:type="dxa"/>
            <w:vAlign w:val="center"/>
          </w:tcPr>
          <w:p w14:paraId="05254CBF">
            <w:pPr>
              <w:adjustRightInd w:val="0"/>
              <w:snapToGrid w:val="0"/>
              <w:spacing w:line="240" w:lineRule="exact"/>
              <w:rPr>
                <w:rFonts w:hint="eastAsia" w:ascii="宋体" w:cs="Times New Roman"/>
                <w:color w:val="auto"/>
                <w:sz w:val="18"/>
                <w:szCs w:val="18"/>
              </w:rPr>
            </w:pPr>
            <w:r>
              <w:rPr>
                <w:rFonts w:hint="eastAsia" w:ascii="宋体" w:cs="Times New Roman"/>
                <w:color w:val="auto"/>
                <w:sz w:val="18"/>
                <w:szCs w:val="18"/>
              </w:rPr>
              <w:t>柴油通气管、汽油通气管分开设置，通气管管口高出罩棚2m，柴油设置阻火通气帽，汽油通气管设置机械呼吸阀（带阻火器）和阻火通气帽。</w:t>
            </w:r>
          </w:p>
          <w:p w14:paraId="43DE56D0">
            <w:pPr>
              <w:adjustRightInd w:val="0"/>
              <w:snapToGrid w:val="0"/>
              <w:spacing w:line="240" w:lineRule="exact"/>
              <w:rPr>
                <w:rFonts w:ascii="宋体" w:cs="Times New Roman"/>
                <w:color w:val="auto"/>
                <w:sz w:val="18"/>
                <w:szCs w:val="18"/>
              </w:rPr>
            </w:pPr>
          </w:p>
        </w:tc>
        <w:tc>
          <w:tcPr>
            <w:tcW w:w="1580" w:type="dxa"/>
            <w:vAlign w:val="center"/>
          </w:tcPr>
          <w:p w14:paraId="6E9FDDAC">
            <w:pPr>
              <w:spacing w:line="240" w:lineRule="exact"/>
              <w:jc w:val="center"/>
              <w:rPr>
                <w:rFonts w:cs="Times New Roman"/>
                <w:color w:val="auto"/>
                <w:sz w:val="18"/>
                <w:szCs w:val="18"/>
              </w:rPr>
            </w:pPr>
            <w:r>
              <w:rPr>
                <w:rFonts w:hint="eastAsia" w:cs="Times New Roman"/>
                <w:color w:val="auto"/>
                <w:sz w:val="18"/>
                <w:szCs w:val="18"/>
              </w:rPr>
              <w:t>汽油和柴油通气管分开设置，通气管管口高</w:t>
            </w:r>
            <w:r>
              <w:rPr>
                <w:rFonts w:hint="eastAsia" w:cs="Times New Roman"/>
                <w:color w:val="auto"/>
                <w:sz w:val="18"/>
                <w:szCs w:val="18"/>
                <w:lang w:val="en-US" w:eastAsia="zh-CN"/>
              </w:rPr>
              <w:t>出罩棚2</w:t>
            </w:r>
            <w:r>
              <w:rPr>
                <w:rFonts w:hint="eastAsia" w:cs="Times New Roman"/>
                <w:color w:val="auto"/>
                <w:sz w:val="18"/>
                <w:szCs w:val="18"/>
              </w:rPr>
              <w:t>m，柴油设置阻火通气帽，汽油通气管设置机械呼吸阀（带阻火器）。</w:t>
            </w:r>
          </w:p>
        </w:tc>
        <w:tc>
          <w:tcPr>
            <w:tcW w:w="870" w:type="dxa"/>
            <w:vAlign w:val="center"/>
          </w:tcPr>
          <w:p w14:paraId="4F7CB9C3">
            <w:pPr>
              <w:spacing w:line="240" w:lineRule="exact"/>
              <w:jc w:val="center"/>
              <w:rPr>
                <w:rFonts w:cs="Times New Roman"/>
                <w:color w:val="auto"/>
                <w:sz w:val="18"/>
                <w:szCs w:val="18"/>
              </w:rPr>
            </w:pPr>
          </w:p>
        </w:tc>
      </w:tr>
      <w:tr w14:paraId="5DE8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D6241E0">
            <w:pPr>
              <w:widowControl/>
              <w:spacing w:line="240" w:lineRule="exact"/>
              <w:jc w:val="left"/>
              <w:rPr>
                <w:rFonts w:cs="Times New Roman"/>
                <w:color w:val="auto"/>
                <w:sz w:val="18"/>
                <w:szCs w:val="18"/>
              </w:rPr>
            </w:pPr>
          </w:p>
        </w:tc>
        <w:tc>
          <w:tcPr>
            <w:tcW w:w="5930" w:type="dxa"/>
            <w:vAlign w:val="center"/>
          </w:tcPr>
          <w:p w14:paraId="3ADB10D3">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卸油管道设有防溢阀，防止因油量过满导致泄漏，另外站房内设有液位控制器，对油罐的液位进行实时监控，油料达到油罐容量90%时，能触动高液位报警装置；汽油卸油时采用阳接头接口，柴油卸油</w:t>
            </w:r>
            <w:r>
              <w:rPr>
                <w:rFonts w:hint="eastAsia" w:ascii="宋体" w:cs="Times New Roman"/>
                <w:color w:val="auto"/>
                <w:sz w:val="18"/>
                <w:szCs w:val="18"/>
                <w:lang w:eastAsia="zh-CN"/>
              </w:rPr>
              <w:t>时</w:t>
            </w:r>
            <w:r>
              <w:rPr>
                <w:rFonts w:hint="eastAsia" w:ascii="宋体" w:cs="Times New Roman"/>
                <w:color w:val="auto"/>
                <w:sz w:val="18"/>
                <w:szCs w:val="18"/>
              </w:rPr>
              <w:t>采用阴接头接口，卸油管道设有防溢阀，油料达到油罐容量95%时，自动停止油品继续进罐。</w:t>
            </w:r>
          </w:p>
        </w:tc>
        <w:tc>
          <w:tcPr>
            <w:tcW w:w="1580" w:type="dxa"/>
            <w:vAlign w:val="center"/>
          </w:tcPr>
          <w:p w14:paraId="73D843BA">
            <w:pPr>
              <w:spacing w:line="240" w:lineRule="exact"/>
              <w:jc w:val="center"/>
              <w:rPr>
                <w:rFonts w:cs="Times New Roman"/>
                <w:color w:val="auto"/>
                <w:sz w:val="18"/>
                <w:szCs w:val="18"/>
              </w:rPr>
            </w:pPr>
            <w:r>
              <w:rPr>
                <w:rFonts w:hint="eastAsia" w:cs="Times New Roman"/>
                <w:color w:val="auto"/>
                <w:sz w:val="18"/>
                <w:szCs w:val="18"/>
              </w:rPr>
              <w:t>卸油管道设有防溢阀；油罐设置液位仪，高限报警，高高限停止进料</w:t>
            </w:r>
          </w:p>
        </w:tc>
        <w:tc>
          <w:tcPr>
            <w:tcW w:w="870" w:type="dxa"/>
            <w:vAlign w:val="center"/>
          </w:tcPr>
          <w:p w14:paraId="34915D6D">
            <w:pPr>
              <w:spacing w:line="240" w:lineRule="exact"/>
              <w:jc w:val="center"/>
              <w:rPr>
                <w:rFonts w:cs="Times New Roman"/>
                <w:color w:val="auto"/>
                <w:sz w:val="18"/>
                <w:szCs w:val="18"/>
              </w:rPr>
            </w:pPr>
            <w:r>
              <w:rPr>
                <w:rFonts w:hint="eastAsia" w:cs="Times New Roman"/>
                <w:color w:val="auto"/>
                <w:sz w:val="18"/>
                <w:szCs w:val="18"/>
              </w:rPr>
              <w:t>已落实</w:t>
            </w:r>
          </w:p>
        </w:tc>
      </w:tr>
      <w:tr w14:paraId="759C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176557C">
            <w:pPr>
              <w:widowControl/>
              <w:spacing w:line="240" w:lineRule="exact"/>
              <w:jc w:val="left"/>
              <w:rPr>
                <w:rFonts w:cs="Times New Roman"/>
                <w:color w:val="auto"/>
                <w:sz w:val="18"/>
                <w:szCs w:val="18"/>
              </w:rPr>
            </w:pPr>
          </w:p>
        </w:tc>
        <w:tc>
          <w:tcPr>
            <w:tcW w:w="5930" w:type="dxa"/>
            <w:vAlign w:val="center"/>
          </w:tcPr>
          <w:p w14:paraId="4D155CF9">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油罐人孔上设置高液位报警，当油料达到油罐容量的90%时，能触动高液位报警装置；当油料达到油罐容量的95%时，卸油管线处设置的卸油防溢阀能自动停止油料继续进入油罐。</w:t>
            </w:r>
          </w:p>
        </w:tc>
        <w:tc>
          <w:tcPr>
            <w:tcW w:w="1580" w:type="dxa"/>
            <w:vAlign w:val="center"/>
          </w:tcPr>
          <w:p w14:paraId="488DC611">
            <w:pPr>
              <w:spacing w:line="240" w:lineRule="exact"/>
              <w:jc w:val="center"/>
              <w:rPr>
                <w:rFonts w:cs="Times New Roman"/>
                <w:color w:val="auto"/>
                <w:sz w:val="18"/>
                <w:szCs w:val="18"/>
              </w:rPr>
            </w:pPr>
            <w:r>
              <w:rPr>
                <w:rFonts w:hint="eastAsia" w:cs="Times New Roman"/>
                <w:color w:val="auto"/>
                <w:sz w:val="18"/>
                <w:szCs w:val="18"/>
              </w:rPr>
              <w:t>油罐设置液位仪，高限报警，高高限停止进料</w:t>
            </w:r>
          </w:p>
        </w:tc>
        <w:tc>
          <w:tcPr>
            <w:tcW w:w="870" w:type="dxa"/>
            <w:vAlign w:val="center"/>
          </w:tcPr>
          <w:p w14:paraId="2E625847">
            <w:pPr>
              <w:spacing w:line="240" w:lineRule="exact"/>
              <w:jc w:val="center"/>
              <w:rPr>
                <w:rFonts w:cs="Times New Roman"/>
                <w:color w:val="auto"/>
                <w:sz w:val="18"/>
                <w:szCs w:val="18"/>
              </w:rPr>
            </w:pPr>
            <w:r>
              <w:rPr>
                <w:rFonts w:hint="eastAsia" w:cs="Times New Roman"/>
                <w:color w:val="auto"/>
                <w:sz w:val="18"/>
                <w:szCs w:val="18"/>
              </w:rPr>
              <w:t>已落实</w:t>
            </w:r>
          </w:p>
        </w:tc>
      </w:tr>
      <w:tr w14:paraId="68C8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B957FE0">
            <w:pPr>
              <w:widowControl/>
              <w:spacing w:line="240" w:lineRule="exact"/>
              <w:jc w:val="left"/>
              <w:rPr>
                <w:rFonts w:cs="Times New Roman"/>
                <w:color w:val="auto"/>
                <w:sz w:val="18"/>
                <w:szCs w:val="18"/>
              </w:rPr>
            </w:pPr>
          </w:p>
        </w:tc>
        <w:tc>
          <w:tcPr>
            <w:tcW w:w="5930" w:type="dxa"/>
            <w:vAlign w:val="center"/>
          </w:tcPr>
          <w:p w14:paraId="0D48600A">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采用自封式加油机枪，枪身设计的自封装置能够确保在容器加满时自动关闭油枪，防止介质外溢。枪托部位安装的定位片，可实现流量呈2-3档分布。进油口连接螺纹可根据需要加工成多种标准，方便顾客选择与使用。铝合金枪身具有良好的导电性可及时安全地消除静电。具备姿态控制性能的加油枪在其供油状态下当枪身发生异常偏转时便能够快速地闭锁油枪，以确保操作安全，减少发生火灾的可能性和危险性。汽油加油枪的流量不大于50L/min</w:t>
            </w:r>
          </w:p>
        </w:tc>
        <w:tc>
          <w:tcPr>
            <w:tcW w:w="1580" w:type="dxa"/>
            <w:vAlign w:val="center"/>
          </w:tcPr>
          <w:p w14:paraId="718C1190">
            <w:pPr>
              <w:spacing w:line="240" w:lineRule="exact"/>
              <w:jc w:val="center"/>
              <w:rPr>
                <w:rFonts w:cs="Times New Roman"/>
                <w:color w:val="auto"/>
                <w:sz w:val="18"/>
                <w:szCs w:val="18"/>
              </w:rPr>
            </w:pPr>
            <w:r>
              <w:rPr>
                <w:rFonts w:hint="eastAsia" w:cs="宋体"/>
                <w:color w:val="auto"/>
                <w:sz w:val="18"/>
                <w:szCs w:val="18"/>
              </w:rPr>
              <w:t>采用自封式加油枪，有防溢油措施</w:t>
            </w:r>
          </w:p>
        </w:tc>
        <w:tc>
          <w:tcPr>
            <w:tcW w:w="870" w:type="dxa"/>
            <w:vAlign w:val="center"/>
          </w:tcPr>
          <w:p w14:paraId="6F723F4C">
            <w:pPr>
              <w:spacing w:line="240" w:lineRule="exact"/>
              <w:jc w:val="center"/>
              <w:rPr>
                <w:rFonts w:cs="Times New Roman"/>
                <w:color w:val="auto"/>
                <w:sz w:val="18"/>
                <w:szCs w:val="18"/>
              </w:rPr>
            </w:pPr>
            <w:r>
              <w:rPr>
                <w:rFonts w:hint="eastAsia" w:cs="Times New Roman"/>
                <w:color w:val="auto"/>
                <w:sz w:val="18"/>
                <w:szCs w:val="18"/>
              </w:rPr>
              <w:t>已落实</w:t>
            </w:r>
          </w:p>
        </w:tc>
      </w:tr>
      <w:tr w14:paraId="7975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99C083A">
            <w:pPr>
              <w:widowControl/>
              <w:spacing w:line="240" w:lineRule="exact"/>
              <w:jc w:val="left"/>
              <w:rPr>
                <w:rFonts w:cs="Times New Roman"/>
                <w:color w:val="auto"/>
                <w:sz w:val="18"/>
                <w:szCs w:val="18"/>
              </w:rPr>
            </w:pPr>
          </w:p>
        </w:tc>
        <w:tc>
          <w:tcPr>
            <w:tcW w:w="5930" w:type="dxa"/>
            <w:vAlign w:val="center"/>
          </w:tcPr>
          <w:p w14:paraId="331CE551">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项目采用卸油油气回收与加油油气回收系统，减少在卸油和加油过程中产生的油气挥发至大气中</w:t>
            </w:r>
          </w:p>
        </w:tc>
        <w:tc>
          <w:tcPr>
            <w:tcW w:w="1580" w:type="dxa"/>
            <w:vAlign w:val="center"/>
          </w:tcPr>
          <w:p w14:paraId="6E23457B">
            <w:pPr>
              <w:spacing w:line="240" w:lineRule="exact"/>
              <w:jc w:val="center"/>
              <w:rPr>
                <w:rFonts w:cs="Times New Roman"/>
                <w:color w:val="auto"/>
                <w:sz w:val="18"/>
                <w:szCs w:val="18"/>
              </w:rPr>
            </w:pPr>
            <w:r>
              <w:rPr>
                <w:rFonts w:hint="eastAsia" w:cs="宋体"/>
                <w:color w:val="auto"/>
                <w:sz w:val="18"/>
                <w:szCs w:val="18"/>
              </w:rPr>
              <w:t>该项目采用卸油及加油油气回收系统。</w:t>
            </w:r>
          </w:p>
        </w:tc>
        <w:tc>
          <w:tcPr>
            <w:tcW w:w="870" w:type="dxa"/>
            <w:vAlign w:val="center"/>
          </w:tcPr>
          <w:p w14:paraId="120FCF54">
            <w:pPr>
              <w:spacing w:line="240" w:lineRule="exact"/>
              <w:jc w:val="center"/>
              <w:rPr>
                <w:rFonts w:cs="Times New Roman"/>
                <w:color w:val="auto"/>
                <w:sz w:val="18"/>
                <w:szCs w:val="18"/>
              </w:rPr>
            </w:pPr>
            <w:r>
              <w:rPr>
                <w:rFonts w:hint="eastAsia" w:cs="Times New Roman"/>
                <w:color w:val="auto"/>
                <w:sz w:val="18"/>
                <w:szCs w:val="18"/>
              </w:rPr>
              <w:t>已落实</w:t>
            </w:r>
          </w:p>
        </w:tc>
      </w:tr>
      <w:tr w14:paraId="414B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F0F1463">
            <w:pPr>
              <w:widowControl/>
              <w:spacing w:line="240" w:lineRule="exact"/>
              <w:jc w:val="left"/>
              <w:rPr>
                <w:rFonts w:cs="Times New Roman"/>
                <w:color w:val="auto"/>
                <w:sz w:val="18"/>
                <w:szCs w:val="18"/>
              </w:rPr>
            </w:pPr>
          </w:p>
        </w:tc>
        <w:tc>
          <w:tcPr>
            <w:tcW w:w="5930" w:type="dxa"/>
            <w:vAlign w:val="center"/>
          </w:tcPr>
          <w:p w14:paraId="764F55B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装有潜油泵的油罐人孔操作井、卸油口井、加油机底槽等可能发生油品渗漏的部位，采取收集槽进行防渗。人孔操作井刷防水涂层。</w:t>
            </w:r>
          </w:p>
        </w:tc>
        <w:tc>
          <w:tcPr>
            <w:tcW w:w="1580" w:type="dxa"/>
            <w:vAlign w:val="center"/>
          </w:tcPr>
          <w:p w14:paraId="6D4797D3">
            <w:pPr>
              <w:spacing w:line="240" w:lineRule="exact"/>
              <w:jc w:val="center"/>
              <w:rPr>
                <w:rFonts w:cs="Times New Roman"/>
                <w:color w:val="auto"/>
                <w:sz w:val="18"/>
                <w:szCs w:val="18"/>
              </w:rPr>
            </w:pPr>
            <w:r>
              <w:rPr>
                <w:rFonts w:hint="eastAsia" w:cs="Times New Roman"/>
                <w:color w:val="auto"/>
                <w:sz w:val="18"/>
                <w:szCs w:val="18"/>
              </w:rPr>
              <w:t>易发生油罐渗漏的部位进行防渗处理。</w:t>
            </w:r>
          </w:p>
        </w:tc>
        <w:tc>
          <w:tcPr>
            <w:tcW w:w="870" w:type="dxa"/>
            <w:vAlign w:val="center"/>
          </w:tcPr>
          <w:p w14:paraId="2B51C395">
            <w:pPr>
              <w:spacing w:line="240" w:lineRule="exact"/>
              <w:jc w:val="center"/>
              <w:rPr>
                <w:rFonts w:cs="Times New Roman"/>
                <w:color w:val="auto"/>
                <w:sz w:val="18"/>
                <w:szCs w:val="18"/>
              </w:rPr>
            </w:pPr>
            <w:r>
              <w:rPr>
                <w:rFonts w:hint="eastAsia" w:cs="Times New Roman"/>
                <w:color w:val="auto"/>
                <w:sz w:val="18"/>
                <w:szCs w:val="18"/>
              </w:rPr>
              <w:t>已落实</w:t>
            </w:r>
          </w:p>
        </w:tc>
      </w:tr>
      <w:tr w14:paraId="1E9B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BE5CC3C">
            <w:pPr>
              <w:widowControl/>
              <w:spacing w:line="240" w:lineRule="exact"/>
              <w:jc w:val="left"/>
              <w:rPr>
                <w:rFonts w:cs="Times New Roman"/>
                <w:color w:val="auto"/>
                <w:sz w:val="18"/>
                <w:szCs w:val="18"/>
              </w:rPr>
            </w:pPr>
          </w:p>
        </w:tc>
        <w:tc>
          <w:tcPr>
            <w:tcW w:w="5930" w:type="dxa"/>
            <w:vAlign w:val="center"/>
          </w:tcPr>
          <w:p w14:paraId="735E911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项目所有设备、管道、管件和仪表要求向有资质的生产企业采购、安装，提高安装质量，要求严格按项目操作规程进行，杜绝跑、冒、滴、漏。</w:t>
            </w:r>
          </w:p>
        </w:tc>
        <w:tc>
          <w:tcPr>
            <w:tcW w:w="1580" w:type="dxa"/>
            <w:vAlign w:val="center"/>
          </w:tcPr>
          <w:p w14:paraId="0E7BC0E2">
            <w:pPr>
              <w:spacing w:line="240" w:lineRule="exact"/>
              <w:jc w:val="center"/>
              <w:rPr>
                <w:rFonts w:cs="Times New Roman"/>
                <w:color w:val="auto"/>
                <w:sz w:val="18"/>
                <w:szCs w:val="18"/>
              </w:rPr>
            </w:pPr>
            <w:r>
              <w:rPr>
                <w:rFonts w:hint="eastAsia" w:cs="宋体"/>
                <w:color w:val="auto"/>
                <w:sz w:val="18"/>
                <w:szCs w:val="18"/>
              </w:rPr>
              <w:t>均由有资质生产企业采购，现场检查时未发现跑冒滴漏。</w:t>
            </w:r>
          </w:p>
        </w:tc>
        <w:tc>
          <w:tcPr>
            <w:tcW w:w="870" w:type="dxa"/>
            <w:vAlign w:val="center"/>
          </w:tcPr>
          <w:p w14:paraId="3755A2C6">
            <w:pPr>
              <w:spacing w:line="240" w:lineRule="exact"/>
              <w:jc w:val="center"/>
              <w:rPr>
                <w:rFonts w:cs="Times New Roman"/>
                <w:color w:val="auto"/>
                <w:sz w:val="18"/>
                <w:szCs w:val="18"/>
              </w:rPr>
            </w:pPr>
            <w:r>
              <w:rPr>
                <w:rFonts w:hint="eastAsia" w:cs="Times New Roman"/>
                <w:color w:val="auto"/>
                <w:sz w:val="18"/>
                <w:szCs w:val="18"/>
              </w:rPr>
              <w:t>已落实</w:t>
            </w:r>
          </w:p>
        </w:tc>
      </w:tr>
      <w:tr w14:paraId="2016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682" w:type="dxa"/>
            <w:vMerge w:val="continue"/>
            <w:vAlign w:val="center"/>
          </w:tcPr>
          <w:p w14:paraId="04C2F2D9">
            <w:pPr>
              <w:widowControl/>
              <w:spacing w:line="240" w:lineRule="exact"/>
              <w:jc w:val="left"/>
              <w:rPr>
                <w:rFonts w:cs="Times New Roman"/>
                <w:color w:val="auto"/>
                <w:sz w:val="18"/>
                <w:szCs w:val="18"/>
              </w:rPr>
            </w:pPr>
          </w:p>
        </w:tc>
        <w:tc>
          <w:tcPr>
            <w:tcW w:w="5930" w:type="dxa"/>
            <w:vAlign w:val="center"/>
          </w:tcPr>
          <w:p w14:paraId="3F8A1B62">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制定严格的安全管理制度，工艺规程，并严格要求操作人员自觉遵守各项规章制度及操作规程，杜绝“三违”。定期对设备、管道、管件、仪表、法兰连接进行全面检验，通过预防性地更换改进零部件、密封件，消除泄漏隐患。</w:t>
            </w:r>
          </w:p>
        </w:tc>
        <w:tc>
          <w:tcPr>
            <w:tcW w:w="1580" w:type="dxa"/>
            <w:vAlign w:val="center"/>
          </w:tcPr>
          <w:p w14:paraId="153B711C">
            <w:pPr>
              <w:spacing w:line="240" w:lineRule="exact"/>
              <w:jc w:val="center"/>
              <w:rPr>
                <w:rFonts w:cs="Times New Roman"/>
                <w:color w:val="auto"/>
                <w:sz w:val="18"/>
                <w:szCs w:val="18"/>
              </w:rPr>
            </w:pPr>
            <w:r>
              <w:rPr>
                <w:rFonts w:hint="eastAsia" w:cs="宋体"/>
                <w:color w:val="auto"/>
                <w:sz w:val="18"/>
                <w:szCs w:val="18"/>
              </w:rPr>
              <w:t>企业制定相应的管理制度</w:t>
            </w:r>
          </w:p>
        </w:tc>
        <w:tc>
          <w:tcPr>
            <w:tcW w:w="870" w:type="dxa"/>
            <w:vAlign w:val="center"/>
          </w:tcPr>
          <w:p w14:paraId="7099868E">
            <w:pPr>
              <w:spacing w:line="240" w:lineRule="exact"/>
              <w:jc w:val="center"/>
              <w:rPr>
                <w:rFonts w:cs="Times New Roman"/>
                <w:color w:val="auto"/>
                <w:sz w:val="18"/>
                <w:szCs w:val="18"/>
              </w:rPr>
            </w:pPr>
            <w:r>
              <w:rPr>
                <w:rFonts w:hint="eastAsia" w:cs="宋体"/>
                <w:color w:val="auto"/>
                <w:sz w:val="18"/>
                <w:szCs w:val="18"/>
              </w:rPr>
              <w:t>已落实</w:t>
            </w:r>
          </w:p>
        </w:tc>
      </w:tr>
      <w:tr w14:paraId="4660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ED66BC5">
            <w:pPr>
              <w:widowControl/>
              <w:spacing w:line="240" w:lineRule="exact"/>
              <w:jc w:val="left"/>
              <w:rPr>
                <w:rFonts w:cs="Times New Roman"/>
                <w:color w:val="auto"/>
                <w:sz w:val="18"/>
                <w:szCs w:val="18"/>
              </w:rPr>
            </w:pPr>
          </w:p>
        </w:tc>
        <w:tc>
          <w:tcPr>
            <w:tcW w:w="5930" w:type="dxa"/>
            <w:vAlign w:val="center"/>
          </w:tcPr>
          <w:p w14:paraId="0DE1FEC8">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加油机底部管道上设置安全剪切阀，加油软管上设安全拉断阀。</w:t>
            </w:r>
          </w:p>
        </w:tc>
        <w:tc>
          <w:tcPr>
            <w:tcW w:w="1580" w:type="dxa"/>
            <w:vAlign w:val="center"/>
          </w:tcPr>
          <w:p w14:paraId="5ACD0449">
            <w:pPr>
              <w:spacing w:line="240" w:lineRule="exact"/>
              <w:jc w:val="center"/>
              <w:rPr>
                <w:rFonts w:cs="Times New Roman"/>
                <w:color w:val="auto"/>
                <w:sz w:val="18"/>
                <w:szCs w:val="18"/>
              </w:rPr>
            </w:pPr>
            <w:r>
              <w:rPr>
                <w:rFonts w:hint="eastAsia" w:cs="Times New Roman"/>
                <w:color w:val="auto"/>
                <w:sz w:val="18"/>
                <w:szCs w:val="18"/>
              </w:rPr>
              <w:t>加油机底部设有安全剪切阀，加油软管上设有安全拉断阀</w:t>
            </w:r>
          </w:p>
        </w:tc>
        <w:tc>
          <w:tcPr>
            <w:tcW w:w="870" w:type="dxa"/>
            <w:vAlign w:val="center"/>
          </w:tcPr>
          <w:p w14:paraId="6F97ECC3">
            <w:pPr>
              <w:spacing w:line="240" w:lineRule="exact"/>
              <w:jc w:val="center"/>
              <w:rPr>
                <w:rFonts w:cs="Times New Roman"/>
                <w:color w:val="auto"/>
                <w:sz w:val="18"/>
                <w:szCs w:val="18"/>
              </w:rPr>
            </w:pPr>
            <w:r>
              <w:rPr>
                <w:rFonts w:hint="eastAsia" w:cs="Times New Roman"/>
                <w:color w:val="auto"/>
                <w:sz w:val="18"/>
                <w:szCs w:val="18"/>
              </w:rPr>
              <w:t>已落实</w:t>
            </w:r>
          </w:p>
        </w:tc>
      </w:tr>
      <w:tr w14:paraId="623B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8A47E05">
            <w:pPr>
              <w:widowControl/>
              <w:spacing w:line="240" w:lineRule="exact"/>
              <w:jc w:val="left"/>
              <w:rPr>
                <w:rFonts w:cs="Times New Roman"/>
                <w:color w:val="auto"/>
                <w:sz w:val="18"/>
                <w:szCs w:val="18"/>
              </w:rPr>
            </w:pPr>
          </w:p>
        </w:tc>
        <w:tc>
          <w:tcPr>
            <w:tcW w:w="5930" w:type="dxa"/>
            <w:vAlign w:val="center"/>
          </w:tcPr>
          <w:p w14:paraId="430DE0A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本加油站设置了2个紧急停车按钮，事故状态下能手动切断加油机控制箱电源，停加油机及潜油泵。事故紧急切断系统带失效保护功能，只能手动复位</w:t>
            </w:r>
          </w:p>
        </w:tc>
        <w:tc>
          <w:tcPr>
            <w:tcW w:w="1580" w:type="dxa"/>
            <w:vAlign w:val="center"/>
          </w:tcPr>
          <w:p w14:paraId="167DC499">
            <w:pPr>
              <w:spacing w:line="240" w:lineRule="exact"/>
              <w:jc w:val="center"/>
              <w:rPr>
                <w:rFonts w:cs="Times New Roman"/>
                <w:color w:val="auto"/>
                <w:sz w:val="18"/>
                <w:szCs w:val="18"/>
              </w:rPr>
            </w:pPr>
            <w:r>
              <w:rPr>
                <w:rFonts w:hint="eastAsia" w:cs="Times New Roman"/>
                <w:color w:val="auto"/>
                <w:sz w:val="18"/>
                <w:szCs w:val="18"/>
              </w:rPr>
              <w:t>设置2个紧急停车按钮，只能手动复位</w:t>
            </w:r>
          </w:p>
        </w:tc>
        <w:tc>
          <w:tcPr>
            <w:tcW w:w="870" w:type="dxa"/>
            <w:vAlign w:val="center"/>
          </w:tcPr>
          <w:p w14:paraId="06137CAC">
            <w:pPr>
              <w:spacing w:line="240" w:lineRule="exact"/>
              <w:jc w:val="center"/>
              <w:rPr>
                <w:rFonts w:cs="Times New Roman"/>
                <w:color w:val="auto"/>
                <w:sz w:val="18"/>
                <w:szCs w:val="18"/>
              </w:rPr>
            </w:pPr>
            <w:r>
              <w:rPr>
                <w:rFonts w:hint="eastAsia" w:cs="Times New Roman"/>
                <w:color w:val="auto"/>
                <w:sz w:val="18"/>
                <w:szCs w:val="18"/>
              </w:rPr>
              <w:t>已落实</w:t>
            </w:r>
          </w:p>
        </w:tc>
      </w:tr>
      <w:tr w14:paraId="715A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40656CCF">
            <w:pPr>
              <w:spacing w:line="240" w:lineRule="exact"/>
              <w:jc w:val="center"/>
              <w:rPr>
                <w:rFonts w:cs="Times New Roman"/>
                <w:color w:val="auto"/>
                <w:sz w:val="18"/>
                <w:szCs w:val="18"/>
              </w:rPr>
            </w:pPr>
            <w:r>
              <w:rPr>
                <w:color w:val="auto"/>
                <w:sz w:val="18"/>
                <w:szCs w:val="18"/>
              </w:rPr>
              <w:t>2</w:t>
            </w:r>
            <w:r>
              <w:rPr>
                <w:rFonts w:hint="eastAsia" w:ascii="宋体" w:hAnsi="宋体" w:cs="宋体"/>
                <w:color w:val="auto"/>
                <w:sz w:val="18"/>
                <w:szCs w:val="18"/>
              </w:rPr>
              <w:t>）防火、防爆措施</w:t>
            </w:r>
          </w:p>
        </w:tc>
        <w:tc>
          <w:tcPr>
            <w:tcW w:w="5930" w:type="dxa"/>
            <w:vAlign w:val="center"/>
          </w:tcPr>
          <w:p w14:paraId="53A5546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根据《汽车加油加气加氢站技术标准》GB50156-2021，本加油站汽油、柴油贮罐设置为埋地式，减少发生火灾的可能性和危险性。</w:t>
            </w:r>
          </w:p>
        </w:tc>
        <w:tc>
          <w:tcPr>
            <w:tcW w:w="1580" w:type="dxa"/>
            <w:vAlign w:val="center"/>
          </w:tcPr>
          <w:p w14:paraId="200F410D">
            <w:pPr>
              <w:spacing w:line="240" w:lineRule="exact"/>
              <w:jc w:val="center"/>
              <w:rPr>
                <w:rFonts w:cs="Times New Roman"/>
                <w:color w:val="auto"/>
                <w:sz w:val="18"/>
                <w:szCs w:val="18"/>
              </w:rPr>
            </w:pPr>
            <w:r>
              <w:rPr>
                <w:rFonts w:hint="eastAsia" w:cs="Times New Roman"/>
                <w:color w:val="auto"/>
                <w:sz w:val="18"/>
                <w:szCs w:val="18"/>
              </w:rPr>
              <w:t>埋地油罐</w:t>
            </w:r>
          </w:p>
        </w:tc>
        <w:tc>
          <w:tcPr>
            <w:tcW w:w="870" w:type="dxa"/>
            <w:vAlign w:val="center"/>
          </w:tcPr>
          <w:p w14:paraId="48241E73">
            <w:pPr>
              <w:spacing w:line="240" w:lineRule="exact"/>
              <w:jc w:val="center"/>
              <w:rPr>
                <w:rFonts w:cs="Times New Roman"/>
                <w:color w:val="auto"/>
                <w:sz w:val="18"/>
                <w:szCs w:val="18"/>
              </w:rPr>
            </w:pPr>
            <w:r>
              <w:rPr>
                <w:rFonts w:hint="eastAsia" w:cs="Times New Roman"/>
                <w:color w:val="auto"/>
                <w:sz w:val="18"/>
                <w:szCs w:val="18"/>
              </w:rPr>
              <w:t>已落实</w:t>
            </w:r>
          </w:p>
        </w:tc>
      </w:tr>
      <w:tr w14:paraId="722C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B67CCA3">
            <w:pPr>
              <w:widowControl/>
              <w:spacing w:line="240" w:lineRule="exact"/>
              <w:jc w:val="left"/>
              <w:rPr>
                <w:rFonts w:cs="Times New Roman"/>
                <w:color w:val="auto"/>
                <w:sz w:val="18"/>
                <w:szCs w:val="18"/>
              </w:rPr>
            </w:pPr>
          </w:p>
        </w:tc>
        <w:tc>
          <w:tcPr>
            <w:tcW w:w="5930" w:type="dxa"/>
            <w:vAlign w:val="center"/>
          </w:tcPr>
          <w:p w14:paraId="6AE2C8C4">
            <w:pPr>
              <w:adjustRightInd w:val="0"/>
              <w:snapToGrid w:val="0"/>
              <w:spacing w:line="240" w:lineRule="exact"/>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加油站内除通气管等必须露出地面的管道外，管道、油罐均埋地敷设，且埋地管沟用中性沙子或细土填满、填实，防止油气聚集，柴油通气管、汽油通气管分开设置，通气管管口高出罩棚2m，柴油设置阻火通气帽，汽油通气管设置机械呼吸阀（带阻火器）和阻火通气帽。</w:t>
            </w:r>
          </w:p>
          <w:p w14:paraId="74CEC9FA">
            <w:pPr>
              <w:adjustRightInd w:val="0"/>
              <w:snapToGrid w:val="0"/>
              <w:spacing w:line="240" w:lineRule="exact"/>
              <w:rPr>
                <w:rFonts w:ascii="Times New Roman" w:hAnsi="Times New Roman" w:cs="Times New Roman"/>
                <w:color w:val="auto"/>
                <w:sz w:val="18"/>
                <w:szCs w:val="18"/>
              </w:rPr>
            </w:pPr>
          </w:p>
        </w:tc>
        <w:tc>
          <w:tcPr>
            <w:tcW w:w="1580" w:type="dxa"/>
            <w:shd w:val="clear" w:color="auto" w:fill="auto"/>
            <w:vAlign w:val="center"/>
          </w:tcPr>
          <w:p w14:paraId="6C791A55">
            <w:pPr>
              <w:spacing w:line="240" w:lineRule="exact"/>
              <w:jc w:val="center"/>
              <w:rPr>
                <w:rFonts w:cs="Times New Roman"/>
                <w:color w:val="auto"/>
                <w:sz w:val="18"/>
                <w:szCs w:val="18"/>
              </w:rPr>
            </w:pPr>
            <w:r>
              <w:rPr>
                <w:rFonts w:hint="eastAsia" w:cs="Times New Roman"/>
                <w:color w:val="auto"/>
                <w:sz w:val="18"/>
                <w:szCs w:val="18"/>
              </w:rPr>
              <w:t>汽油及柴油通气管分开布置，高</w:t>
            </w:r>
            <w:r>
              <w:rPr>
                <w:rFonts w:hint="eastAsia" w:cs="Times New Roman"/>
                <w:color w:val="auto"/>
                <w:sz w:val="18"/>
                <w:szCs w:val="18"/>
                <w:lang w:val="en-US" w:eastAsia="zh-CN"/>
              </w:rPr>
              <w:t>出罩棚2</w:t>
            </w:r>
            <w:r>
              <w:rPr>
                <w:rFonts w:hint="eastAsia" w:cs="Times New Roman"/>
                <w:color w:val="auto"/>
                <w:sz w:val="18"/>
                <w:szCs w:val="18"/>
              </w:rPr>
              <w:t>m；其余管道及油罐埋地敷设</w:t>
            </w:r>
          </w:p>
        </w:tc>
        <w:tc>
          <w:tcPr>
            <w:tcW w:w="870" w:type="dxa"/>
            <w:shd w:val="clear" w:color="auto" w:fill="auto"/>
            <w:vAlign w:val="center"/>
          </w:tcPr>
          <w:p w14:paraId="6FB73AAE">
            <w:pPr>
              <w:spacing w:line="240" w:lineRule="exact"/>
              <w:jc w:val="center"/>
              <w:rPr>
                <w:rFonts w:cs="Times New Roman"/>
                <w:color w:val="auto"/>
                <w:sz w:val="18"/>
                <w:szCs w:val="18"/>
              </w:rPr>
            </w:pPr>
            <w:r>
              <w:rPr>
                <w:rFonts w:hint="eastAsia" w:cs="Times New Roman"/>
                <w:color w:val="auto"/>
                <w:sz w:val="18"/>
                <w:szCs w:val="18"/>
              </w:rPr>
              <w:t>已落实</w:t>
            </w:r>
          </w:p>
        </w:tc>
      </w:tr>
      <w:tr w14:paraId="77A6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D2D3481">
            <w:pPr>
              <w:widowControl/>
              <w:spacing w:line="240" w:lineRule="exact"/>
              <w:jc w:val="left"/>
              <w:rPr>
                <w:rFonts w:cs="Times New Roman"/>
                <w:color w:val="auto"/>
                <w:sz w:val="18"/>
                <w:szCs w:val="18"/>
              </w:rPr>
            </w:pPr>
          </w:p>
        </w:tc>
        <w:tc>
          <w:tcPr>
            <w:tcW w:w="5930" w:type="dxa"/>
            <w:vAlign w:val="center"/>
          </w:tcPr>
          <w:p w14:paraId="146A4CF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根据《化工工艺设计施工图内容和深度统一规定》（HG/T20519-2009）的要求，工艺管道输送易燃液体时，根据易燃液体输送时的最大流量，选用适合管径，使其在安全流速范围（3m/s）内。</w:t>
            </w:r>
          </w:p>
        </w:tc>
        <w:tc>
          <w:tcPr>
            <w:tcW w:w="1580" w:type="dxa"/>
            <w:shd w:val="clear" w:color="auto" w:fill="auto"/>
            <w:vAlign w:val="center"/>
          </w:tcPr>
          <w:p w14:paraId="2FFBAD05">
            <w:pPr>
              <w:spacing w:line="240" w:lineRule="exact"/>
              <w:jc w:val="center"/>
              <w:rPr>
                <w:color w:val="auto"/>
                <w:sz w:val="18"/>
                <w:szCs w:val="18"/>
              </w:rPr>
            </w:pPr>
            <w:r>
              <w:rPr>
                <w:rFonts w:hint="eastAsia"/>
                <w:color w:val="auto"/>
                <w:sz w:val="18"/>
                <w:szCs w:val="18"/>
              </w:rPr>
              <w:t>选用合适管径</w:t>
            </w:r>
          </w:p>
        </w:tc>
        <w:tc>
          <w:tcPr>
            <w:tcW w:w="870" w:type="dxa"/>
            <w:shd w:val="clear" w:color="auto" w:fill="auto"/>
            <w:vAlign w:val="center"/>
          </w:tcPr>
          <w:p w14:paraId="320EC1FE">
            <w:pPr>
              <w:spacing w:line="240" w:lineRule="exact"/>
              <w:jc w:val="center"/>
              <w:rPr>
                <w:rFonts w:cs="Times New Roman"/>
                <w:color w:val="auto"/>
                <w:sz w:val="18"/>
                <w:szCs w:val="18"/>
              </w:rPr>
            </w:pPr>
            <w:r>
              <w:rPr>
                <w:rFonts w:hint="eastAsia" w:cs="Times New Roman"/>
                <w:color w:val="auto"/>
                <w:sz w:val="18"/>
                <w:szCs w:val="18"/>
              </w:rPr>
              <w:t>已落实</w:t>
            </w:r>
          </w:p>
        </w:tc>
      </w:tr>
      <w:tr w14:paraId="1BBC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A6D35EB">
            <w:pPr>
              <w:widowControl/>
              <w:spacing w:line="240" w:lineRule="exact"/>
              <w:jc w:val="left"/>
              <w:rPr>
                <w:rFonts w:cs="Times New Roman"/>
                <w:color w:val="auto"/>
                <w:sz w:val="18"/>
                <w:szCs w:val="18"/>
              </w:rPr>
            </w:pPr>
          </w:p>
        </w:tc>
        <w:tc>
          <w:tcPr>
            <w:tcW w:w="5930" w:type="dxa"/>
            <w:vAlign w:val="center"/>
          </w:tcPr>
          <w:p w14:paraId="6DC6EB5E">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根据《汽车加油加气加氢站技术标准》GB50156-2021，加油站卸油和加油设置了卸油油气回收系统和加油油气回收系统，可有效减少卸油和加油时产生的油气，降低火灾爆炸的可能性和危险性。</w:t>
            </w:r>
          </w:p>
        </w:tc>
        <w:tc>
          <w:tcPr>
            <w:tcW w:w="1580" w:type="dxa"/>
            <w:vAlign w:val="center"/>
          </w:tcPr>
          <w:p w14:paraId="2DAC0893">
            <w:pPr>
              <w:spacing w:line="240" w:lineRule="exact"/>
              <w:jc w:val="center"/>
              <w:rPr>
                <w:rFonts w:cs="Times New Roman"/>
                <w:color w:val="auto"/>
                <w:sz w:val="18"/>
                <w:szCs w:val="18"/>
              </w:rPr>
            </w:pPr>
            <w:r>
              <w:rPr>
                <w:rFonts w:hint="eastAsia" w:cs="Times New Roman"/>
                <w:color w:val="auto"/>
                <w:sz w:val="18"/>
                <w:szCs w:val="18"/>
              </w:rPr>
              <w:t>本项目设置卸油油气回收系统及加油油气回收系统</w:t>
            </w:r>
          </w:p>
        </w:tc>
        <w:tc>
          <w:tcPr>
            <w:tcW w:w="870" w:type="dxa"/>
            <w:vAlign w:val="center"/>
          </w:tcPr>
          <w:p w14:paraId="328CA1D9">
            <w:pPr>
              <w:spacing w:line="240" w:lineRule="exact"/>
              <w:jc w:val="center"/>
              <w:rPr>
                <w:rFonts w:cs="Times New Roman"/>
                <w:color w:val="auto"/>
                <w:sz w:val="18"/>
                <w:szCs w:val="18"/>
              </w:rPr>
            </w:pPr>
            <w:r>
              <w:rPr>
                <w:rFonts w:hint="eastAsia" w:cs="Times New Roman"/>
                <w:color w:val="auto"/>
                <w:sz w:val="18"/>
                <w:szCs w:val="18"/>
              </w:rPr>
              <w:t>已落实</w:t>
            </w:r>
          </w:p>
        </w:tc>
      </w:tr>
      <w:tr w14:paraId="71EA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4DEF53E">
            <w:pPr>
              <w:widowControl/>
              <w:spacing w:line="240" w:lineRule="exact"/>
              <w:jc w:val="left"/>
              <w:rPr>
                <w:rFonts w:cs="Times New Roman"/>
                <w:color w:val="auto"/>
                <w:sz w:val="18"/>
                <w:szCs w:val="18"/>
              </w:rPr>
            </w:pPr>
          </w:p>
        </w:tc>
        <w:tc>
          <w:tcPr>
            <w:tcW w:w="5930" w:type="dxa"/>
            <w:vAlign w:val="center"/>
          </w:tcPr>
          <w:p w14:paraId="5827FCFC">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加油岛前后出口两端设置钢管防撞柱，其钢管直径不小于100mm，高度大于0.5m，防止意外撞击发生火灾爆炸。</w:t>
            </w:r>
          </w:p>
        </w:tc>
        <w:tc>
          <w:tcPr>
            <w:tcW w:w="1580" w:type="dxa"/>
            <w:vAlign w:val="center"/>
          </w:tcPr>
          <w:p w14:paraId="37540426">
            <w:pPr>
              <w:spacing w:line="240" w:lineRule="exact"/>
              <w:jc w:val="center"/>
              <w:rPr>
                <w:rFonts w:cs="Times New Roman"/>
                <w:color w:val="auto"/>
                <w:sz w:val="18"/>
                <w:szCs w:val="18"/>
              </w:rPr>
            </w:pPr>
            <w:r>
              <w:rPr>
                <w:rFonts w:hint="eastAsia" w:cs="Times New Roman"/>
                <w:color w:val="auto"/>
                <w:sz w:val="18"/>
                <w:szCs w:val="18"/>
              </w:rPr>
              <w:t>加油机两侧设置防撞柱</w:t>
            </w:r>
          </w:p>
        </w:tc>
        <w:tc>
          <w:tcPr>
            <w:tcW w:w="870" w:type="dxa"/>
            <w:vAlign w:val="center"/>
          </w:tcPr>
          <w:p w14:paraId="3B6AD87B">
            <w:pPr>
              <w:spacing w:line="240" w:lineRule="exact"/>
              <w:jc w:val="center"/>
              <w:rPr>
                <w:rFonts w:cs="Times New Roman"/>
                <w:color w:val="auto"/>
                <w:sz w:val="18"/>
                <w:szCs w:val="18"/>
              </w:rPr>
            </w:pPr>
            <w:r>
              <w:rPr>
                <w:rFonts w:hint="eastAsia" w:cs="Times New Roman"/>
                <w:color w:val="auto"/>
                <w:sz w:val="18"/>
                <w:szCs w:val="18"/>
              </w:rPr>
              <w:t>已落实</w:t>
            </w:r>
          </w:p>
        </w:tc>
      </w:tr>
      <w:tr w14:paraId="6342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1468833">
            <w:pPr>
              <w:widowControl/>
              <w:spacing w:line="240" w:lineRule="exact"/>
              <w:jc w:val="left"/>
              <w:rPr>
                <w:rFonts w:cs="Times New Roman"/>
                <w:color w:val="auto"/>
                <w:sz w:val="18"/>
                <w:szCs w:val="18"/>
              </w:rPr>
            </w:pPr>
          </w:p>
        </w:tc>
        <w:tc>
          <w:tcPr>
            <w:tcW w:w="5930" w:type="dxa"/>
            <w:vAlign w:val="center"/>
          </w:tcPr>
          <w:p w14:paraId="588C4E1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加油机加油软管上设置安全拉断阀，预防事故时及时切断加油。</w:t>
            </w:r>
          </w:p>
        </w:tc>
        <w:tc>
          <w:tcPr>
            <w:tcW w:w="1580" w:type="dxa"/>
            <w:vAlign w:val="center"/>
          </w:tcPr>
          <w:p w14:paraId="034CCB76">
            <w:pPr>
              <w:spacing w:line="240" w:lineRule="exact"/>
              <w:jc w:val="center"/>
              <w:rPr>
                <w:rFonts w:cs="Times New Roman"/>
                <w:color w:val="auto"/>
                <w:sz w:val="18"/>
                <w:szCs w:val="18"/>
              </w:rPr>
            </w:pPr>
            <w:r>
              <w:rPr>
                <w:rFonts w:hint="eastAsia" w:cs="Times New Roman"/>
                <w:color w:val="auto"/>
                <w:sz w:val="18"/>
                <w:szCs w:val="18"/>
              </w:rPr>
              <w:t>加油软管设置安全拉断阀</w:t>
            </w:r>
          </w:p>
        </w:tc>
        <w:tc>
          <w:tcPr>
            <w:tcW w:w="870" w:type="dxa"/>
            <w:vAlign w:val="center"/>
          </w:tcPr>
          <w:p w14:paraId="76259369">
            <w:pPr>
              <w:spacing w:line="240" w:lineRule="exact"/>
              <w:jc w:val="center"/>
              <w:rPr>
                <w:rFonts w:cs="Times New Roman"/>
                <w:color w:val="auto"/>
                <w:sz w:val="18"/>
                <w:szCs w:val="18"/>
              </w:rPr>
            </w:pPr>
            <w:r>
              <w:rPr>
                <w:rFonts w:hint="eastAsia" w:cs="Times New Roman"/>
                <w:color w:val="auto"/>
                <w:sz w:val="18"/>
                <w:szCs w:val="18"/>
              </w:rPr>
              <w:t>已落实</w:t>
            </w:r>
          </w:p>
        </w:tc>
      </w:tr>
      <w:tr w14:paraId="14CF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4B72F7B">
            <w:pPr>
              <w:widowControl/>
              <w:spacing w:line="240" w:lineRule="exact"/>
              <w:jc w:val="left"/>
              <w:rPr>
                <w:rFonts w:cs="Times New Roman"/>
                <w:color w:val="auto"/>
                <w:sz w:val="18"/>
                <w:szCs w:val="18"/>
              </w:rPr>
            </w:pPr>
          </w:p>
        </w:tc>
        <w:tc>
          <w:tcPr>
            <w:tcW w:w="5930" w:type="dxa"/>
            <w:vAlign w:val="center"/>
          </w:tcPr>
          <w:p w14:paraId="3B87B19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加油机底部连接的输油管道上设置防撞事故自动切断阀，当加油机被撞或起火时，阀门自动关闭，防止火灾蔓延扩散。</w:t>
            </w:r>
          </w:p>
        </w:tc>
        <w:tc>
          <w:tcPr>
            <w:tcW w:w="1580" w:type="dxa"/>
            <w:vAlign w:val="center"/>
          </w:tcPr>
          <w:p w14:paraId="152B714F">
            <w:pPr>
              <w:spacing w:line="240" w:lineRule="exact"/>
              <w:jc w:val="center"/>
              <w:rPr>
                <w:rFonts w:cs="Times New Roman"/>
                <w:color w:val="auto"/>
                <w:sz w:val="18"/>
                <w:szCs w:val="18"/>
              </w:rPr>
            </w:pPr>
            <w:r>
              <w:rPr>
                <w:rFonts w:hint="eastAsia" w:cs="Times New Roman"/>
                <w:color w:val="auto"/>
                <w:sz w:val="18"/>
                <w:szCs w:val="18"/>
              </w:rPr>
              <w:t>底部设置自动切断阀</w:t>
            </w:r>
          </w:p>
        </w:tc>
        <w:tc>
          <w:tcPr>
            <w:tcW w:w="870" w:type="dxa"/>
            <w:vAlign w:val="center"/>
          </w:tcPr>
          <w:p w14:paraId="2C91B539">
            <w:pPr>
              <w:spacing w:line="240" w:lineRule="exact"/>
              <w:jc w:val="center"/>
              <w:rPr>
                <w:rFonts w:cs="Times New Roman"/>
                <w:color w:val="auto"/>
                <w:sz w:val="18"/>
                <w:szCs w:val="18"/>
              </w:rPr>
            </w:pPr>
            <w:r>
              <w:rPr>
                <w:rFonts w:hint="eastAsia" w:cs="Times New Roman"/>
                <w:color w:val="auto"/>
                <w:sz w:val="18"/>
                <w:szCs w:val="18"/>
              </w:rPr>
              <w:t>已落实</w:t>
            </w:r>
          </w:p>
        </w:tc>
      </w:tr>
      <w:tr w14:paraId="6473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FB99F30">
            <w:pPr>
              <w:widowControl/>
              <w:spacing w:line="240" w:lineRule="exact"/>
              <w:jc w:val="left"/>
              <w:rPr>
                <w:rFonts w:cs="Times New Roman"/>
                <w:color w:val="auto"/>
                <w:sz w:val="18"/>
                <w:szCs w:val="18"/>
              </w:rPr>
            </w:pPr>
          </w:p>
        </w:tc>
        <w:tc>
          <w:tcPr>
            <w:tcW w:w="5930" w:type="dxa"/>
            <w:vAlign w:val="center"/>
          </w:tcPr>
          <w:p w14:paraId="6867D0F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为了防止静电引起火灾爆炸事故，油罐的接合管采用金属材质；油罐进油管伸至罐内距罐底50mm～100mm处，进油立管的底端采用45°斜管口；量油口下部的接合管向下伸至罐内距罐底200mm处。</w:t>
            </w:r>
          </w:p>
        </w:tc>
        <w:tc>
          <w:tcPr>
            <w:tcW w:w="1580" w:type="dxa"/>
            <w:vAlign w:val="center"/>
          </w:tcPr>
          <w:p w14:paraId="4963479F">
            <w:pPr>
              <w:spacing w:line="240" w:lineRule="exact"/>
              <w:jc w:val="center"/>
              <w:rPr>
                <w:rFonts w:cs="Times New Roman"/>
                <w:color w:val="auto"/>
                <w:sz w:val="18"/>
                <w:szCs w:val="18"/>
              </w:rPr>
            </w:pPr>
            <w:r>
              <w:rPr>
                <w:rFonts w:hint="eastAsia" w:cs="Times New Roman"/>
                <w:color w:val="auto"/>
                <w:sz w:val="18"/>
                <w:szCs w:val="18"/>
              </w:rPr>
              <w:t>油罐底部进料</w:t>
            </w:r>
          </w:p>
        </w:tc>
        <w:tc>
          <w:tcPr>
            <w:tcW w:w="870" w:type="dxa"/>
            <w:vAlign w:val="center"/>
          </w:tcPr>
          <w:p w14:paraId="2819D908">
            <w:pPr>
              <w:spacing w:line="240" w:lineRule="exact"/>
              <w:jc w:val="center"/>
              <w:rPr>
                <w:rFonts w:cs="Times New Roman"/>
                <w:color w:val="auto"/>
                <w:sz w:val="18"/>
                <w:szCs w:val="18"/>
              </w:rPr>
            </w:pPr>
            <w:r>
              <w:rPr>
                <w:rFonts w:hint="eastAsia" w:cs="Times New Roman"/>
                <w:color w:val="auto"/>
                <w:sz w:val="18"/>
                <w:szCs w:val="18"/>
              </w:rPr>
              <w:t>已落实</w:t>
            </w:r>
          </w:p>
        </w:tc>
      </w:tr>
      <w:tr w14:paraId="03AE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376C3F3">
            <w:pPr>
              <w:widowControl/>
              <w:spacing w:line="240" w:lineRule="exact"/>
              <w:jc w:val="left"/>
              <w:rPr>
                <w:rFonts w:cs="Times New Roman"/>
                <w:color w:val="auto"/>
                <w:sz w:val="18"/>
                <w:szCs w:val="18"/>
              </w:rPr>
            </w:pPr>
          </w:p>
        </w:tc>
        <w:tc>
          <w:tcPr>
            <w:tcW w:w="5930" w:type="dxa"/>
            <w:vAlign w:val="center"/>
          </w:tcPr>
          <w:p w14:paraId="7EC56A12">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在站内设置防雷、防静电设施，设备、管道按照《石油化工静电接地设计规范》SH/T3097-2017进行静电接地</w:t>
            </w:r>
          </w:p>
        </w:tc>
        <w:tc>
          <w:tcPr>
            <w:tcW w:w="1580" w:type="dxa"/>
            <w:vAlign w:val="center"/>
          </w:tcPr>
          <w:p w14:paraId="1B76C625">
            <w:pPr>
              <w:spacing w:line="240" w:lineRule="exact"/>
              <w:jc w:val="center"/>
              <w:rPr>
                <w:rFonts w:cs="Times New Roman"/>
                <w:color w:val="auto"/>
                <w:sz w:val="18"/>
                <w:szCs w:val="18"/>
              </w:rPr>
            </w:pPr>
            <w:r>
              <w:rPr>
                <w:rFonts w:hint="eastAsia" w:cs="Times New Roman"/>
                <w:color w:val="auto"/>
                <w:sz w:val="18"/>
                <w:szCs w:val="18"/>
              </w:rPr>
              <w:t>进行静电接地</w:t>
            </w:r>
          </w:p>
        </w:tc>
        <w:tc>
          <w:tcPr>
            <w:tcW w:w="870" w:type="dxa"/>
            <w:vAlign w:val="center"/>
          </w:tcPr>
          <w:p w14:paraId="00DEF11D">
            <w:pPr>
              <w:spacing w:line="240" w:lineRule="exact"/>
              <w:jc w:val="center"/>
              <w:rPr>
                <w:rFonts w:cs="Times New Roman"/>
                <w:color w:val="auto"/>
                <w:sz w:val="18"/>
                <w:szCs w:val="18"/>
              </w:rPr>
            </w:pPr>
            <w:r>
              <w:rPr>
                <w:rFonts w:hint="eastAsia" w:cs="Times New Roman"/>
                <w:color w:val="auto"/>
                <w:sz w:val="18"/>
                <w:szCs w:val="18"/>
              </w:rPr>
              <w:t>已落实</w:t>
            </w:r>
          </w:p>
        </w:tc>
      </w:tr>
      <w:tr w14:paraId="2CB8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1B07F37">
            <w:pPr>
              <w:widowControl/>
              <w:spacing w:line="240" w:lineRule="exact"/>
              <w:jc w:val="left"/>
              <w:rPr>
                <w:rFonts w:cs="Times New Roman"/>
                <w:color w:val="auto"/>
                <w:sz w:val="18"/>
                <w:szCs w:val="18"/>
              </w:rPr>
            </w:pPr>
          </w:p>
        </w:tc>
        <w:tc>
          <w:tcPr>
            <w:tcW w:w="5930" w:type="dxa"/>
            <w:vAlign w:val="center"/>
          </w:tcPr>
          <w:p w14:paraId="48DD790A">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本加油站设置了2个紧急停车按钮，位于站房面向罩棚的外墙上和站内收银台旁，事故状态下能手动切断加油机控制箱电源，停加油机及潜油泵。事故紧急切断系统带失效保护功能，只能手动复位。</w:t>
            </w:r>
          </w:p>
        </w:tc>
        <w:tc>
          <w:tcPr>
            <w:tcW w:w="1580" w:type="dxa"/>
            <w:vAlign w:val="center"/>
          </w:tcPr>
          <w:p w14:paraId="46616941">
            <w:pPr>
              <w:spacing w:line="240" w:lineRule="exact"/>
              <w:jc w:val="center"/>
              <w:rPr>
                <w:rFonts w:cs="Times New Roman"/>
                <w:color w:val="auto"/>
                <w:sz w:val="18"/>
                <w:szCs w:val="18"/>
              </w:rPr>
            </w:pPr>
            <w:r>
              <w:rPr>
                <w:rFonts w:hint="eastAsia" w:cs="Times New Roman"/>
                <w:color w:val="auto"/>
                <w:sz w:val="18"/>
                <w:szCs w:val="18"/>
              </w:rPr>
              <w:t>设置2个紧急停车按钮，只能手动复位</w:t>
            </w:r>
          </w:p>
        </w:tc>
        <w:tc>
          <w:tcPr>
            <w:tcW w:w="870" w:type="dxa"/>
            <w:vAlign w:val="center"/>
          </w:tcPr>
          <w:p w14:paraId="01A07B26">
            <w:pPr>
              <w:spacing w:line="240" w:lineRule="exact"/>
              <w:jc w:val="center"/>
              <w:rPr>
                <w:rFonts w:cs="Times New Roman"/>
                <w:color w:val="auto"/>
                <w:sz w:val="18"/>
                <w:szCs w:val="18"/>
              </w:rPr>
            </w:pPr>
            <w:r>
              <w:rPr>
                <w:rFonts w:hint="eastAsia" w:cs="Times New Roman"/>
                <w:color w:val="auto"/>
                <w:sz w:val="18"/>
                <w:szCs w:val="18"/>
              </w:rPr>
              <w:t>已落实</w:t>
            </w:r>
          </w:p>
        </w:tc>
      </w:tr>
      <w:tr w14:paraId="1432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2E5DDBD">
            <w:pPr>
              <w:widowControl/>
              <w:spacing w:line="240" w:lineRule="exact"/>
              <w:jc w:val="left"/>
              <w:rPr>
                <w:rFonts w:cs="Times New Roman"/>
                <w:color w:val="auto"/>
                <w:sz w:val="18"/>
                <w:szCs w:val="18"/>
              </w:rPr>
            </w:pPr>
          </w:p>
        </w:tc>
        <w:tc>
          <w:tcPr>
            <w:tcW w:w="5930" w:type="dxa"/>
            <w:vAlign w:val="center"/>
          </w:tcPr>
          <w:p w14:paraId="2467A5A5">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加油过程禁止使用手机、禁止给塑料容器加油等，加油机使用自封式加油枪。</w:t>
            </w:r>
          </w:p>
        </w:tc>
        <w:tc>
          <w:tcPr>
            <w:tcW w:w="1580" w:type="dxa"/>
            <w:vAlign w:val="center"/>
          </w:tcPr>
          <w:p w14:paraId="0616D672">
            <w:pPr>
              <w:spacing w:line="240" w:lineRule="exact"/>
              <w:jc w:val="center"/>
              <w:rPr>
                <w:rFonts w:cs="Times New Roman"/>
                <w:color w:val="auto"/>
                <w:sz w:val="18"/>
                <w:szCs w:val="18"/>
              </w:rPr>
            </w:pPr>
            <w:r>
              <w:rPr>
                <w:rFonts w:hint="eastAsia" w:cs="Times New Roman"/>
                <w:color w:val="auto"/>
                <w:sz w:val="18"/>
                <w:szCs w:val="18"/>
              </w:rPr>
              <w:t>自封式加油枪；禁止使用手机，禁止给塑料容器加油等</w:t>
            </w:r>
          </w:p>
        </w:tc>
        <w:tc>
          <w:tcPr>
            <w:tcW w:w="870" w:type="dxa"/>
            <w:vAlign w:val="center"/>
          </w:tcPr>
          <w:p w14:paraId="17427CD0">
            <w:pPr>
              <w:spacing w:line="240" w:lineRule="exact"/>
              <w:jc w:val="center"/>
              <w:rPr>
                <w:rFonts w:cs="Times New Roman"/>
                <w:color w:val="auto"/>
                <w:sz w:val="18"/>
                <w:szCs w:val="18"/>
              </w:rPr>
            </w:pPr>
            <w:r>
              <w:rPr>
                <w:rFonts w:hint="eastAsia" w:cs="Times New Roman"/>
                <w:color w:val="auto"/>
                <w:sz w:val="18"/>
                <w:szCs w:val="18"/>
              </w:rPr>
              <w:t>已落实</w:t>
            </w:r>
          </w:p>
        </w:tc>
      </w:tr>
      <w:tr w14:paraId="1896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85432DD">
            <w:pPr>
              <w:widowControl/>
              <w:spacing w:line="240" w:lineRule="exact"/>
              <w:jc w:val="left"/>
              <w:rPr>
                <w:rFonts w:cs="Times New Roman"/>
                <w:color w:val="auto"/>
                <w:sz w:val="18"/>
                <w:szCs w:val="18"/>
              </w:rPr>
            </w:pPr>
          </w:p>
        </w:tc>
        <w:tc>
          <w:tcPr>
            <w:tcW w:w="5930" w:type="dxa"/>
            <w:vAlign w:val="center"/>
          </w:tcPr>
          <w:p w14:paraId="7160908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油品罐车卸车场地内设置人体静电导除装置及静电接地报警装置，另外用于防静电跨接的固定接地装置，不设置在爆炸危险1区，距离卸油口1.5m。加油机自带人体防静电触摸装置，加油机</w:t>
            </w:r>
            <w:r>
              <w:rPr>
                <w:rFonts w:hint="eastAsia" w:ascii="Times New Roman" w:hAnsi="Times New Roman" w:cs="Times New Roman"/>
                <w:color w:val="auto"/>
                <w:sz w:val="18"/>
                <w:szCs w:val="18"/>
                <w:lang w:eastAsia="zh-CN"/>
              </w:rPr>
              <w:t>防静电接地</w:t>
            </w:r>
            <w:r>
              <w:rPr>
                <w:rFonts w:ascii="Times New Roman" w:hAnsi="Times New Roman" w:cs="Times New Roman"/>
                <w:color w:val="auto"/>
                <w:sz w:val="18"/>
                <w:szCs w:val="18"/>
              </w:rPr>
              <w:t>与全站接地网</w:t>
            </w:r>
            <w:r>
              <w:rPr>
                <w:rFonts w:hint="eastAsia" w:ascii="Times New Roman" w:hAnsi="Times New Roman" w:cs="Times New Roman"/>
                <w:color w:val="auto"/>
                <w:sz w:val="18"/>
                <w:szCs w:val="18"/>
                <w:lang w:eastAsia="zh-CN"/>
              </w:rPr>
              <w:t>相连</w:t>
            </w:r>
            <w:r>
              <w:rPr>
                <w:rFonts w:ascii="Times New Roman" w:hAnsi="Times New Roman" w:cs="Times New Roman"/>
                <w:color w:val="auto"/>
                <w:sz w:val="18"/>
                <w:szCs w:val="18"/>
              </w:rPr>
              <w:t>，法兰、胶管两端等连接处，采用金属线跨接，防止静电发生爆炸事故。</w:t>
            </w:r>
          </w:p>
        </w:tc>
        <w:tc>
          <w:tcPr>
            <w:tcW w:w="1580" w:type="dxa"/>
            <w:vAlign w:val="center"/>
          </w:tcPr>
          <w:p w14:paraId="07BFE597">
            <w:pPr>
              <w:spacing w:line="240" w:lineRule="exact"/>
              <w:rPr>
                <w:rFonts w:cs="Times New Roman"/>
                <w:color w:val="auto"/>
                <w:sz w:val="18"/>
                <w:szCs w:val="18"/>
              </w:rPr>
            </w:pPr>
            <w:r>
              <w:rPr>
                <w:rFonts w:hint="eastAsia" w:cs="Times New Roman"/>
                <w:color w:val="auto"/>
                <w:sz w:val="18"/>
                <w:szCs w:val="18"/>
              </w:rPr>
              <w:t>设置</w:t>
            </w:r>
            <w:r>
              <w:rPr>
                <w:rFonts w:ascii="Times New Roman" w:hAnsi="Times New Roman" w:cs="Times New Roman"/>
                <w:color w:val="auto"/>
                <w:sz w:val="18"/>
                <w:szCs w:val="18"/>
              </w:rPr>
              <w:t>人体静电导除装置及静电接地报警装置</w:t>
            </w:r>
            <w:r>
              <w:rPr>
                <w:rFonts w:hint="eastAsia" w:ascii="Times New Roman" w:hAnsi="Times New Roman" w:cs="Times New Roman"/>
                <w:color w:val="auto"/>
                <w:sz w:val="18"/>
                <w:szCs w:val="18"/>
              </w:rPr>
              <w:t>，未设置在爆炸1区；进行静电跨接</w:t>
            </w:r>
          </w:p>
        </w:tc>
        <w:tc>
          <w:tcPr>
            <w:tcW w:w="870" w:type="dxa"/>
            <w:vAlign w:val="center"/>
          </w:tcPr>
          <w:p w14:paraId="11AC8DD4">
            <w:pPr>
              <w:spacing w:line="240" w:lineRule="exact"/>
              <w:jc w:val="center"/>
              <w:rPr>
                <w:rFonts w:cs="Times New Roman"/>
                <w:color w:val="auto"/>
                <w:sz w:val="18"/>
                <w:szCs w:val="18"/>
              </w:rPr>
            </w:pPr>
            <w:r>
              <w:rPr>
                <w:rFonts w:hint="eastAsia" w:cs="Times New Roman"/>
                <w:color w:val="auto"/>
                <w:sz w:val="18"/>
                <w:szCs w:val="18"/>
              </w:rPr>
              <w:t>已落实</w:t>
            </w:r>
          </w:p>
        </w:tc>
      </w:tr>
      <w:tr w14:paraId="4355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46F1103">
            <w:pPr>
              <w:widowControl/>
              <w:spacing w:line="240" w:lineRule="exact"/>
              <w:jc w:val="left"/>
              <w:rPr>
                <w:rFonts w:cs="Times New Roman"/>
                <w:color w:val="auto"/>
                <w:sz w:val="18"/>
                <w:szCs w:val="18"/>
              </w:rPr>
            </w:pPr>
          </w:p>
        </w:tc>
        <w:tc>
          <w:tcPr>
            <w:tcW w:w="5930" w:type="dxa"/>
            <w:vAlign w:val="center"/>
          </w:tcPr>
          <w:p w14:paraId="7DC0D62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加油机采用自封式加油枪，枪身设计的自封装置能够确保在容器加满时自动关闭油枪，防止介质外溢。汽油加油枪的流量设计不大于50L/min</w:t>
            </w:r>
          </w:p>
        </w:tc>
        <w:tc>
          <w:tcPr>
            <w:tcW w:w="1580" w:type="dxa"/>
            <w:shd w:val="clear" w:color="auto" w:fill="auto"/>
            <w:vAlign w:val="center"/>
          </w:tcPr>
          <w:p w14:paraId="397A5BBD">
            <w:pPr>
              <w:spacing w:line="240" w:lineRule="exact"/>
              <w:jc w:val="center"/>
              <w:rPr>
                <w:rFonts w:cs="Times New Roman"/>
                <w:color w:val="auto"/>
                <w:sz w:val="18"/>
                <w:szCs w:val="18"/>
              </w:rPr>
            </w:pPr>
            <w:r>
              <w:rPr>
                <w:rFonts w:hint="eastAsia" w:cs="宋体"/>
                <w:color w:val="auto"/>
                <w:sz w:val="18"/>
                <w:szCs w:val="18"/>
              </w:rPr>
              <w:t>采用自封式加油枪，有防溢油措施</w:t>
            </w:r>
          </w:p>
        </w:tc>
        <w:tc>
          <w:tcPr>
            <w:tcW w:w="870" w:type="dxa"/>
            <w:shd w:val="clear" w:color="auto" w:fill="auto"/>
            <w:vAlign w:val="center"/>
          </w:tcPr>
          <w:p w14:paraId="7FDD54D4">
            <w:pPr>
              <w:spacing w:line="240" w:lineRule="exact"/>
              <w:jc w:val="center"/>
              <w:rPr>
                <w:rFonts w:cs="Times New Roman"/>
                <w:color w:val="auto"/>
                <w:sz w:val="18"/>
                <w:szCs w:val="18"/>
              </w:rPr>
            </w:pPr>
            <w:r>
              <w:rPr>
                <w:rFonts w:hint="eastAsia" w:cs="Times New Roman"/>
                <w:color w:val="auto"/>
                <w:sz w:val="18"/>
                <w:szCs w:val="18"/>
              </w:rPr>
              <w:t>已落实</w:t>
            </w:r>
          </w:p>
        </w:tc>
      </w:tr>
      <w:tr w14:paraId="7221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A5B2415">
            <w:pPr>
              <w:widowControl/>
              <w:spacing w:line="240" w:lineRule="exact"/>
              <w:jc w:val="left"/>
              <w:rPr>
                <w:rFonts w:cs="Times New Roman"/>
                <w:color w:val="auto"/>
                <w:sz w:val="18"/>
                <w:szCs w:val="18"/>
              </w:rPr>
            </w:pPr>
          </w:p>
        </w:tc>
        <w:tc>
          <w:tcPr>
            <w:tcW w:w="5930" w:type="dxa"/>
            <w:vAlign w:val="center"/>
          </w:tcPr>
          <w:p w14:paraId="520D3EC3">
            <w:pPr>
              <w:adjustRightInd w:val="0"/>
              <w:snapToGrid w:val="0"/>
              <w:spacing w:line="240" w:lineRule="exact"/>
              <w:rPr>
                <w:rFonts w:cs="Times New Roman"/>
                <w:color w:val="auto"/>
                <w:sz w:val="18"/>
                <w:szCs w:val="18"/>
              </w:rPr>
            </w:pPr>
            <w:r>
              <w:rPr>
                <w:rFonts w:hint="eastAsia" w:cs="Times New Roman"/>
                <w:color w:val="auto"/>
                <w:sz w:val="18"/>
                <w:szCs w:val="18"/>
              </w:rPr>
              <w:t>卸油区设置醒目标志牌和危险标识牌，卸油口采用箱盖式，只有卸油过程才打开，平时上锁。卸油时停止车辆加油，防止事故发生。</w:t>
            </w:r>
          </w:p>
        </w:tc>
        <w:tc>
          <w:tcPr>
            <w:tcW w:w="1580" w:type="dxa"/>
            <w:vAlign w:val="center"/>
          </w:tcPr>
          <w:p w14:paraId="7141FCCC">
            <w:pPr>
              <w:spacing w:line="240" w:lineRule="exact"/>
              <w:jc w:val="center"/>
              <w:rPr>
                <w:rFonts w:cs="Times New Roman"/>
                <w:color w:val="auto"/>
                <w:sz w:val="18"/>
                <w:szCs w:val="18"/>
              </w:rPr>
            </w:pPr>
            <w:r>
              <w:rPr>
                <w:rFonts w:hint="eastAsia" w:cs="Times New Roman"/>
                <w:color w:val="auto"/>
                <w:sz w:val="18"/>
                <w:szCs w:val="18"/>
              </w:rPr>
              <w:t>设有标志牌；卸油时停止车辆加油，卸油口上锁</w:t>
            </w:r>
          </w:p>
        </w:tc>
        <w:tc>
          <w:tcPr>
            <w:tcW w:w="870" w:type="dxa"/>
            <w:vAlign w:val="center"/>
          </w:tcPr>
          <w:p w14:paraId="26488BE2">
            <w:pPr>
              <w:spacing w:line="240" w:lineRule="exact"/>
              <w:jc w:val="center"/>
              <w:rPr>
                <w:rFonts w:cs="Times New Roman"/>
                <w:color w:val="auto"/>
                <w:sz w:val="18"/>
                <w:szCs w:val="18"/>
              </w:rPr>
            </w:pPr>
            <w:r>
              <w:rPr>
                <w:rFonts w:hint="eastAsia" w:cs="Times New Roman"/>
                <w:color w:val="auto"/>
                <w:sz w:val="18"/>
                <w:szCs w:val="18"/>
                <w:lang w:val="en-US" w:eastAsia="zh-CN"/>
              </w:rPr>
              <w:t>已</w:t>
            </w:r>
            <w:r>
              <w:rPr>
                <w:rFonts w:hint="eastAsia" w:cs="Times New Roman"/>
                <w:color w:val="auto"/>
                <w:sz w:val="18"/>
                <w:szCs w:val="18"/>
              </w:rPr>
              <w:t>落实</w:t>
            </w:r>
          </w:p>
        </w:tc>
      </w:tr>
      <w:tr w14:paraId="13F9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6216ABB">
            <w:pPr>
              <w:widowControl/>
              <w:spacing w:line="240" w:lineRule="exact"/>
              <w:jc w:val="left"/>
              <w:rPr>
                <w:rFonts w:cs="Times New Roman"/>
                <w:color w:val="auto"/>
                <w:sz w:val="18"/>
                <w:szCs w:val="18"/>
              </w:rPr>
            </w:pPr>
          </w:p>
        </w:tc>
        <w:tc>
          <w:tcPr>
            <w:tcW w:w="5930" w:type="dxa"/>
            <w:vAlign w:val="center"/>
          </w:tcPr>
          <w:p w14:paraId="2B6D8A40">
            <w:pPr>
              <w:adjustRightInd w:val="0"/>
              <w:snapToGrid w:val="0"/>
              <w:spacing w:line="240" w:lineRule="exact"/>
              <w:rPr>
                <w:rFonts w:cs="Times New Roman"/>
                <w:color w:val="auto"/>
                <w:sz w:val="18"/>
                <w:szCs w:val="18"/>
              </w:rPr>
            </w:pPr>
            <w:r>
              <w:rPr>
                <w:rFonts w:hint="eastAsia" w:cs="Times New Roman"/>
                <w:color w:val="auto"/>
                <w:sz w:val="18"/>
                <w:szCs w:val="18"/>
              </w:rPr>
              <w:t>加油区采用不发火花混凝土地面，爆炸危险区域内的地坪采用不发火花地面，减少发生火灾的可能性和危险性。</w:t>
            </w:r>
          </w:p>
        </w:tc>
        <w:tc>
          <w:tcPr>
            <w:tcW w:w="1580" w:type="dxa"/>
            <w:vAlign w:val="center"/>
          </w:tcPr>
          <w:p w14:paraId="28FE44AA">
            <w:pPr>
              <w:spacing w:line="240" w:lineRule="exact"/>
              <w:jc w:val="center"/>
              <w:rPr>
                <w:rFonts w:cs="Times New Roman"/>
                <w:color w:val="auto"/>
                <w:sz w:val="18"/>
                <w:szCs w:val="18"/>
              </w:rPr>
            </w:pPr>
            <w:r>
              <w:rPr>
                <w:rFonts w:hint="eastAsia" w:cs="Times New Roman"/>
                <w:color w:val="auto"/>
                <w:sz w:val="18"/>
                <w:szCs w:val="18"/>
              </w:rPr>
              <w:t>采用不发火花地面</w:t>
            </w:r>
          </w:p>
        </w:tc>
        <w:tc>
          <w:tcPr>
            <w:tcW w:w="870" w:type="dxa"/>
            <w:vAlign w:val="center"/>
          </w:tcPr>
          <w:p w14:paraId="772C73E0">
            <w:pPr>
              <w:spacing w:line="240" w:lineRule="exact"/>
              <w:jc w:val="center"/>
              <w:rPr>
                <w:rFonts w:cs="Times New Roman"/>
                <w:color w:val="auto"/>
                <w:sz w:val="18"/>
                <w:szCs w:val="18"/>
              </w:rPr>
            </w:pPr>
            <w:r>
              <w:rPr>
                <w:rFonts w:hint="eastAsia" w:cs="Times New Roman"/>
                <w:color w:val="auto"/>
                <w:sz w:val="18"/>
                <w:szCs w:val="18"/>
              </w:rPr>
              <w:t>已落实</w:t>
            </w:r>
          </w:p>
        </w:tc>
      </w:tr>
      <w:tr w14:paraId="13C2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076188A6">
            <w:pPr>
              <w:spacing w:line="240" w:lineRule="exact"/>
              <w:jc w:val="center"/>
              <w:rPr>
                <w:color w:val="auto"/>
                <w:sz w:val="18"/>
                <w:szCs w:val="18"/>
              </w:rPr>
            </w:pPr>
            <w:r>
              <w:rPr>
                <w:rFonts w:hint="eastAsia"/>
                <w:color w:val="auto"/>
                <w:sz w:val="18"/>
                <w:szCs w:val="18"/>
              </w:rPr>
              <w:t>3）清罐过程的防火、防爆、防窒息措施</w:t>
            </w:r>
          </w:p>
        </w:tc>
        <w:tc>
          <w:tcPr>
            <w:tcW w:w="5930" w:type="dxa"/>
            <w:vAlign w:val="center"/>
          </w:tcPr>
          <w:p w14:paraId="543A2E9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每隔3-5年，对油罐进行一次清洗。加油站请专业的公司采用油罐清洗车进行油罐清洗。油罐清洗前加油站停止加油，在油罐周围划出警戒区域，并标识</w:t>
            </w:r>
          </w:p>
        </w:tc>
        <w:tc>
          <w:tcPr>
            <w:tcW w:w="1580" w:type="dxa"/>
            <w:vAlign w:val="center"/>
          </w:tcPr>
          <w:p w14:paraId="6083B40A">
            <w:pPr>
              <w:spacing w:line="240" w:lineRule="exact"/>
              <w:jc w:val="center"/>
              <w:rPr>
                <w:rFonts w:cs="Times New Roman"/>
                <w:color w:val="auto"/>
                <w:sz w:val="18"/>
                <w:szCs w:val="18"/>
              </w:rPr>
            </w:pPr>
            <w:r>
              <w:rPr>
                <w:rFonts w:hint="eastAsia" w:cs="Times New Roman"/>
                <w:color w:val="auto"/>
                <w:sz w:val="18"/>
                <w:szCs w:val="18"/>
              </w:rPr>
              <w:t>清罐作业由专业的公司进行清洗；</w:t>
            </w:r>
            <w:r>
              <w:rPr>
                <w:rFonts w:ascii="Times New Roman" w:hAnsi="Times New Roman" w:cs="Times New Roman"/>
                <w:color w:val="auto"/>
                <w:sz w:val="18"/>
                <w:szCs w:val="18"/>
              </w:rPr>
              <w:t>油罐清洗前加油站停止加油</w:t>
            </w:r>
            <w:r>
              <w:rPr>
                <w:rFonts w:hint="eastAsia" w:ascii="Times New Roman" w:hAnsi="Times New Roman" w:cs="Times New Roman"/>
                <w:color w:val="auto"/>
                <w:sz w:val="18"/>
                <w:szCs w:val="18"/>
              </w:rPr>
              <w:t>，并划出警戒区域</w:t>
            </w:r>
          </w:p>
        </w:tc>
        <w:tc>
          <w:tcPr>
            <w:tcW w:w="870" w:type="dxa"/>
            <w:vAlign w:val="center"/>
          </w:tcPr>
          <w:p w14:paraId="4966521A">
            <w:pPr>
              <w:spacing w:line="240" w:lineRule="exact"/>
              <w:jc w:val="center"/>
              <w:rPr>
                <w:rFonts w:cs="Times New Roman"/>
                <w:color w:val="auto"/>
                <w:sz w:val="18"/>
                <w:szCs w:val="18"/>
              </w:rPr>
            </w:pPr>
            <w:r>
              <w:rPr>
                <w:rFonts w:hint="eastAsia" w:cs="Times New Roman"/>
                <w:color w:val="auto"/>
                <w:sz w:val="18"/>
                <w:szCs w:val="18"/>
              </w:rPr>
              <w:t>已落实</w:t>
            </w:r>
          </w:p>
        </w:tc>
      </w:tr>
      <w:tr w14:paraId="3CB0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B36B32D">
            <w:pPr>
              <w:spacing w:line="240" w:lineRule="exact"/>
              <w:jc w:val="center"/>
              <w:rPr>
                <w:color w:val="auto"/>
                <w:sz w:val="18"/>
                <w:szCs w:val="18"/>
              </w:rPr>
            </w:pPr>
          </w:p>
        </w:tc>
        <w:tc>
          <w:tcPr>
            <w:tcW w:w="5930" w:type="dxa"/>
            <w:vAlign w:val="center"/>
          </w:tcPr>
          <w:p w14:paraId="2B0D818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清除罐区内的杂草、树叶等易燃物，确保罐区干净整洁。</w:t>
            </w:r>
          </w:p>
        </w:tc>
        <w:tc>
          <w:tcPr>
            <w:tcW w:w="1580" w:type="dxa"/>
            <w:vAlign w:val="center"/>
          </w:tcPr>
          <w:p w14:paraId="34927D68">
            <w:pPr>
              <w:spacing w:line="240" w:lineRule="exact"/>
              <w:jc w:val="center"/>
              <w:rPr>
                <w:rFonts w:cs="Times New Roman"/>
                <w:color w:val="auto"/>
                <w:sz w:val="18"/>
                <w:szCs w:val="18"/>
              </w:rPr>
            </w:pPr>
            <w:r>
              <w:rPr>
                <w:rFonts w:hint="eastAsia" w:cs="Times New Roman"/>
                <w:color w:val="auto"/>
                <w:sz w:val="18"/>
                <w:szCs w:val="18"/>
              </w:rPr>
              <w:t>罐区干净整洁</w:t>
            </w:r>
          </w:p>
        </w:tc>
        <w:tc>
          <w:tcPr>
            <w:tcW w:w="870" w:type="dxa"/>
            <w:vAlign w:val="center"/>
          </w:tcPr>
          <w:p w14:paraId="0ECFCA66">
            <w:pPr>
              <w:spacing w:line="240" w:lineRule="exact"/>
              <w:jc w:val="center"/>
              <w:rPr>
                <w:rFonts w:cs="Times New Roman"/>
                <w:color w:val="auto"/>
                <w:sz w:val="18"/>
                <w:szCs w:val="18"/>
              </w:rPr>
            </w:pPr>
            <w:r>
              <w:rPr>
                <w:rFonts w:hint="eastAsia" w:cs="Times New Roman"/>
                <w:color w:val="auto"/>
                <w:sz w:val="18"/>
                <w:szCs w:val="18"/>
              </w:rPr>
              <w:t>已落实</w:t>
            </w:r>
          </w:p>
        </w:tc>
      </w:tr>
      <w:tr w14:paraId="39F7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11D8EC5">
            <w:pPr>
              <w:spacing w:line="240" w:lineRule="exact"/>
              <w:jc w:val="center"/>
              <w:rPr>
                <w:color w:val="auto"/>
                <w:sz w:val="18"/>
                <w:szCs w:val="18"/>
              </w:rPr>
            </w:pPr>
          </w:p>
        </w:tc>
        <w:tc>
          <w:tcPr>
            <w:tcW w:w="5930" w:type="dxa"/>
            <w:vAlign w:val="center"/>
          </w:tcPr>
          <w:p w14:paraId="6E7D4F8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禁止明火作业，禁止吸烟和使用手机等可能产生火花的物品。使用防爆型电器设备。</w:t>
            </w:r>
          </w:p>
        </w:tc>
        <w:tc>
          <w:tcPr>
            <w:tcW w:w="1580" w:type="dxa"/>
            <w:vAlign w:val="center"/>
          </w:tcPr>
          <w:p w14:paraId="4B801F7D">
            <w:pPr>
              <w:spacing w:line="240" w:lineRule="exact"/>
              <w:jc w:val="center"/>
              <w:rPr>
                <w:rFonts w:cs="Times New Roman"/>
                <w:color w:val="auto"/>
                <w:sz w:val="18"/>
                <w:szCs w:val="18"/>
              </w:rPr>
            </w:pPr>
            <w:r>
              <w:rPr>
                <w:rFonts w:hint="eastAsia" w:cs="Times New Roman"/>
                <w:color w:val="auto"/>
                <w:sz w:val="18"/>
                <w:szCs w:val="18"/>
              </w:rPr>
              <w:t>现场禁止明火作业，禁止吸烟和使用手机</w:t>
            </w:r>
          </w:p>
        </w:tc>
        <w:tc>
          <w:tcPr>
            <w:tcW w:w="870" w:type="dxa"/>
            <w:vAlign w:val="center"/>
          </w:tcPr>
          <w:p w14:paraId="7050EB95">
            <w:pPr>
              <w:spacing w:line="240" w:lineRule="exact"/>
              <w:jc w:val="center"/>
              <w:rPr>
                <w:rFonts w:cs="Times New Roman"/>
                <w:color w:val="auto"/>
                <w:sz w:val="18"/>
                <w:szCs w:val="18"/>
              </w:rPr>
            </w:pPr>
            <w:r>
              <w:rPr>
                <w:rFonts w:hint="eastAsia" w:cs="Times New Roman"/>
                <w:color w:val="auto"/>
                <w:sz w:val="18"/>
                <w:szCs w:val="18"/>
              </w:rPr>
              <w:t>已落实</w:t>
            </w:r>
          </w:p>
        </w:tc>
      </w:tr>
      <w:tr w14:paraId="012E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62BAD22">
            <w:pPr>
              <w:spacing w:line="240" w:lineRule="exact"/>
              <w:jc w:val="center"/>
              <w:rPr>
                <w:color w:val="auto"/>
                <w:sz w:val="18"/>
                <w:szCs w:val="18"/>
              </w:rPr>
            </w:pPr>
          </w:p>
        </w:tc>
        <w:tc>
          <w:tcPr>
            <w:tcW w:w="5930" w:type="dxa"/>
            <w:vAlign w:val="center"/>
          </w:tcPr>
          <w:p w14:paraId="6FA46455">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控制油流速度，减少静电产生。确保清罐的输油管插入容器底部，避免油流冲击和旋转搅动。</w:t>
            </w:r>
          </w:p>
        </w:tc>
        <w:tc>
          <w:tcPr>
            <w:tcW w:w="1580" w:type="dxa"/>
            <w:vAlign w:val="center"/>
          </w:tcPr>
          <w:p w14:paraId="1C3FE560">
            <w:pPr>
              <w:spacing w:line="240" w:lineRule="exact"/>
              <w:jc w:val="center"/>
              <w:rPr>
                <w:rFonts w:cs="Times New Roman"/>
                <w:color w:val="auto"/>
                <w:sz w:val="18"/>
                <w:szCs w:val="18"/>
              </w:rPr>
            </w:pPr>
            <w:r>
              <w:rPr>
                <w:rFonts w:hint="eastAsia" w:cs="Times New Roman"/>
                <w:color w:val="auto"/>
                <w:sz w:val="18"/>
                <w:szCs w:val="18"/>
              </w:rPr>
              <w:t>控制流速</w:t>
            </w:r>
          </w:p>
        </w:tc>
        <w:tc>
          <w:tcPr>
            <w:tcW w:w="870" w:type="dxa"/>
            <w:vAlign w:val="center"/>
          </w:tcPr>
          <w:p w14:paraId="7340D978">
            <w:pPr>
              <w:spacing w:line="240" w:lineRule="exact"/>
              <w:jc w:val="center"/>
              <w:rPr>
                <w:rFonts w:cs="Times New Roman"/>
                <w:color w:val="auto"/>
                <w:sz w:val="18"/>
                <w:szCs w:val="18"/>
              </w:rPr>
            </w:pPr>
            <w:r>
              <w:rPr>
                <w:rFonts w:hint="eastAsia" w:cs="Times New Roman"/>
                <w:color w:val="auto"/>
                <w:sz w:val="18"/>
                <w:szCs w:val="18"/>
              </w:rPr>
              <w:t>已落实</w:t>
            </w:r>
          </w:p>
        </w:tc>
      </w:tr>
      <w:tr w14:paraId="2559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801A754">
            <w:pPr>
              <w:spacing w:line="240" w:lineRule="exact"/>
              <w:jc w:val="center"/>
              <w:rPr>
                <w:color w:val="auto"/>
                <w:sz w:val="18"/>
                <w:szCs w:val="18"/>
              </w:rPr>
            </w:pPr>
          </w:p>
        </w:tc>
        <w:tc>
          <w:tcPr>
            <w:tcW w:w="5930" w:type="dxa"/>
            <w:vAlign w:val="center"/>
          </w:tcPr>
          <w:p w14:paraId="1F3DD68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使用防爆工具和设备</w:t>
            </w:r>
          </w:p>
        </w:tc>
        <w:tc>
          <w:tcPr>
            <w:tcW w:w="1580" w:type="dxa"/>
            <w:vAlign w:val="center"/>
          </w:tcPr>
          <w:p w14:paraId="1C4E88C8">
            <w:pPr>
              <w:spacing w:line="240" w:lineRule="exact"/>
              <w:jc w:val="center"/>
              <w:rPr>
                <w:rFonts w:cs="Times New Roman"/>
                <w:color w:val="auto"/>
                <w:sz w:val="18"/>
                <w:szCs w:val="18"/>
              </w:rPr>
            </w:pPr>
            <w:r>
              <w:rPr>
                <w:rFonts w:hint="eastAsia" w:cs="Times New Roman"/>
                <w:color w:val="auto"/>
                <w:sz w:val="18"/>
                <w:szCs w:val="18"/>
              </w:rPr>
              <w:t>使用防爆工具及设备</w:t>
            </w:r>
          </w:p>
        </w:tc>
        <w:tc>
          <w:tcPr>
            <w:tcW w:w="870" w:type="dxa"/>
            <w:vAlign w:val="center"/>
          </w:tcPr>
          <w:p w14:paraId="64234BA1">
            <w:pPr>
              <w:spacing w:line="240" w:lineRule="exact"/>
              <w:jc w:val="center"/>
              <w:rPr>
                <w:rFonts w:cs="Times New Roman"/>
                <w:color w:val="auto"/>
                <w:sz w:val="18"/>
                <w:szCs w:val="18"/>
              </w:rPr>
            </w:pPr>
            <w:r>
              <w:rPr>
                <w:rFonts w:hint="eastAsia" w:cs="Times New Roman"/>
                <w:color w:val="auto"/>
                <w:sz w:val="18"/>
                <w:szCs w:val="18"/>
              </w:rPr>
              <w:t>已落实</w:t>
            </w:r>
          </w:p>
        </w:tc>
      </w:tr>
      <w:tr w14:paraId="2F6F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C5DAF45">
            <w:pPr>
              <w:spacing w:line="240" w:lineRule="exact"/>
              <w:jc w:val="center"/>
              <w:rPr>
                <w:color w:val="auto"/>
                <w:sz w:val="18"/>
                <w:szCs w:val="18"/>
              </w:rPr>
            </w:pPr>
          </w:p>
        </w:tc>
        <w:tc>
          <w:tcPr>
            <w:tcW w:w="5930" w:type="dxa"/>
            <w:vAlign w:val="center"/>
          </w:tcPr>
          <w:p w14:paraId="0485C628">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进行清罐作业时，必须进行充分通风，安装风向标以便及时发现有害气体</w:t>
            </w:r>
          </w:p>
        </w:tc>
        <w:tc>
          <w:tcPr>
            <w:tcW w:w="1580" w:type="dxa"/>
            <w:vAlign w:val="center"/>
          </w:tcPr>
          <w:p w14:paraId="66CA4153">
            <w:pPr>
              <w:spacing w:line="240" w:lineRule="exact"/>
              <w:jc w:val="center"/>
              <w:rPr>
                <w:rFonts w:cs="Times New Roman"/>
                <w:color w:val="auto"/>
                <w:sz w:val="18"/>
                <w:szCs w:val="18"/>
              </w:rPr>
            </w:pPr>
            <w:r>
              <w:rPr>
                <w:rFonts w:hint="eastAsia" w:cs="Times New Roman"/>
                <w:color w:val="auto"/>
                <w:sz w:val="18"/>
                <w:szCs w:val="18"/>
              </w:rPr>
              <w:t>操作规程有相应的要求</w:t>
            </w:r>
          </w:p>
        </w:tc>
        <w:tc>
          <w:tcPr>
            <w:tcW w:w="870" w:type="dxa"/>
            <w:vAlign w:val="center"/>
          </w:tcPr>
          <w:p w14:paraId="564CD0A6">
            <w:pPr>
              <w:spacing w:line="240" w:lineRule="exact"/>
              <w:jc w:val="center"/>
              <w:rPr>
                <w:rFonts w:cs="Times New Roman"/>
                <w:color w:val="auto"/>
                <w:sz w:val="18"/>
                <w:szCs w:val="18"/>
              </w:rPr>
            </w:pPr>
            <w:r>
              <w:rPr>
                <w:rFonts w:hint="eastAsia" w:cs="Times New Roman"/>
                <w:color w:val="auto"/>
                <w:sz w:val="18"/>
                <w:szCs w:val="18"/>
              </w:rPr>
              <w:t>已落实</w:t>
            </w:r>
          </w:p>
        </w:tc>
      </w:tr>
      <w:tr w14:paraId="7805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851A510">
            <w:pPr>
              <w:spacing w:line="240" w:lineRule="exact"/>
              <w:jc w:val="center"/>
              <w:rPr>
                <w:color w:val="auto"/>
                <w:sz w:val="18"/>
                <w:szCs w:val="18"/>
              </w:rPr>
            </w:pPr>
          </w:p>
        </w:tc>
        <w:tc>
          <w:tcPr>
            <w:tcW w:w="5930" w:type="dxa"/>
            <w:vAlign w:val="center"/>
          </w:tcPr>
          <w:p w14:paraId="2CA7921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进入罐内作业时，必须佩戴隔离式呼吸面具和防护服，避免皮肤直接接触油料。</w:t>
            </w:r>
          </w:p>
        </w:tc>
        <w:tc>
          <w:tcPr>
            <w:tcW w:w="1580" w:type="dxa"/>
            <w:vAlign w:val="center"/>
          </w:tcPr>
          <w:p w14:paraId="1A9E5B1B">
            <w:pPr>
              <w:spacing w:line="240" w:lineRule="exact"/>
              <w:jc w:val="center"/>
              <w:rPr>
                <w:rFonts w:cs="Times New Roman"/>
                <w:color w:val="auto"/>
                <w:sz w:val="18"/>
                <w:szCs w:val="18"/>
              </w:rPr>
            </w:pPr>
            <w:r>
              <w:rPr>
                <w:rFonts w:hint="eastAsia" w:cs="Times New Roman"/>
                <w:color w:val="auto"/>
                <w:sz w:val="18"/>
                <w:szCs w:val="18"/>
              </w:rPr>
              <w:t>操作规程有相应的要求</w:t>
            </w:r>
          </w:p>
        </w:tc>
        <w:tc>
          <w:tcPr>
            <w:tcW w:w="870" w:type="dxa"/>
            <w:vAlign w:val="center"/>
          </w:tcPr>
          <w:p w14:paraId="4940EB0C">
            <w:pPr>
              <w:spacing w:line="240" w:lineRule="exact"/>
              <w:jc w:val="center"/>
              <w:rPr>
                <w:rFonts w:cs="Times New Roman"/>
                <w:color w:val="auto"/>
                <w:sz w:val="18"/>
                <w:szCs w:val="18"/>
              </w:rPr>
            </w:pPr>
            <w:r>
              <w:rPr>
                <w:rFonts w:hint="eastAsia" w:cs="Times New Roman"/>
                <w:color w:val="auto"/>
                <w:sz w:val="18"/>
                <w:szCs w:val="18"/>
              </w:rPr>
              <w:t>已落实</w:t>
            </w:r>
          </w:p>
        </w:tc>
      </w:tr>
      <w:tr w14:paraId="4421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8F27DBA">
            <w:pPr>
              <w:spacing w:line="240" w:lineRule="exact"/>
              <w:jc w:val="center"/>
              <w:rPr>
                <w:color w:val="auto"/>
                <w:sz w:val="18"/>
                <w:szCs w:val="18"/>
              </w:rPr>
            </w:pPr>
          </w:p>
        </w:tc>
        <w:tc>
          <w:tcPr>
            <w:tcW w:w="5930" w:type="dxa"/>
            <w:vAlign w:val="center"/>
          </w:tcPr>
          <w:p w14:paraId="2FCD9B1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进罐作业时，必须有专人监护，进罐时间不宜过长，一般为15至20分钟，并轮班作业。</w:t>
            </w:r>
          </w:p>
        </w:tc>
        <w:tc>
          <w:tcPr>
            <w:tcW w:w="1580" w:type="dxa"/>
            <w:vAlign w:val="center"/>
          </w:tcPr>
          <w:p w14:paraId="39364F21">
            <w:pPr>
              <w:spacing w:line="240" w:lineRule="exact"/>
              <w:jc w:val="center"/>
              <w:rPr>
                <w:rFonts w:cs="Times New Roman"/>
                <w:color w:val="auto"/>
                <w:sz w:val="18"/>
                <w:szCs w:val="18"/>
              </w:rPr>
            </w:pPr>
            <w:r>
              <w:rPr>
                <w:rFonts w:hint="eastAsia" w:cs="Times New Roman"/>
                <w:color w:val="auto"/>
                <w:sz w:val="18"/>
                <w:szCs w:val="18"/>
              </w:rPr>
              <w:t>操作规程有相应的要求</w:t>
            </w:r>
          </w:p>
        </w:tc>
        <w:tc>
          <w:tcPr>
            <w:tcW w:w="870" w:type="dxa"/>
            <w:vAlign w:val="center"/>
          </w:tcPr>
          <w:p w14:paraId="339E3773">
            <w:pPr>
              <w:spacing w:line="240" w:lineRule="exact"/>
              <w:jc w:val="center"/>
              <w:rPr>
                <w:rFonts w:cs="Times New Roman"/>
                <w:color w:val="auto"/>
                <w:sz w:val="18"/>
                <w:szCs w:val="18"/>
              </w:rPr>
            </w:pPr>
            <w:r>
              <w:rPr>
                <w:rFonts w:hint="eastAsia" w:cs="Times New Roman"/>
                <w:color w:val="auto"/>
                <w:sz w:val="18"/>
                <w:szCs w:val="18"/>
              </w:rPr>
              <w:t>已落实</w:t>
            </w:r>
          </w:p>
        </w:tc>
      </w:tr>
      <w:tr w14:paraId="5B36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0CE9A94C">
            <w:pPr>
              <w:spacing w:line="240" w:lineRule="exact"/>
              <w:jc w:val="center"/>
              <w:rPr>
                <w:rFonts w:cs="Times New Roman"/>
                <w:color w:val="auto"/>
                <w:sz w:val="18"/>
                <w:szCs w:val="18"/>
              </w:rPr>
            </w:pPr>
            <w:r>
              <w:rPr>
                <w:rFonts w:hint="eastAsia"/>
                <w:color w:val="auto"/>
                <w:sz w:val="18"/>
                <w:szCs w:val="18"/>
              </w:rPr>
              <w:t>4</w:t>
            </w:r>
            <w:r>
              <w:rPr>
                <w:rFonts w:hint="eastAsia" w:ascii="宋体" w:hAnsi="宋体" w:cs="宋体"/>
                <w:color w:val="auto"/>
                <w:sz w:val="18"/>
                <w:szCs w:val="18"/>
              </w:rPr>
              <w:t>）防毒措施</w:t>
            </w:r>
          </w:p>
        </w:tc>
        <w:tc>
          <w:tcPr>
            <w:tcW w:w="5930" w:type="dxa"/>
            <w:vAlign w:val="center"/>
          </w:tcPr>
          <w:p w14:paraId="031B7E3A">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加油区设计为敞开式，采用自然通风；油罐区埋地设置，油罐设置在埋地罐池内，汽油通气管分开设置，通气管管口高出地面4m，柴油设置阻火通气帽，汽油通气管设置机械呼吸阀（带阻火器）。</w:t>
            </w:r>
          </w:p>
        </w:tc>
        <w:tc>
          <w:tcPr>
            <w:tcW w:w="1580" w:type="dxa"/>
            <w:vAlign w:val="center"/>
          </w:tcPr>
          <w:p w14:paraId="44BBDF13">
            <w:pPr>
              <w:spacing w:line="240" w:lineRule="exact"/>
              <w:jc w:val="center"/>
              <w:rPr>
                <w:rFonts w:cs="Times New Roman"/>
                <w:color w:val="auto"/>
                <w:sz w:val="18"/>
                <w:szCs w:val="18"/>
              </w:rPr>
            </w:pPr>
            <w:r>
              <w:rPr>
                <w:rFonts w:hint="eastAsia" w:cs="Times New Roman"/>
                <w:color w:val="auto"/>
                <w:sz w:val="18"/>
                <w:szCs w:val="18"/>
              </w:rPr>
              <w:t>加油区自然通风，油罐埋地设置；通气管分开布置</w:t>
            </w:r>
          </w:p>
        </w:tc>
        <w:tc>
          <w:tcPr>
            <w:tcW w:w="870" w:type="dxa"/>
            <w:vAlign w:val="center"/>
          </w:tcPr>
          <w:p w14:paraId="2AA5799F">
            <w:pPr>
              <w:spacing w:line="240" w:lineRule="exact"/>
              <w:jc w:val="center"/>
              <w:rPr>
                <w:rFonts w:cs="Times New Roman"/>
                <w:color w:val="auto"/>
                <w:sz w:val="18"/>
                <w:szCs w:val="18"/>
              </w:rPr>
            </w:pPr>
            <w:r>
              <w:rPr>
                <w:rFonts w:hint="eastAsia" w:cs="Times New Roman"/>
                <w:color w:val="auto"/>
                <w:sz w:val="18"/>
                <w:szCs w:val="18"/>
              </w:rPr>
              <w:t>已落实</w:t>
            </w:r>
          </w:p>
        </w:tc>
      </w:tr>
      <w:tr w14:paraId="401A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82" w:type="dxa"/>
            <w:vMerge w:val="continue"/>
            <w:vAlign w:val="center"/>
          </w:tcPr>
          <w:p w14:paraId="0F87C678">
            <w:pPr>
              <w:spacing w:line="240" w:lineRule="exact"/>
              <w:jc w:val="center"/>
              <w:rPr>
                <w:color w:val="auto"/>
                <w:sz w:val="18"/>
                <w:szCs w:val="18"/>
              </w:rPr>
            </w:pPr>
          </w:p>
        </w:tc>
        <w:tc>
          <w:tcPr>
            <w:tcW w:w="5930" w:type="dxa"/>
            <w:vAlign w:val="center"/>
          </w:tcPr>
          <w:p w14:paraId="77EDAF4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根据汽油、柴油的健康危害特性，在本加油站站房配备相应的防护设备、急救用品，设置应急撤离通道以及风向标。站房内设置有呼吸器与防毒面具。</w:t>
            </w:r>
          </w:p>
        </w:tc>
        <w:tc>
          <w:tcPr>
            <w:tcW w:w="1580" w:type="dxa"/>
            <w:vAlign w:val="center"/>
          </w:tcPr>
          <w:p w14:paraId="72C0F07D">
            <w:pPr>
              <w:spacing w:line="240" w:lineRule="exact"/>
              <w:jc w:val="center"/>
              <w:rPr>
                <w:rFonts w:cs="宋体"/>
                <w:color w:val="auto"/>
                <w:sz w:val="18"/>
                <w:szCs w:val="18"/>
              </w:rPr>
            </w:pPr>
            <w:r>
              <w:rPr>
                <w:rFonts w:hint="eastAsia" w:cs="宋体"/>
                <w:color w:val="auto"/>
                <w:sz w:val="18"/>
                <w:szCs w:val="18"/>
              </w:rPr>
              <w:t>配备相应的防护器具</w:t>
            </w:r>
          </w:p>
        </w:tc>
        <w:tc>
          <w:tcPr>
            <w:tcW w:w="870" w:type="dxa"/>
            <w:vAlign w:val="center"/>
          </w:tcPr>
          <w:p w14:paraId="508D14AA">
            <w:pPr>
              <w:spacing w:line="240" w:lineRule="exact"/>
              <w:jc w:val="center"/>
              <w:rPr>
                <w:rFonts w:cs="宋体"/>
                <w:color w:val="auto"/>
                <w:sz w:val="18"/>
                <w:szCs w:val="18"/>
              </w:rPr>
            </w:pPr>
            <w:r>
              <w:rPr>
                <w:rFonts w:hint="eastAsia" w:cs="宋体"/>
                <w:color w:val="auto"/>
                <w:sz w:val="18"/>
                <w:szCs w:val="18"/>
              </w:rPr>
              <w:t>已落实</w:t>
            </w:r>
          </w:p>
        </w:tc>
      </w:tr>
      <w:tr w14:paraId="7C38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C638139">
            <w:pPr>
              <w:spacing w:line="240" w:lineRule="exact"/>
              <w:jc w:val="center"/>
              <w:rPr>
                <w:rFonts w:cs="Times New Roman"/>
                <w:color w:val="auto"/>
                <w:sz w:val="18"/>
                <w:szCs w:val="18"/>
              </w:rPr>
            </w:pPr>
            <w:r>
              <w:rPr>
                <w:rFonts w:hint="eastAsia"/>
                <w:color w:val="auto"/>
                <w:sz w:val="18"/>
                <w:szCs w:val="18"/>
              </w:rPr>
              <w:t>5</w:t>
            </w:r>
            <w:r>
              <w:rPr>
                <w:rFonts w:hint="eastAsia" w:ascii="宋体" w:hAnsi="宋体" w:cs="宋体"/>
                <w:color w:val="auto"/>
                <w:sz w:val="18"/>
                <w:szCs w:val="18"/>
              </w:rPr>
              <w:t>）防腐蚀</w:t>
            </w:r>
            <w:r>
              <w:rPr>
                <w:rFonts w:ascii="宋体" w:hAnsi="宋体" w:cs="宋体"/>
                <w:color w:val="auto"/>
                <w:sz w:val="18"/>
                <w:szCs w:val="18"/>
              </w:rPr>
              <w:t xml:space="preserve"> </w:t>
            </w:r>
          </w:p>
        </w:tc>
        <w:tc>
          <w:tcPr>
            <w:tcW w:w="5930" w:type="dxa"/>
            <w:vAlign w:val="center"/>
          </w:tcPr>
          <w:p w14:paraId="4D8C4BFC">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本加油站地上钢制管线、防撞弯管采用除锈后，刷环氧富锌防腐底漆（两遍）、环氧防腐面漆（两遍）进行防腐施工；埋地设置的钢制管线要求进行加强级防腐处理：除锈后先刷防锈红丹漆两遍，再用环氧沥青漆加缠玻璃布，要求总厚度达3mm。加油机出厂时均做了防腐蚀处理。储罐、管道采用双层的防腐蚀措施。</w:t>
            </w:r>
          </w:p>
        </w:tc>
        <w:tc>
          <w:tcPr>
            <w:tcW w:w="1580" w:type="dxa"/>
            <w:vAlign w:val="center"/>
          </w:tcPr>
          <w:p w14:paraId="02A313E2">
            <w:pPr>
              <w:spacing w:line="240" w:lineRule="exact"/>
              <w:jc w:val="center"/>
              <w:rPr>
                <w:rFonts w:cs="Times New Roman"/>
                <w:color w:val="auto"/>
                <w:sz w:val="18"/>
                <w:szCs w:val="18"/>
              </w:rPr>
            </w:pPr>
            <w:r>
              <w:rPr>
                <w:rFonts w:hint="eastAsia" w:cs="Times New Roman"/>
                <w:color w:val="auto"/>
                <w:sz w:val="18"/>
                <w:szCs w:val="18"/>
              </w:rPr>
              <w:t>进行相应的防腐</w:t>
            </w:r>
          </w:p>
        </w:tc>
        <w:tc>
          <w:tcPr>
            <w:tcW w:w="870" w:type="dxa"/>
            <w:vAlign w:val="center"/>
          </w:tcPr>
          <w:p w14:paraId="42772810">
            <w:pPr>
              <w:spacing w:line="240" w:lineRule="exact"/>
              <w:jc w:val="center"/>
              <w:rPr>
                <w:rFonts w:cs="Times New Roman"/>
                <w:color w:val="auto"/>
                <w:sz w:val="18"/>
                <w:szCs w:val="18"/>
              </w:rPr>
            </w:pPr>
            <w:r>
              <w:rPr>
                <w:rFonts w:hint="eastAsia" w:cs="宋体"/>
                <w:color w:val="auto"/>
                <w:sz w:val="18"/>
                <w:szCs w:val="18"/>
              </w:rPr>
              <w:t>已落实</w:t>
            </w:r>
          </w:p>
        </w:tc>
      </w:tr>
      <w:tr w14:paraId="6FBF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7B2252DF">
            <w:pPr>
              <w:spacing w:line="240" w:lineRule="exact"/>
              <w:jc w:val="center"/>
              <w:rPr>
                <w:rFonts w:cs="Times New Roman"/>
                <w:b/>
                <w:bCs/>
                <w:color w:val="auto"/>
                <w:sz w:val="18"/>
                <w:szCs w:val="18"/>
              </w:rPr>
            </w:pPr>
          </w:p>
        </w:tc>
        <w:tc>
          <w:tcPr>
            <w:tcW w:w="8380" w:type="dxa"/>
            <w:gridSpan w:val="3"/>
            <w:vAlign w:val="center"/>
          </w:tcPr>
          <w:p w14:paraId="31652D47">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.1.2 </w:t>
            </w:r>
            <w:r>
              <w:rPr>
                <w:rFonts w:hint="eastAsia" w:ascii="宋体" w:hAnsi="宋体" w:cs="宋体"/>
                <w:b/>
                <w:bCs/>
                <w:color w:val="auto"/>
                <w:sz w:val="18"/>
                <w:szCs w:val="18"/>
              </w:rPr>
              <w:t>正常工况与非正常工况下危险物料的安全控制措施</w:t>
            </w:r>
          </w:p>
        </w:tc>
      </w:tr>
      <w:tr w14:paraId="27CE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609EA382">
            <w:pPr>
              <w:spacing w:line="240" w:lineRule="exact"/>
              <w:jc w:val="center"/>
              <w:rPr>
                <w:rFonts w:cs="Times New Roman"/>
                <w:color w:val="auto"/>
                <w:sz w:val="18"/>
                <w:szCs w:val="18"/>
              </w:rPr>
            </w:pPr>
          </w:p>
        </w:tc>
        <w:tc>
          <w:tcPr>
            <w:tcW w:w="5930" w:type="dxa"/>
            <w:vAlign w:val="center"/>
          </w:tcPr>
          <w:p w14:paraId="1E672D09">
            <w:pPr>
              <w:adjustRightInd w:val="0"/>
              <w:snapToGrid w:val="0"/>
              <w:spacing w:line="240" w:lineRule="exact"/>
              <w:rPr>
                <w:rFonts w:cs="Times New Roman"/>
                <w:color w:val="auto"/>
                <w:sz w:val="18"/>
                <w:szCs w:val="18"/>
              </w:rPr>
            </w:pPr>
            <w:r>
              <w:rPr>
                <w:rFonts w:hint="eastAsia" w:ascii="宋体" w:cs="Times New Roman"/>
                <w:color w:val="auto"/>
                <w:sz w:val="18"/>
                <w:szCs w:val="18"/>
              </w:rPr>
              <w:t>油罐车卸油必须采用密闭卸油方式。每个油罐各自设置卸油管道和卸油接口。各卸油接口及油气回收接口，做明显的标识，且分阴阳快速接口（汽油为阳接口，柴油为阴接口）。卸油接口装设快速接头及密封盖。</w:t>
            </w:r>
          </w:p>
        </w:tc>
        <w:tc>
          <w:tcPr>
            <w:tcW w:w="1580" w:type="dxa"/>
            <w:vAlign w:val="center"/>
          </w:tcPr>
          <w:p w14:paraId="0E3BB490">
            <w:pPr>
              <w:spacing w:line="240" w:lineRule="exact"/>
              <w:jc w:val="center"/>
              <w:rPr>
                <w:rFonts w:cs="Times New Roman"/>
                <w:color w:val="auto"/>
                <w:sz w:val="18"/>
                <w:szCs w:val="18"/>
              </w:rPr>
            </w:pPr>
            <w:r>
              <w:rPr>
                <w:rFonts w:hint="eastAsia" w:cs="Times New Roman"/>
                <w:color w:val="auto"/>
                <w:sz w:val="18"/>
                <w:szCs w:val="18"/>
              </w:rPr>
              <w:t>密闭卸油，卸油口设有快速接头和密封盖</w:t>
            </w:r>
          </w:p>
        </w:tc>
        <w:tc>
          <w:tcPr>
            <w:tcW w:w="870" w:type="dxa"/>
            <w:vAlign w:val="center"/>
          </w:tcPr>
          <w:p w14:paraId="77FBECDA">
            <w:pPr>
              <w:spacing w:line="240" w:lineRule="exact"/>
              <w:jc w:val="center"/>
              <w:rPr>
                <w:rFonts w:cs="Times New Roman"/>
                <w:color w:val="auto"/>
                <w:sz w:val="18"/>
                <w:szCs w:val="18"/>
              </w:rPr>
            </w:pPr>
            <w:r>
              <w:rPr>
                <w:rFonts w:hint="eastAsia" w:cs="宋体"/>
                <w:color w:val="auto"/>
                <w:sz w:val="18"/>
                <w:szCs w:val="18"/>
              </w:rPr>
              <w:t>已落实</w:t>
            </w:r>
          </w:p>
        </w:tc>
      </w:tr>
      <w:tr w14:paraId="093B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DE2CC85">
            <w:pPr>
              <w:spacing w:line="240" w:lineRule="exact"/>
              <w:jc w:val="center"/>
              <w:rPr>
                <w:rFonts w:cs="Times New Roman"/>
                <w:color w:val="auto"/>
                <w:sz w:val="18"/>
                <w:szCs w:val="18"/>
              </w:rPr>
            </w:pPr>
          </w:p>
        </w:tc>
        <w:tc>
          <w:tcPr>
            <w:tcW w:w="5930" w:type="dxa"/>
            <w:vAlign w:val="center"/>
          </w:tcPr>
          <w:p w14:paraId="1B8EA959">
            <w:pPr>
              <w:adjustRightInd w:val="0"/>
              <w:snapToGrid w:val="0"/>
              <w:spacing w:line="240" w:lineRule="exact"/>
              <w:rPr>
                <w:rFonts w:cs="Times New Roman"/>
                <w:color w:val="auto"/>
                <w:sz w:val="18"/>
                <w:szCs w:val="18"/>
              </w:rPr>
            </w:pPr>
            <w:r>
              <w:rPr>
                <w:rFonts w:hint="eastAsia" w:ascii="宋体" w:cs="Times New Roman"/>
                <w:color w:val="auto"/>
                <w:sz w:val="18"/>
                <w:szCs w:val="18"/>
              </w:rPr>
              <w:t>汽油罐车向站内油罐卸油采用平衡式密闭油气回收系统，各汽油罐共用一根卸油油气回收主管，回收主管的公称直径为100mm；卸油油气回收管道的接口采用自闭式快速接头。</w:t>
            </w:r>
          </w:p>
        </w:tc>
        <w:tc>
          <w:tcPr>
            <w:tcW w:w="1580" w:type="dxa"/>
            <w:vAlign w:val="center"/>
          </w:tcPr>
          <w:p w14:paraId="6D1D2071">
            <w:pPr>
              <w:spacing w:line="240" w:lineRule="exact"/>
              <w:jc w:val="center"/>
              <w:rPr>
                <w:rFonts w:cs="Times New Roman"/>
                <w:color w:val="auto"/>
                <w:sz w:val="18"/>
                <w:szCs w:val="18"/>
              </w:rPr>
            </w:pPr>
            <w:r>
              <w:rPr>
                <w:rFonts w:hint="eastAsia" w:cs="Times New Roman"/>
                <w:color w:val="auto"/>
                <w:sz w:val="18"/>
                <w:szCs w:val="18"/>
              </w:rPr>
              <w:t>卸油、加油均设有油气回收系统，卸油油气回收主管直径DN100</w:t>
            </w:r>
          </w:p>
        </w:tc>
        <w:tc>
          <w:tcPr>
            <w:tcW w:w="870" w:type="dxa"/>
            <w:vAlign w:val="center"/>
          </w:tcPr>
          <w:p w14:paraId="2BDFDD83">
            <w:pPr>
              <w:jc w:val="left"/>
              <w:rPr>
                <w:color w:val="auto"/>
              </w:rPr>
            </w:pPr>
            <w:r>
              <w:rPr>
                <w:rFonts w:hint="eastAsia" w:cs="宋体"/>
                <w:color w:val="auto"/>
                <w:sz w:val="18"/>
                <w:szCs w:val="18"/>
              </w:rPr>
              <w:t>已落实</w:t>
            </w:r>
          </w:p>
        </w:tc>
      </w:tr>
      <w:tr w14:paraId="5B23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10CC737">
            <w:pPr>
              <w:spacing w:line="240" w:lineRule="exact"/>
              <w:jc w:val="center"/>
              <w:rPr>
                <w:rFonts w:cs="Times New Roman"/>
                <w:color w:val="auto"/>
                <w:sz w:val="18"/>
                <w:szCs w:val="18"/>
              </w:rPr>
            </w:pPr>
          </w:p>
        </w:tc>
        <w:tc>
          <w:tcPr>
            <w:tcW w:w="5930" w:type="dxa"/>
            <w:vAlign w:val="center"/>
          </w:tcPr>
          <w:p w14:paraId="6388B93F">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本站采用油罐装设潜油泵的一泵供多机</w:t>
            </w:r>
            <w:r>
              <w:rPr>
                <w:rFonts w:hint="eastAsia" w:ascii="宋体" w:cs="Times New Roman"/>
                <w:color w:val="auto"/>
                <w:sz w:val="18"/>
                <w:szCs w:val="18"/>
                <w:lang w:eastAsia="zh-CN"/>
              </w:rPr>
              <w:t>（</w:t>
            </w:r>
            <w:r>
              <w:rPr>
                <w:rFonts w:hint="eastAsia" w:ascii="宋体" w:cs="Times New Roman"/>
                <w:color w:val="auto"/>
                <w:sz w:val="18"/>
                <w:szCs w:val="18"/>
              </w:rPr>
              <w:t>枪</w:t>
            </w:r>
            <w:r>
              <w:rPr>
                <w:rFonts w:hint="eastAsia" w:ascii="宋体" w:cs="Times New Roman"/>
                <w:color w:val="auto"/>
                <w:sz w:val="18"/>
                <w:szCs w:val="18"/>
                <w:lang w:eastAsia="zh-CN"/>
              </w:rPr>
              <w:t>）</w:t>
            </w:r>
            <w:r>
              <w:rPr>
                <w:rFonts w:hint="eastAsia" w:ascii="宋体" w:cs="Times New Roman"/>
                <w:color w:val="auto"/>
                <w:sz w:val="18"/>
                <w:szCs w:val="18"/>
              </w:rPr>
              <w:t>的加油工艺。为了防止加油过程错加油，加油机上的放枪位设置油品文字标识和语音提示，加油机应采用自封式加油枪，汽油加油枪的流量不大于50L/min。防止油品泄漏。</w:t>
            </w:r>
          </w:p>
        </w:tc>
        <w:tc>
          <w:tcPr>
            <w:tcW w:w="1580" w:type="dxa"/>
            <w:vAlign w:val="center"/>
          </w:tcPr>
          <w:p w14:paraId="15B51911">
            <w:pPr>
              <w:spacing w:line="240" w:lineRule="exact"/>
              <w:jc w:val="center"/>
              <w:rPr>
                <w:rFonts w:cs="Times New Roman"/>
                <w:color w:val="auto"/>
                <w:sz w:val="18"/>
                <w:szCs w:val="18"/>
              </w:rPr>
            </w:pPr>
            <w:r>
              <w:rPr>
                <w:rFonts w:hint="eastAsia" w:cs="Times New Roman"/>
                <w:color w:val="auto"/>
                <w:sz w:val="18"/>
                <w:szCs w:val="18"/>
              </w:rPr>
              <w:t>一泵供多枪</w:t>
            </w:r>
          </w:p>
        </w:tc>
        <w:tc>
          <w:tcPr>
            <w:tcW w:w="870" w:type="dxa"/>
            <w:vAlign w:val="center"/>
          </w:tcPr>
          <w:p w14:paraId="50171E5C">
            <w:pPr>
              <w:spacing w:line="240" w:lineRule="exact"/>
              <w:jc w:val="center"/>
              <w:rPr>
                <w:rFonts w:cs="Times New Roman"/>
                <w:color w:val="auto"/>
                <w:sz w:val="18"/>
                <w:szCs w:val="18"/>
              </w:rPr>
            </w:pPr>
            <w:r>
              <w:rPr>
                <w:rFonts w:hint="eastAsia" w:cs="Times New Roman"/>
                <w:color w:val="auto"/>
                <w:sz w:val="18"/>
                <w:szCs w:val="18"/>
              </w:rPr>
              <w:t>已落实</w:t>
            </w:r>
          </w:p>
        </w:tc>
      </w:tr>
      <w:tr w14:paraId="22D0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1386A3E">
            <w:pPr>
              <w:spacing w:line="240" w:lineRule="exact"/>
              <w:jc w:val="center"/>
              <w:rPr>
                <w:rFonts w:cs="Times New Roman"/>
                <w:color w:val="auto"/>
                <w:sz w:val="18"/>
                <w:szCs w:val="18"/>
              </w:rPr>
            </w:pPr>
          </w:p>
        </w:tc>
        <w:tc>
          <w:tcPr>
            <w:tcW w:w="5930" w:type="dxa"/>
            <w:vAlign w:val="center"/>
          </w:tcPr>
          <w:p w14:paraId="378A116D">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本加油站工艺装置按照规范要求设计有液位、卸油防溢阀等监控和报警装置</w:t>
            </w:r>
          </w:p>
        </w:tc>
        <w:tc>
          <w:tcPr>
            <w:tcW w:w="1580" w:type="dxa"/>
            <w:vAlign w:val="center"/>
          </w:tcPr>
          <w:p w14:paraId="1A94AB97">
            <w:pPr>
              <w:spacing w:line="240" w:lineRule="exact"/>
              <w:jc w:val="center"/>
              <w:rPr>
                <w:rFonts w:cs="Times New Roman"/>
                <w:color w:val="auto"/>
                <w:sz w:val="18"/>
                <w:szCs w:val="18"/>
              </w:rPr>
            </w:pPr>
            <w:r>
              <w:rPr>
                <w:rFonts w:hint="eastAsia" w:cs="Times New Roman"/>
                <w:color w:val="auto"/>
                <w:sz w:val="18"/>
                <w:szCs w:val="18"/>
              </w:rPr>
              <w:t>按要求设置</w:t>
            </w:r>
          </w:p>
        </w:tc>
        <w:tc>
          <w:tcPr>
            <w:tcW w:w="870" w:type="dxa"/>
            <w:vAlign w:val="center"/>
          </w:tcPr>
          <w:p w14:paraId="0920FCD3">
            <w:pPr>
              <w:spacing w:line="240" w:lineRule="exact"/>
              <w:jc w:val="center"/>
              <w:rPr>
                <w:rFonts w:cs="Times New Roman"/>
                <w:color w:val="auto"/>
                <w:sz w:val="18"/>
                <w:szCs w:val="18"/>
              </w:rPr>
            </w:pPr>
            <w:r>
              <w:rPr>
                <w:rFonts w:hint="eastAsia" w:cs="Times New Roman"/>
                <w:color w:val="auto"/>
                <w:sz w:val="18"/>
                <w:szCs w:val="18"/>
              </w:rPr>
              <w:t>已落实</w:t>
            </w:r>
          </w:p>
        </w:tc>
      </w:tr>
      <w:tr w14:paraId="11C6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6AE8A26">
            <w:pPr>
              <w:spacing w:line="240" w:lineRule="exact"/>
              <w:jc w:val="center"/>
              <w:rPr>
                <w:rFonts w:cs="Times New Roman"/>
                <w:color w:val="auto"/>
                <w:sz w:val="18"/>
                <w:szCs w:val="18"/>
              </w:rPr>
            </w:pPr>
          </w:p>
        </w:tc>
        <w:tc>
          <w:tcPr>
            <w:tcW w:w="5930" w:type="dxa"/>
            <w:vAlign w:val="center"/>
          </w:tcPr>
          <w:p w14:paraId="01C383B5">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汽油罐的通气管管口装设阻火通气帽和机械呼吸阀，机械呼吸阀的工作正压为2kPa~3kPa，工作负压为1.5kPa~2kPa。</w:t>
            </w:r>
          </w:p>
        </w:tc>
        <w:tc>
          <w:tcPr>
            <w:tcW w:w="1580" w:type="dxa"/>
            <w:vAlign w:val="center"/>
          </w:tcPr>
          <w:p w14:paraId="73FDF8D3">
            <w:pPr>
              <w:spacing w:line="240" w:lineRule="exact"/>
              <w:jc w:val="center"/>
              <w:rPr>
                <w:rFonts w:cs="Times New Roman"/>
                <w:color w:val="auto"/>
                <w:sz w:val="18"/>
                <w:szCs w:val="18"/>
              </w:rPr>
            </w:pPr>
            <w:r>
              <w:rPr>
                <w:rFonts w:hint="eastAsia" w:ascii="宋体" w:cs="Times New Roman"/>
                <w:color w:val="auto"/>
                <w:sz w:val="18"/>
                <w:szCs w:val="18"/>
              </w:rPr>
              <w:t>设阻火通气帽和机械呼吸阀</w:t>
            </w:r>
          </w:p>
        </w:tc>
        <w:tc>
          <w:tcPr>
            <w:tcW w:w="870" w:type="dxa"/>
            <w:vAlign w:val="center"/>
          </w:tcPr>
          <w:p w14:paraId="18C95918">
            <w:pPr>
              <w:spacing w:line="240" w:lineRule="exact"/>
              <w:jc w:val="center"/>
              <w:rPr>
                <w:rFonts w:cs="Times New Roman"/>
                <w:color w:val="auto"/>
                <w:sz w:val="18"/>
                <w:szCs w:val="18"/>
              </w:rPr>
            </w:pPr>
            <w:r>
              <w:rPr>
                <w:rFonts w:hint="eastAsia" w:cs="Times New Roman"/>
                <w:color w:val="auto"/>
                <w:sz w:val="18"/>
                <w:szCs w:val="18"/>
              </w:rPr>
              <w:t>已落实</w:t>
            </w:r>
          </w:p>
        </w:tc>
      </w:tr>
      <w:tr w14:paraId="1B35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81E2C78">
            <w:pPr>
              <w:spacing w:line="240" w:lineRule="exact"/>
              <w:jc w:val="center"/>
              <w:rPr>
                <w:rFonts w:cs="Times New Roman"/>
                <w:color w:val="auto"/>
                <w:sz w:val="18"/>
                <w:szCs w:val="18"/>
              </w:rPr>
            </w:pPr>
          </w:p>
        </w:tc>
        <w:tc>
          <w:tcPr>
            <w:tcW w:w="5930" w:type="dxa"/>
            <w:vAlign w:val="center"/>
          </w:tcPr>
          <w:p w14:paraId="0E496BC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卸油管道、卸油油气回收管道、加油油气回收管道和油罐通气管横管，均坡向埋地油罐。卸油管道的坡度不小于2‰，卸油油气回收管道、加油油气回收管道和油罐通气管横管的坡度，不小于1%</w:t>
            </w:r>
          </w:p>
        </w:tc>
        <w:tc>
          <w:tcPr>
            <w:tcW w:w="1580" w:type="dxa"/>
            <w:vAlign w:val="center"/>
          </w:tcPr>
          <w:p w14:paraId="1B1061E2">
            <w:pPr>
              <w:spacing w:line="240" w:lineRule="exact"/>
              <w:jc w:val="center"/>
              <w:rPr>
                <w:rFonts w:cs="Times New Roman"/>
                <w:color w:val="auto"/>
                <w:sz w:val="18"/>
                <w:szCs w:val="18"/>
              </w:rPr>
            </w:pPr>
            <w:r>
              <w:rPr>
                <w:rFonts w:hint="eastAsia" w:ascii="宋体" w:cs="Times New Roman"/>
                <w:color w:val="auto"/>
                <w:sz w:val="18"/>
                <w:szCs w:val="18"/>
              </w:rPr>
              <w:t>坡向埋地油罐</w:t>
            </w:r>
          </w:p>
        </w:tc>
        <w:tc>
          <w:tcPr>
            <w:tcW w:w="870" w:type="dxa"/>
            <w:vAlign w:val="center"/>
          </w:tcPr>
          <w:p w14:paraId="189B73C3">
            <w:pPr>
              <w:spacing w:line="240" w:lineRule="exact"/>
              <w:jc w:val="center"/>
              <w:rPr>
                <w:rFonts w:cs="Times New Roman"/>
                <w:color w:val="auto"/>
                <w:sz w:val="18"/>
                <w:szCs w:val="18"/>
              </w:rPr>
            </w:pPr>
            <w:r>
              <w:rPr>
                <w:rFonts w:hint="eastAsia" w:cs="Times New Roman"/>
                <w:color w:val="auto"/>
                <w:sz w:val="18"/>
                <w:szCs w:val="18"/>
              </w:rPr>
              <w:t>已落实</w:t>
            </w:r>
          </w:p>
        </w:tc>
      </w:tr>
      <w:tr w14:paraId="246F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B1262E6">
            <w:pPr>
              <w:spacing w:line="240" w:lineRule="exact"/>
              <w:jc w:val="center"/>
              <w:rPr>
                <w:rFonts w:cs="Times New Roman"/>
                <w:color w:val="auto"/>
                <w:sz w:val="18"/>
                <w:szCs w:val="18"/>
              </w:rPr>
            </w:pPr>
          </w:p>
        </w:tc>
        <w:tc>
          <w:tcPr>
            <w:tcW w:w="5930" w:type="dxa"/>
            <w:vAlign w:val="center"/>
          </w:tcPr>
          <w:p w14:paraId="2DC0C20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汽油罐车至站内油罐埋地卸油管道的埋设深度设置为0.4-1.0m，油罐至加油机埋地输油管道的埋设深度设置为0.4-1.0m</w:t>
            </w:r>
          </w:p>
        </w:tc>
        <w:tc>
          <w:tcPr>
            <w:tcW w:w="1580" w:type="dxa"/>
            <w:vAlign w:val="center"/>
          </w:tcPr>
          <w:p w14:paraId="328F2304">
            <w:pPr>
              <w:spacing w:line="240" w:lineRule="exact"/>
              <w:jc w:val="center"/>
              <w:rPr>
                <w:rFonts w:cs="Times New Roman"/>
                <w:color w:val="auto"/>
                <w:sz w:val="18"/>
                <w:szCs w:val="18"/>
              </w:rPr>
            </w:pPr>
            <w:r>
              <w:rPr>
                <w:rFonts w:hint="eastAsia" w:cs="Times New Roman"/>
                <w:color w:val="auto"/>
                <w:sz w:val="18"/>
                <w:szCs w:val="18"/>
              </w:rPr>
              <w:t>按要求进行埋深</w:t>
            </w:r>
          </w:p>
        </w:tc>
        <w:tc>
          <w:tcPr>
            <w:tcW w:w="870" w:type="dxa"/>
            <w:vAlign w:val="center"/>
          </w:tcPr>
          <w:p w14:paraId="577A6682">
            <w:pPr>
              <w:spacing w:line="240" w:lineRule="exact"/>
              <w:jc w:val="center"/>
              <w:rPr>
                <w:rFonts w:cs="Times New Roman"/>
                <w:color w:val="auto"/>
                <w:sz w:val="18"/>
                <w:szCs w:val="18"/>
              </w:rPr>
            </w:pPr>
            <w:r>
              <w:rPr>
                <w:rFonts w:hint="eastAsia" w:cs="Times New Roman"/>
                <w:color w:val="auto"/>
                <w:sz w:val="18"/>
                <w:szCs w:val="18"/>
              </w:rPr>
              <w:t>已落实</w:t>
            </w:r>
          </w:p>
        </w:tc>
      </w:tr>
      <w:tr w14:paraId="6DAA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33686D7">
            <w:pPr>
              <w:spacing w:line="240" w:lineRule="exact"/>
              <w:jc w:val="center"/>
              <w:rPr>
                <w:rFonts w:cs="Times New Roman"/>
                <w:color w:val="auto"/>
                <w:sz w:val="18"/>
                <w:szCs w:val="18"/>
              </w:rPr>
            </w:pPr>
          </w:p>
        </w:tc>
        <w:tc>
          <w:tcPr>
            <w:tcW w:w="5930" w:type="dxa"/>
            <w:vAlign w:val="center"/>
          </w:tcPr>
          <w:p w14:paraId="5DF8AF30">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埋地油罐（SF双层罐，Φ2.6×6m，V=30m³）采用内钢外玻璃纤维增强塑料双层油罐进行防渗，其内层钢制罐体的厚度不小于7mm，封头不小于8mm，外层玻璃纤维增强塑料的外层厚度不小于5mm，封头不小于6mm，并且内外层之间留有泄漏检测间隙，采购具有相应资质的单位生产的合格产品。</w:t>
            </w:r>
          </w:p>
        </w:tc>
        <w:tc>
          <w:tcPr>
            <w:tcW w:w="1580" w:type="dxa"/>
            <w:vAlign w:val="center"/>
          </w:tcPr>
          <w:p w14:paraId="03C63DBD">
            <w:pPr>
              <w:spacing w:line="240" w:lineRule="exact"/>
              <w:jc w:val="center"/>
              <w:rPr>
                <w:rFonts w:cs="Times New Roman"/>
                <w:color w:val="auto"/>
                <w:sz w:val="18"/>
                <w:szCs w:val="18"/>
              </w:rPr>
            </w:pPr>
            <w:r>
              <w:rPr>
                <w:rFonts w:hint="eastAsia" w:cs="Times New Roman"/>
                <w:color w:val="auto"/>
                <w:sz w:val="18"/>
                <w:szCs w:val="18"/>
              </w:rPr>
              <w:t>SF双层储罐</w:t>
            </w:r>
          </w:p>
        </w:tc>
        <w:tc>
          <w:tcPr>
            <w:tcW w:w="870" w:type="dxa"/>
            <w:vAlign w:val="center"/>
          </w:tcPr>
          <w:p w14:paraId="6A418550">
            <w:pPr>
              <w:spacing w:line="240" w:lineRule="exact"/>
              <w:jc w:val="center"/>
              <w:rPr>
                <w:rFonts w:cs="Times New Roman"/>
                <w:color w:val="auto"/>
                <w:sz w:val="18"/>
                <w:szCs w:val="18"/>
              </w:rPr>
            </w:pPr>
            <w:r>
              <w:rPr>
                <w:rFonts w:hint="eastAsia" w:cs="Times New Roman"/>
                <w:color w:val="auto"/>
                <w:sz w:val="18"/>
                <w:szCs w:val="18"/>
              </w:rPr>
              <w:t>已落实</w:t>
            </w:r>
          </w:p>
        </w:tc>
      </w:tr>
      <w:tr w14:paraId="07CB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DB6972D">
            <w:pPr>
              <w:spacing w:line="240" w:lineRule="exact"/>
              <w:jc w:val="center"/>
              <w:rPr>
                <w:rFonts w:cs="Times New Roman"/>
                <w:color w:val="auto"/>
                <w:sz w:val="18"/>
                <w:szCs w:val="18"/>
              </w:rPr>
            </w:pPr>
          </w:p>
        </w:tc>
        <w:tc>
          <w:tcPr>
            <w:tcW w:w="5930" w:type="dxa"/>
            <w:vAlign w:val="center"/>
          </w:tcPr>
          <w:p w14:paraId="5306FD3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站区工艺管道系统设置卸油和加油</w:t>
            </w:r>
            <w:r>
              <w:rPr>
                <w:rFonts w:hint="eastAsia" w:ascii="宋体" w:cs="Times New Roman"/>
                <w:color w:val="auto"/>
                <w:sz w:val="18"/>
                <w:szCs w:val="18"/>
                <w:lang w:eastAsia="zh-CN"/>
              </w:rPr>
              <w:t>油气</w:t>
            </w:r>
            <w:r>
              <w:rPr>
                <w:rFonts w:hint="eastAsia" w:ascii="宋体" w:cs="Times New Roman"/>
                <w:color w:val="auto"/>
                <w:sz w:val="18"/>
                <w:szCs w:val="18"/>
              </w:rPr>
              <w:t>回收系统，以达到环保要求</w:t>
            </w:r>
          </w:p>
        </w:tc>
        <w:tc>
          <w:tcPr>
            <w:tcW w:w="1580" w:type="dxa"/>
            <w:vAlign w:val="center"/>
          </w:tcPr>
          <w:p w14:paraId="55ED6EBC">
            <w:pPr>
              <w:spacing w:line="240" w:lineRule="exact"/>
              <w:jc w:val="center"/>
              <w:rPr>
                <w:rFonts w:cs="Times New Roman"/>
                <w:color w:val="auto"/>
                <w:sz w:val="18"/>
                <w:szCs w:val="18"/>
              </w:rPr>
            </w:pPr>
            <w:r>
              <w:rPr>
                <w:rFonts w:hint="eastAsia" w:cs="Times New Roman"/>
                <w:color w:val="auto"/>
                <w:sz w:val="18"/>
                <w:szCs w:val="18"/>
              </w:rPr>
              <w:t>设有油气回收系统</w:t>
            </w:r>
          </w:p>
        </w:tc>
        <w:tc>
          <w:tcPr>
            <w:tcW w:w="870" w:type="dxa"/>
            <w:vAlign w:val="center"/>
          </w:tcPr>
          <w:p w14:paraId="7711F0D4">
            <w:pPr>
              <w:spacing w:line="240" w:lineRule="exact"/>
              <w:jc w:val="center"/>
              <w:rPr>
                <w:rFonts w:cs="Times New Roman"/>
                <w:color w:val="auto"/>
                <w:sz w:val="18"/>
                <w:szCs w:val="18"/>
              </w:rPr>
            </w:pPr>
            <w:r>
              <w:rPr>
                <w:rFonts w:hint="eastAsia" w:cs="Times New Roman"/>
                <w:color w:val="auto"/>
                <w:sz w:val="18"/>
                <w:szCs w:val="18"/>
              </w:rPr>
              <w:t>已落实</w:t>
            </w:r>
          </w:p>
        </w:tc>
      </w:tr>
      <w:tr w14:paraId="1DE6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EB11FFD">
            <w:pPr>
              <w:spacing w:line="240" w:lineRule="exact"/>
              <w:jc w:val="center"/>
              <w:rPr>
                <w:rFonts w:cs="Times New Roman"/>
                <w:color w:val="auto"/>
                <w:sz w:val="18"/>
                <w:szCs w:val="18"/>
              </w:rPr>
            </w:pPr>
          </w:p>
        </w:tc>
        <w:tc>
          <w:tcPr>
            <w:tcW w:w="5930" w:type="dxa"/>
            <w:vAlign w:val="center"/>
          </w:tcPr>
          <w:p w14:paraId="67616CB8">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在站内设置防雷、防静电设施，设备、管道必须按照《石油化工静电接地设计规范》SH/T3097-2017进行静电接地</w:t>
            </w:r>
          </w:p>
        </w:tc>
        <w:tc>
          <w:tcPr>
            <w:tcW w:w="1580" w:type="dxa"/>
            <w:vAlign w:val="center"/>
          </w:tcPr>
          <w:p w14:paraId="78150419">
            <w:pPr>
              <w:spacing w:line="240" w:lineRule="exact"/>
              <w:jc w:val="center"/>
              <w:rPr>
                <w:rFonts w:cs="Times New Roman"/>
                <w:color w:val="auto"/>
                <w:sz w:val="18"/>
                <w:szCs w:val="18"/>
              </w:rPr>
            </w:pPr>
            <w:r>
              <w:rPr>
                <w:rFonts w:hint="eastAsia" w:cs="Times New Roman"/>
                <w:color w:val="auto"/>
                <w:sz w:val="18"/>
                <w:szCs w:val="18"/>
              </w:rPr>
              <w:t>进行静电接地</w:t>
            </w:r>
          </w:p>
        </w:tc>
        <w:tc>
          <w:tcPr>
            <w:tcW w:w="870" w:type="dxa"/>
            <w:vAlign w:val="center"/>
          </w:tcPr>
          <w:p w14:paraId="0701132C">
            <w:pPr>
              <w:spacing w:line="240" w:lineRule="exact"/>
              <w:jc w:val="center"/>
              <w:rPr>
                <w:rFonts w:cs="Times New Roman"/>
                <w:color w:val="auto"/>
                <w:sz w:val="18"/>
                <w:szCs w:val="18"/>
              </w:rPr>
            </w:pPr>
            <w:r>
              <w:rPr>
                <w:rFonts w:hint="eastAsia" w:cs="Times New Roman"/>
                <w:color w:val="auto"/>
                <w:sz w:val="18"/>
                <w:szCs w:val="18"/>
              </w:rPr>
              <w:t>已落实</w:t>
            </w:r>
          </w:p>
        </w:tc>
      </w:tr>
      <w:tr w14:paraId="1B73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04F2DA6">
            <w:pPr>
              <w:spacing w:line="240" w:lineRule="exact"/>
              <w:jc w:val="center"/>
              <w:rPr>
                <w:rFonts w:cs="Times New Roman"/>
                <w:color w:val="auto"/>
                <w:sz w:val="18"/>
                <w:szCs w:val="18"/>
              </w:rPr>
            </w:pPr>
          </w:p>
        </w:tc>
        <w:tc>
          <w:tcPr>
            <w:tcW w:w="5930" w:type="dxa"/>
            <w:vAlign w:val="center"/>
          </w:tcPr>
          <w:p w14:paraId="765562B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采用自封式加油机枪，枪身设计的自封装置能够确保在容器加满时自动关闭油枪，防止介质外溢。枪托部位安装的定位片，可实现流量呈2-3档分布。进油口连接螺纹可根据需要加工成多种标准，方便顾客选择与使用。铝合金枪身具有良好的导电性可及时安全地消除静电。具备姿态控制性能的加油枪在其供油状态下当枪身发生异常偏转时便能够快速地闭锁油枪，以确保操作安全，减少发生火灾的可能性和危险性。</w:t>
            </w:r>
          </w:p>
        </w:tc>
        <w:tc>
          <w:tcPr>
            <w:tcW w:w="1580" w:type="dxa"/>
            <w:vAlign w:val="center"/>
          </w:tcPr>
          <w:p w14:paraId="78CBBE4C">
            <w:pPr>
              <w:spacing w:line="240" w:lineRule="exact"/>
              <w:jc w:val="center"/>
              <w:rPr>
                <w:rFonts w:cs="Times New Roman"/>
                <w:color w:val="auto"/>
                <w:sz w:val="18"/>
                <w:szCs w:val="18"/>
              </w:rPr>
            </w:pPr>
            <w:r>
              <w:rPr>
                <w:rFonts w:hint="eastAsia" w:cs="Times New Roman"/>
                <w:color w:val="auto"/>
                <w:sz w:val="18"/>
                <w:szCs w:val="18"/>
              </w:rPr>
              <w:t>自封式加油枪</w:t>
            </w:r>
          </w:p>
        </w:tc>
        <w:tc>
          <w:tcPr>
            <w:tcW w:w="870" w:type="dxa"/>
            <w:vAlign w:val="center"/>
          </w:tcPr>
          <w:p w14:paraId="19875181">
            <w:pPr>
              <w:spacing w:line="240" w:lineRule="exact"/>
              <w:jc w:val="center"/>
              <w:rPr>
                <w:rFonts w:cs="Times New Roman"/>
                <w:color w:val="auto"/>
                <w:sz w:val="18"/>
                <w:szCs w:val="18"/>
              </w:rPr>
            </w:pPr>
            <w:r>
              <w:rPr>
                <w:rFonts w:hint="eastAsia" w:cs="Times New Roman"/>
                <w:color w:val="auto"/>
                <w:sz w:val="18"/>
                <w:szCs w:val="18"/>
              </w:rPr>
              <w:t>已落实</w:t>
            </w:r>
          </w:p>
        </w:tc>
      </w:tr>
      <w:tr w14:paraId="130E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54C2A30">
            <w:pPr>
              <w:spacing w:line="240" w:lineRule="exact"/>
              <w:jc w:val="center"/>
              <w:rPr>
                <w:rFonts w:cs="Times New Roman"/>
                <w:color w:val="auto"/>
                <w:sz w:val="18"/>
                <w:szCs w:val="18"/>
              </w:rPr>
            </w:pPr>
          </w:p>
        </w:tc>
        <w:tc>
          <w:tcPr>
            <w:tcW w:w="5930" w:type="dxa"/>
            <w:vAlign w:val="center"/>
          </w:tcPr>
          <w:p w14:paraId="10268E6F">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本加油站设置卸油防溢阀，渗漏检测传感器、阻火通气帽和机械呼吸阀，带高位报警的自动液位仪及渗漏检测仪等安全监控防护措施。加油软管上设安全拉断阀，加油机底部管道上设置安全剪切阀。</w:t>
            </w:r>
          </w:p>
        </w:tc>
        <w:tc>
          <w:tcPr>
            <w:tcW w:w="1580" w:type="dxa"/>
            <w:vAlign w:val="center"/>
          </w:tcPr>
          <w:p w14:paraId="442CB805">
            <w:pPr>
              <w:spacing w:line="240" w:lineRule="exact"/>
              <w:jc w:val="center"/>
              <w:rPr>
                <w:rFonts w:cs="Times New Roman"/>
                <w:color w:val="auto"/>
                <w:sz w:val="18"/>
                <w:szCs w:val="18"/>
              </w:rPr>
            </w:pPr>
            <w:r>
              <w:rPr>
                <w:rFonts w:hint="eastAsia" w:cs="Times New Roman"/>
                <w:color w:val="auto"/>
                <w:sz w:val="18"/>
                <w:szCs w:val="18"/>
              </w:rPr>
              <w:t>设有防溢阀</w:t>
            </w:r>
            <w:r>
              <w:rPr>
                <w:rFonts w:hint="eastAsia" w:ascii="宋体" w:cs="Times New Roman"/>
                <w:color w:val="auto"/>
                <w:sz w:val="18"/>
                <w:szCs w:val="18"/>
              </w:rPr>
              <w:t>、液位仪等安全措施；加油软管上设置安全拉断阀，加油机底部管道上设有安全剪切阀</w:t>
            </w:r>
          </w:p>
        </w:tc>
        <w:tc>
          <w:tcPr>
            <w:tcW w:w="870" w:type="dxa"/>
            <w:vAlign w:val="center"/>
          </w:tcPr>
          <w:p w14:paraId="586F05A9">
            <w:pPr>
              <w:spacing w:line="240" w:lineRule="exact"/>
              <w:jc w:val="center"/>
              <w:rPr>
                <w:rFonts w:cs="Times New Roman"/>
                <w:color w:val="auto"/>
                <w:sz w:val="18"/>
                <w:szCs w:val="18"/>
              </w:rPr>
            </w:pPr>
            <w:r>
              <w:rPr>
                <w:rFonts w:hint="eastAsia" w:cs="Times New Roman"/>
                <w:color w:val="auto"/>
                <w:sz w:val="18"/>
                <w:szCs w:val="18"/>
              </w:rPr>
              <w:t>已落实</w:t>
            </w:r>
          </w:p>
        </w:tc>
      </w:tr>
      <w:tr w14:paraId="49CB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0F1916E">
            <w:pPr>
              <w:spacing w:line="240" w:lineRule="exact"/>
              <w:jc w:val="center"/>
              <w:rPr>
                <w:rFonts w:cs="Times New Roman"/>
                <w:b/>
                <w:bCs/>
                <w:color w:val="auto"/>
                <w:sz w:val="18"/>
                <w:szCs w:val="18"/>
              </w:rPr>
            </w:pPr>
          </w:p>
        </w:tc>
        <w:tc>
          <w:tcPr>
            <w:tcW w:w="8380" w:type="dxa"/>
            <w:gridSpan w:val="3"/>
            <w:vAlign w:val="center"/>
          </w:tcPr>
          <w:p w14:paraId="4BAD49B9">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.1.3 </w:t>
            </w:r>
            <w:r>
              <w:rPr>
                <w:rFonts w:hint="eastAsia" w:cs="宋体"/>
                <w:b/>
                <w:bCs/>
                <w:color w:val="auto"/>
                <w:sz w:val="18"/>
                <w:szCs w:val="18"/>
              </w:rPr>
              <w:t>采取的其他工艺安全措施</w:t>
            </w:r>
          </w:p>
        </w:tc>
      </w:tr>
      <w:tr w14:paraId="6CC2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672F686B">
            <w:pPr>
              <w:spacing w:line="240" w:lineRule="exact"/>
              <w:jc w:val="center"/>
              <w:rPr>
                <w:color w:val="auto"/>
                <w:sz w:val="18"/>
                <w:szCs w:val="18"/>
              </w:rPr>
            </w:pPr>
            <w:r>
              <w:rPr>
                <w:color w:val="auto"/>
                <w:sz w:val="18"/>
                <w:szCs w:val="18"/>
              </w:rPr>
              <w:t>1</w:t>
            </w:r>
          </w:p>
        </w:tc>
        <w:tc>
          <w:tcPr>
            <w:tcW w:w="5930" w:type="dxa"/>
            <w:vAlign w:val="center"/>
          </w:tcPr>
          <w:p w14:paraId="065FA38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在项目进出口分别设置入口指示牌、出口指示牌，设置车辆行驶标识，限速五公里</w:t>
            </w:r>
            <w:r>
              <w:rPr>
                <w:rFonts w:hint="eastAsia" w:ascii="宋体" w:cs="Times New Roman"/>
                <w:color w:val="auto"/>
                <w:sz w:val="18"/>
                <w:szCs w:val="18"/>
                <w:lang w:eastAsia="zh-CN"/>
              </w:rPr>
              <w:t>，在</w:t>
            </w:r>
            <w:r>
              <w:rPr>
                <w:rFonts w:hint="eastAsia" w:ascii="宋体" w:cs="Times New Roman"/>
                <w:color w:val="auto"/>
                <w:sz w:val="18"/>
                <w:szCs w:val="18"/>
              </w:rPr>
              <w:t>加油区张贴摩托车熄火加油，且设置减速带。</w:t>
            </w:r>
          </w:p>
        </w:tc>
        <w:tc>
          <w:tcPr>
            <w:tcW w:w="1580" w:type="dxa"/>
            <w:vAlign w:val="center"/>
          </w:tcPr>
          <w:p w14:paraId="4EB12A9C">
            <w:pPr>
              <w:spacing w:line="240" w:lineRule="exact"/>
              <w:jc w:val="center"/>
              <w:rPr>
                <w:rFonts w:cs="Times New Roman"/>
                <w:color w:val="auto"/>
                <w:sz w:val="18"/>
                <w:szCs w:val="18"/>
              </w:rPr>
            </w:pPr>
            <w:r>
              <w:rPr>
                <w:rFonts w:hint="eastAsia" w:cs="宋体"/>
                <w:color w:val="auto"/>
                <w:sz w:val="18"/>
                <w:szCs w:val="18"/>
              </w:rPr>
              <w:t>进出口设置指示牌和减速带</w:t>
            </w:r>
          </w:p>
        </w:tc>
        <w:tc>
          <w:tcPr>
            <w:tcW w:w="870" w:type="dxa"/>
            <w:vAlign w:val="center"/>
          </w:tcPr>
          <w:p w14:paraId="4095AA4B">
            <w:pPr>
              <w:spacing w:line="240" w:lineRule="exact"/>
              <w:jc w:val="center"/>
              <w:rPr>
                <w:rFonts w:cs="Times New Roman"/>
                <w:color w:val="auto"/>
                <w:sz w:val="18"/>
                <w:szCs w:val="18"/>
              </w:rPr>
            </w:pPr>
            <w:r>
              <w:rPr>
                <w:rFonts w:hint="eastAsia" w:cs="宋体"/>
                <w:color w:val="auto"/>
                <w:sz w:val="18"/>
                <w:szCs w:val="18"/>
              </w:rPr>
              <w:t>已落实</w:t>
            </w:r>
          </w:p>
        </w:tc>
      </w:tr>
      <w:tr w14:paraId="53A6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AB763D2">
            <w:pPr>
              <w:spacing w:line="240" w:lineRule="exact"/>
              <w:jc w:val="center"/>
              <w:rPr>
                <w:color w:val="auto"/>
                <w:sz w:val="18"/>
                <w:szCs w:val="18"/>
              </w:rPr>
            </w:pPr>
            <w:r>
              <w:rPr>
                <w:color w:val="auto"/>
                <w:sz w:val="18"/>
                <w:szCs w:val="18"/>
              </w:rPr>
              <w:t>2</w:t>
            </w:r>
          </w:p>
        </w:tc>
        <w:tc>
          <w:tcPr>
            <w:tcW w:w="5930" w:type="dxa"/>
            <w:vAlign w:val="center"/>
          </w:tcPr>
          <w:p w14:paraId="097DB142">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在加油区、油罐区等爆炸危险区域的醒目位置张贴严禁烟火、严禁拨打手机等安全标识。卸油区设置危险周知牌，卸油操作规程等。</w:t>
            </w:r>
          </w:p>
        </w:tc>
        <w:tc>
          <w:tcPr>
            <w:tcW w:w="1580" w:type="dxa"/>
            <w:vAlign w:val="center"/>
          </w:tcPr>
          <w:p w14:paraId="0A0B7512">
            <w:pPr>
              <w:spacing w:line="240" w:lineRule="exact"/>
              <w:jc w:val="center"/>
              <w:rPr>
                <w:rFonts w:cs="Times New Roman"/>
                <w:color w:val="auto"/>
                <w:sz w:val="18"/>
                <w:szCs w:val="18"/>
              </w:rPr>
            </w:pPr>
            <w:r>
              <w:rPr>
                <w:rFonts w:hint="eastAsia" w:cs="Times New Roman"/>
                <w:color w:val="auto"/>
                <w:sz w:val="18"/>
                <w:szCs w:val="18"/>
              </w:rPr>
              <w:t>设置安全标识</w:t>
            </w:r>
          </w:p>
        </w:tc>
        <w:tc>
          <w:tcPr>
            <w:tcW w:w="870" w:type="dxa"/>
            <w:vAlign w:val="center"/>
          </w:tcPr>
          <w:p w14:paraId="5A4F5BB7">
            <w:pPr>
              <w:spacing w:line="240" w:lineRule="exact"/>
              <w:jc w:val="center"/>
              <w:rPr>
                <w:rFonts w:cs="Times New Roman"/>
                <w:color w:val="auto"/>
                <w:sz w:val="18"/>
                <w:szCs w:val="18"/>
              </w:rPr>
            </w:pPr>
            <w:r>
              <w:rPr>
                <w:rFonts w:hint="eastAsia" w:cs="宋体"/>
                <w:color w:val="auto"/>
                <w:sz w:val="18"/>
                <w:szCs w:val="18"/>
              </w:rPr>
              <w:t>已落实</w:t>
            </w:r>
          </w:p>
        </w:tc>
      </w:tr>
      <w:tr w14:paraId="3C20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745C8D4">
            <w:pPr>
              <w:spacing w:line="240" w:lineRule="exact"/>
              <w:jc w:val="center"/>
              <w:rPr>
                <w:color w:val="auto"/>
                <w:sz w:val="18"/>
                <w:szCs w:val="18"/>
              </w:rPr>
            </w:pPr>
            <w:r>
              <w:rPr>
                <w:color w:val="auto"/>
                <w:sz w:val="18"/>
                <w:szCs w:val="18"/>
              </w:rPr>
              <w:t>3</w:t>
            </w:r>
          </w:p>
        </w:tc>
        <w:tc>
          <w:tcPr>
            <w:tcW w:w="5930" w:type="dxa"/>
            <w:vAlign w:val="center"/>
          </w:tcPr>
          <w:p w14:paraId="5531629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各加油机上标识所加油品的种类，采用一机多油品的加油机，加油机上的放枪位有各油品的文字标识，加油机有语音提示功能，加油枪有颜色标识。</w:t>
            </w:r>
          </w:p>
        </w:tc>
        <w:tc>
          <w:tcPr>
            <w:tcW w:w="1580" w:type="dxa"/>
            <w:vAlign w:val="center"/>
          </w:tcPr>
          <w:p w14:paraId="0D2E843E">
            <w:pPr>
              <w:spacing w:line="240" w:lineRule="exact"/>
              <w:jc w:val="center"/>
              <w:rPr>
                <w:rFonts w:cs="Times New Roman"/>
                <w:color w:val="auto"/>
                <w:sz w:val="18"/>
                <w:szCs w:val="18"/>
              </w:rPr>
            </w:pPr>
            <w:r>
              <w:rPr>
                <w:rFonts w:hint="eastAsia" w:cs="宋体"/>
                <w:color w:val="auto"/>
                <w:sz w:val="18"/>
                <w:szCs w:val="18"/>
              </w:rPr>
              <w:t>设有标识</w:t>
            </w:r>
          </w:p>
        </w:tc>
        <w:tc>
          <w:tcPr>
            <w:tcW w:w="870" w:type="dxa"/>
            <w:vAlign w:val="center"/>
          </w:tcPr>
          <w:p w14:paraId="1D42AEFF">
            <w:pPr>
              <w:spacing w:line="240" w:lineRule="exact"/>
              <w:jc w:val="center"/>
              <w:rPr>
                <w:rFonts w:cs="Times New Roman"/>
                <w:color w:val="auto"/>
                <w:sz w:val="18"/>
                <w:szCs w:val="18"/>
              </w:rPr>
            </w:pPr>
            <w:r>
              <w:rPr>
                <w:rFonts w:hint="eastAsia" w:cs="宋体"/>
                <w:color w:val="auto"/>
                <w:sz w:val="18"/>
                <w:szCs w:val="18"/>
              </w:rPr>
              <w:t>已落实</w:t>
            </w:r>
          </w:p>
        </w:tc>
      </w:tr>
      <w:tr w14:paraId="6926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9B554A7">
            <w:pPr>
              <w:spacing w:line="240" w:lineRule="exact"/>
              <w:jc w:val="center"/>
              <w:rPr>
                <w:color w:val="auto"/>
                <w:sz w:val="18"/>
                <w:szCs w:val="18"/>
              </w:rPr>
            </w:pPr>
            <w:r>
              <w:rPr>
                <w:color w:val="auto"/>
                <w:sz w:val="18"/>
                <w:szCs w:val="18"/>
              </w:rPr>
              <w:t>4</w:t>
            </w:r>
          </w:p>
        </w:tc>
        <w:tc>
          <w:tcPr>
            <w:tcW w:w="5930" w:type="dxa"/>
            <w:vAlign w:val="center"/>
          </w:tcPr>
          <w:p w14:paraId="5A2C71F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输油管道不穿过站房等建、构筑物。</w:t>
            </w:r>
          </w:p>
        </w:tc>
        <w:tc>
          <w:tcPr>
            <w:tcW w:w="1580" w:type="dxa"/>
            <w:vAlign w:val="center"/>
          </w:tcPr>
          <w:p w14:paraId="6204C59D">
            <w:pPr>
              <w:spacing w:line="240" w:lineRule="exact"/>
              <w:jc w:val="center"/>
              <w:rPr>
                <w:rFonts w:cs="Times New Roman"/>
                <w:color w:val="auto"/>
                <w:sz w:val="18"/>
                <w:szCs w:val="18"/>
              </w:rPr>
            </w:pPr>
            <w:r>
              <w:rPr>
                <w:rFonts w:hint="eastAsia" w:cs="Times New Roman"/>
                <w:color w:val="auto"/>
                <w:sz w:val="18"/>
                <w:szCs w:val="18"/>
              </w:rPr>
              <w:t>输油管道不穿过建构筑物</w:t>
            </w:r>
          </w:p>
        </w:tc>
        <w:tc>
          <w:tcPr>
            <w:tcW w:w="870" w:type="dxa"/>
            <w:vAlign w:val="center"/>
          </w:tcPr>
          <w:p w14:paraId="47414CF1">
            <w:pPr>
              <w:spacing w:line="240" w:lineRule="exact"/>
              <w:jc w:val="center"/>
              <w:rPr>
                <w:rFonts w:cs="Times New Roman"/>
                <w:color w:val="auto"/>
                <w:sz w:val="18"/>
                <w:szCs w:val="18"/>
              </w:rPr>
            </w:pPr>
            <w:r>
              <w:rPr>
                <w:rFonts w:hint="eastAsia" w:cs="宋体"/>
                <w:color w:val="auto"/>
                <w:sz w:val="18"/>
                <w:szCs w:val="18"/>
              </w:rPr>
              <w:t>已落实</w:t>
            </w:r>
          </w:p>
        </w:tc>
      </w:tr>
      <w:tr w14:paraId="6560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0AA0C84">
            <w:pPr>
              <w:spacing w:line="240" w:lineRule="exact"/>
              <w:jc w:val="center"/>
              <w:rPr>
                <w:color w:val="auto"/>
                <w:sz w:val="18"/>
                <w:szCs w:val="18"/>
              </w:rPr>
            </w:pPr>
            <w:r>
              <w:rPr>
                <w:color w:val="auto"/>
                <w:sz w:val="18"/>
                <w:szCs w:val="18"/>
              </w:rPr>
              <w:t>5</w:t>
            </w:r>
          </w:p>
        </w:tc>
        <w:tc>
          <w:tcPr>
            <w:tcW w:w="5930" w:type="dxa"/>
            <w:vAlign w:val="center"/>
          </w:tcPr>
          <w:p w14:paraId="77E56FF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本站在站区</w:t>
            </w:r>
            <w:r>
              <w:rPr>
                <w:rFonts w:hint="eastAsia" w:ascii="宋体" w:cs="Times New Roman"/>
                <w:color w:val="auto"/>
                <w:sz w:val="18"/>
                <w:szCs w:val="18"/>
                <w:lang w:val="en-US" w:eastAsia="zh-CN"/>
              </w:rPr>
              <w:t>东侧出口处</w:t>
            </w:r>
            <w:r>
              <w:rPr>
                <w:rFonts w:hint="eastAsia" w:ascii="宋体" w:cs="Times New Roman"/>
                <w:color w:val="auto"/>
                <w:sz w:val="18"/>
                <w:szCs w:val="18"/>
              </w:rPr>
              <w:t>设置隔油池，隔油池设置盖板。</w:t>
            </w:r>
          </w:p>
        </w:tc>
        <w:tc>
          <w:tcPr>
            <w:tcW w:w="1580" w:type="dxa"/>
            <w:vAlign w:val="center"/>
          </w:tcPr>
          <w:p w14:paraId="2D535E18">
            <w:pPr>
              <w:spacing w:line="240" w:lineRule="exact"/>
              <w:jc w:val="center"/>
              <w:rPr>
                <w:rFonts w:cs="Times New Roman"/>
                <w:color w:val="auto"/>
                <w:sz w:val="18"/>
                <w:szCs w:val="18"/>
              </w:rPr>
            </w:pPr>
            <w:r>
              <w:rPr>
                <w:rFonts w:hint="eastAsia" w:cs="Times New Roman"/>
                <w:color w:val="auto"/>
                <w:sz w:val="18"/>
                <w:szCs w:val="18"/>
              </w:rPr>
              <w:t>设置隔油池</w:t>
            </w:r>
          </w:p>
        </w:tc>
        <w:tc>
          <w:tcPr>
            <w:tcW w:w="870" w:type="dxa"/>
            <w:vAlign w:val="center"/>
          </w:tcPr>
          <w:p w14:paraId="5B05A9C3">
            <w:pPr>
              <w:spacing w:line="240" w:lineRule="exact"/>
              <w:jc w:val="center"/>
              <w:rPr>
                <w:rFonts w:cs="Times New Roman"/>
                <w:color w:val="auto"/>
                <w:sz w:val="18"/>
                <w:szCs w:val="18"/>
              </w:rPr>
            </w:pPr>
            <w:r>
              <w:rPr>
                <w:rFonts w:hint="eastAsia" w:cs="宋体"/>
                <w:color w:val="auto"/>
                <w:sz w:val="18"/>
                <w:szCs w:val="18"/>
              </w:rPr>
              <w:t>已落实</w:t>
            </w:r>
          </w:p>
        </w:tc>
      </w:tr>
      <w:tr w14:paraId="1E67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B3C4588">
            <w:pPr>
              <w:spacing w:line="240" w:lineRule="exact"/>
              <w:jc w:val="center"/>
              <w:rPr>
                <w:color w:val="auto"/>
                <w:sz w:val="18"/>
                <w:szCs w:val="18"/>
              </w:rPr>
            </w:pPr>
            <w:r>
              <w:rPr>
                <w:color w:val="auto"/>
                <w:sz w:val="18"/>
                <w:szCs w:val="18"/>
              </w:rPr>
              <w:t>6</w:t>
            </w:r>
          </w:p>
        </w:tc>
        <w:tc>
          <w:tcPr>
            <w:tcW w:w="5930" w:type="dxa"/>
            <w:vAlign w:val="center"/>
          </w:tcPr>
          <w:p w14:paraId="50BB569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为了区别各种类型的管道，用不同颜色的颜料涂在管道的保护层表面。管道上的标志包括色环、字样和箭头。字样一般表示出介质名称和管道代号，管道代号与工艺管道和仪表流程图中编号一致。</w:t>
            </w:r>
          </w:p>
        </w:tc>
        <w:tc>
          <w:tcPr>
            <w:tcW w:w="1580" w:type="dxa"/>
            <w:vAlign w:val="center"/>
          </w:tcPr>
          <w:p w14:paraId="4462ACC4">
            <w:pPr>
              <w:spacing w:line="240" w:lineRule="exact"/>
              <w:jc w:val="center"/>
              <w:rPr>
                <w:rFonts w:cs="Times New Roman"/>
                <w:color w:val="auto"/>
                <w:sz w:val="18"/>
                <w:szCs w:val="18"/>
              </w:rPr>
            </w:pPr>
            <w:r>
              <w:rPr>
                <w:rFonts w:hint="eastAsia" w:cs="Times New Roman"/>
                <w:color w:val="auto"/>
                <w:sz w:val="18"/>
                <w:szCs w:val="18"/>
              </w:rPr>
              <w:t>管道上设置安全色及代号</w:t>
            </w:r>
          </w:p>
        </w:tc>
        <w:tc>
          <w:tcPr>
            <w:tcW w:w="870" w:type="dxa"/>
            <w:vAlign w:val="center"/>
          </w:tcPr>
          <w:p w14:paraId="78CF1C45">
            <w:pPr>
              <w:spacing w:line="240" w:lineRule="exact"/>
              <w:jc w:val="center"/>
              <w:rPr>
                <w:rFonts w:cs="Times New Roman"/>
                <w:color w:val="auto"/>
                <w:sz w:val="18"/>
                <w:szCs w:val="18"/>
              </w:rPr>
            </w:pPr>
            <w:r>
              <w:rPr>
                <w:rFonts w:hint="eastAsia" w:cs="宋体"/>
                <w:color w:val="auto"/>
                <w:sz w:val="18"/>
                <w:szCs w:val="18"/>
              </w:rPr>
              <w:t>已落实</w:t>
            </w:r>
          </w:p>
        </w:tc>
      </w:tr>
      <w:tr w14:paraId="35B2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65CE277">
            <w:pPr>
              <w:spacing w:line="240" w:lineRule="exact"/>
              <w:jc w:val="center"/>
              <w:rPr>
                <w:color w:val="auto"/>
                <w:sz w:val="18"/>
                <w:szCs w:val="18"/>
              </w:rPr>
            </w:pPr>
            <w:r>
              <w:rPr>
                <w:rFonts w:hint="eastAsia"/>
                <w:color w:val="auto"/>
                <w:sz w:val="18"/>
                <w:szCs w:val="18"/>
              </w:rPr>
              <w:t>7</w:t>
            </w:r>
          </w:p>
        </w:tc>
        <w:tc>
          <w:tcPr>
            <w:tcW w:w="5930" w:type="dxa"/>
            <w:vAlign w:val="center"/>
          </w:tcPr>
          <w:p w14:paraId="23006E9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加油机使用自封式加油枪，卸油管口法兰静电接地，在油罐区张贴危险告知牌</w:t>
            </w:r>
          </w:p>
        </w:tc>
        <w:tc>
          <w:tcPr>
            <w:tcW w:w="1580" w:type="dxa"/>
            <w:vAlign w:val="center"/>
          </w:tcPr>
          <w:p w14:paraId="51E82131">
            <w:pPr>
              <w:spacing w:line="240" w:lineRule="exact"/>
              <w:jc w:val="center"/>
              <w:rPr>
                <w:rFonts w:cs="Times New Roman"/>
                <w:color w:val="auto"/>
                <w:sz w:val="18"/>
                <w:szCs w:val="18"/>
              </w:rPr>
            </w:pPr>
            <w:r>
              <w:rPr>
                <w:rFonts w:hint="eastAsia" w:cs="Times New Roman"/>
                <w:color w:val="auto"/>
                <w:sz w:val="18"/>
                <w:szCs w:val="18"/>
              </w:rPr>
              <w:t>自封式加油枪，油罐区有危险告知牌</w:t>
            </w:r>
          </w:p>
        </w:tc>
        <w:tc>
          <w:tcPr>
            <w:tcW w:w="870" w:type="dxa"/>
            <w:vAlign w:val="center"/>
          </w:tcPr>
          <w:p w14:paraId="7BB9F9BA">
            <w:pPr>
              <w:spacing w:line="240" w:lineRule="exact"/>
              <w:jc w:val="center"/>
              <w:rPr>
                <w:rFonts w:cs="宋体"/>
                <w:color w:val="auto"/>
                <w:sz w:val="18"/>
                <w:szCs w:val="18"/>
              </w:rPr>
            </w:pPr>
            <w:r>
              <w:rPr>
                <w:rFonts w:hint="eastAsia" w:cs="宋体"/>
                <w:color w:val="auto"/>
                <w:sz w:val="18"/>
                <w:szCs w:val="18"/>
              </w:rPr>
              <w:t>已落实</w:t>
            </w:r>
          </w:p>
        </w:tc>
      </w:tr>
      <w:tr w14:paraId="48D1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F6C79CD">
            <w:pPr>
              <w:spacing w:line="240" w:lineRule="exact"/>
              <w:jc w:val="center"/>
              <w:rPr>
                <w:color w:val="auto"/>
                <w:sz w:val="18"/>
                <w:szCs w:val="18"/>
              </w:rPr>
            </w:pPr>
            <w:r>
              <w:rPr>
                <w:rFonts w:hint="eastAsia"/>
                <w:color w:val="auto"/>
                <w:sz w:val="18"/>
                <w:szCs w:val="18"/>
              </w:rPr>
              <w:t>8</w:t>
            </w:r>
          </w:p>
        </w:tc>
        <w:tc>
          <w:tcPr>
            <w:tcW w:w="5930" w:type="dxa"/>
            <w:vAlign w:val="center"/>
          </w:tcPr>
          <w:p w14:paraId="22F2260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汽油储罐和柴油储罐分别设置通气管，通气管高出地面4m。汽油储罐的通气管上部分别设置球阀，通气管口分别设置机械呼吸阀和阻火通气帽，设机械呼吸阀通气管球阀属于常开状态，另一根球阀常闭状态。柴油储罐通气管在高出地面1.0m位置设置球阀，球阀属于常开状态。保证事故状态下能及时放空，降低风险。</w:t>
            </w:r>
          </w:p>
        </w:tc>
        <w:tc>
          <w:tcPr>
            <w:tcW w:w="1580" w:type="dxa"/>
            <w:vAlign w:val="center"/>
          </w:tcPr>
          <w:p w14:paraId="2F637C7B">
            <w:pPr>
              <w:spacing w:line="240" w:lineRule="exact"/>
              <w:jc w:val="center"/>
              <w:rPr>
                <w:rFonts w:cs="Times New Roman"/>
                <w:color w:val="auto"/>
                <w:sz w:val="18"/>
                <w:szCs w:val="18"/>
              </w:rPr>
            </w:pPr>
            <w:r>
              <w:rPr>
                <w:rFonts w:hint="eastAsia" w:cs="Times New Roman"/>
                <w:color w:val="auto"/>
                <w:sz w:val="18"/>
                <w:szCs w:val="18"/>
              </w:rPr>
              <w:t>通气管按要求设置</w:t>
            </w:r>
          </w:p>
        </w:tc>
        <w:tc>
          <w:tcPr>
            <w:tcW w:w="870" w:type="dxa"/>
            <w:vAlign w:val="center"/>
          </w:tcPr>
          <w:p w14:paraId="60D672AA">
            <w:pPr>
              <w:spacing w:line="240" w:lineRule="exact"/>
              <w:jc w:val="center"/>
              <w:rPr>
                <w:rFonts w:cs="宋体"/>
                <w:color w:val="auto"/>
                <w:sz w:val="18"/>
                <w:szCs w:val="18"/>
              </w:rPr>
            </w:pPr>
            <w:r>
              <w:rPr>
                <w:rFonts w:hint="eastAsia" w:cs="宋体"/>
                <w:color w:val="auto"/>
                <w:sz w:val="18"/>
                <w:szCs w:val="18"/>
              </w:rPr>
              <w:t>已落实</w:t>
            </w:r>
          </w:p>
        </w:tc>
      </w:tr>
      <w:tr w14:paraId="72F6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6D592CD">
            <w:pPr>
              <w:spacing w:line="240" w:lineRule="exact"/>
              <w:jc w:val="center"/>
              <w:rPr>
                <w:color w:val="auto"/>
                <w:sz w:val="18"/>
                <w:szCs w:val="18"/>
              </w:rPr>
            </w:pPr>
          </w:p>
        </w:tc>
        <w:tc>
          <w:tcPr>
            <w:tcW w:w="8380" w:type="dxa"/>
            <w:gridSpan w:val="3"/>
            <w:vAlign w:val="center"/>
          </w:tcPr>
          <w:p w14:paraId="6C444D71">
            <w:pPr>
              <w:spacing w:line="240" w:lineRule="exact"/>
              <w:jc w:val="center"/>
              <w:rPr>
                <w:rFonts w:cs="宋体"/>
                <w:color w:val="auto"/>
                <w:sz w:val="18"/>
                <w:szCs w:val="18"/>
              </w:rPr>
            </w:pPr>
            <w:r>
              <w:rPr>
                <w:rFonts w:hint="eastAsia"/>
                <w:b/>
                <w:bCs/>
                <w:color w:val="auto"/>
                <w:sz w:val="18"/>
                <w:szCs w:val="18"/>
              </w:rPr>
              <w:t>5</w:t>
            </w:r>
            <w:r>
              <w:rPr>
                <w:b/>
                <w:bCs/>
                <w:color w:val="auto"/>
                <w:sz w:val="18"/>
                <w:szCs w:val="18"/>
              </w:rPr>
              <w:t>.1.</w:t>
            </w:r>
            <w:r>
              <w:rPr>
                <w:rFonts w:hint="eastAsia"/>
                <w:b/>
                <w:bCs/>
                <w:color w:val="auto"/>
                <w:sz w:val="18"/>
                <w:szCs w:val="18"/>
              </w:rPr>
              <w:t>4</w:t>
            </w:r>
            <w:r>
              <w:rPr>
                <w:b/>
                <w:bCs/>
                <w:color w:val="auto"/>
                <w:sz w:val="18"/>
                <w:szCs w:val="18"/>
              </w:rPr>
              <w:t xml:space="preserve"> </w:t>
            </w:r>
            <w:r>
              <w:rPr>
                <w:rFonts w:hint="eastAsia" w:cs="宋体"/>
                <w:b/>
                <w:bCs/>
                <w:color w:val="auto"/>
                <w:sz w:val="18"/>
                <w:szCs w:val="18"/>
              </w:rPr>
              <w:t>问题及隐患整改设计采取的措施</w:t>
            </w:r>
          </w:p>
        </w:tc>
      </w:tr>
      <w:tr w14:paraId="05AD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0340B19">
            <w:pPr>
              <w:spacing w:line="240" w:lineRule="exact"/>
              <w:jc w:val="center"/>
              <w:rPr>
                <w:color w:val="auto"/>
                <w:sz w:val="18"/>
                <w:szCs w:val="18"/>
              </w:rPr>
            </w:pPr>
            <w:r>
              <w:rPr>
                <w:rFonts w:hint="eastAsia"/>
                <w:color w:val="auto"/>
                <w:sz w:val="18"/>
                <w:szCs w:val="18"/>
              </w:rPr>
              <w:t>1</w:t>
            </w:r>
          </w:p>
        </w:tc>
        <w:tc>
          <w:tcPr>
            <w:tcW w:w="5930" w:type="dxa"/>
            <w:vAlign w:val="center"/>
          </w:tcPr>
          <w:p w14:paraId="67347FDA">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针对缺少图纸，如工艺流程图、消防器材布置图、视频监控、爆炸危险区域划分图、防雷接地图等图纸的问题，采取补充如工艺流程图、消防器材布置图、视频监控、爆炸危险区域划分图、防雷接地图等图纸。</w:t>
            </w:r>
          </w:p>
        </w:tc>
        <w:tc>
          <w:tcPr>
            <w:tcW w:w="1580" w:type="dxa"/>
            <w:vAlign w:val="center"/>
          </w:tcPr>
          <w:p w14:paraId="2D4C45AD">
            <w:pPr>
              <w:spacing w:line="240" w:lineRule="exact"/>
              <w:jc w:val="center"/>
              <w:rPr>
                <w:rFonts w:cs="Times New Roman"/>
                <w:color w:val="auto"/>
                <w:sz w:val="18"/>
                <w:szCs w:val="18"/>
              </w:rPr>
            </w:pPr>
            <w:r>
              <w:rPr>
                <w:rFonts w:hint="eastAsia" w:cs="Times New Roman"/>
                <w:color w:val="auto"/>
                <w:sz w:val="18"/>
                <w:szCs w:val="18"/>
              </w:rPr>
              <w:t>已补充相应的图纸</w:t>
            </w:r>
          </w:p>
        </w:tc>
        <w:tc>
          <w:tcPr>
            <w:tcW w:w="870" w:type="dxa"/>
            <w:vAlign w:val="center"/>
          </w:tcPr>
          <w:p w14:paraId="2B00E46D">
            <w:pPr>
              <w:spacing w:line="240" w:lineRule="exact"/>
              <w:jc w:val="center"/>
              <w:rPr>
                <w:rFonts w:cs="宋体"/>
                <w:color w:val="auto"/>
                <w:sz w:val="18"/>
                <w:szCs w:val="18"/>
              </w:rPr>
            </w:pPr>
            <w:r>
              <w:rPr>
                <w:rFonts w:hint="eastAsia" w:cs="宋体"/>
                <w:color w:val="auto"/>
                <w:sz w:val="18"/>
                <w:szCs w:val="18"/>
              </w:rPr>
              <w:t>已落实</w:t>
            </w:r>
          </w:p>
        </w:tc>
      </w:tr>
      <w:tr w14:paraId="7A9C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54EB3B0">
            <w:pPr>
              <w:spacing w:line="240" w:lineRule="exact"/>
              <w:jc w:val="center"/>
              <w:rPr>
                <w:rFonts w:cs="Times New Roman"/>
                <w:b/>
                <w:bCs/>
                <w:color w:val="auto"/>
                <w:sz w:val="18"/>
                <w:szCs w:val="18"/>
              </w:rPr>
            </w:pPr>
          </w:p>
        </w:tc>
        <w:tc>
          <w:tcPr>
            <w:tcW w:w="8380" w:type="dxa"/>
            <w:gridSpan w:val="3"/>
            <w:vAlign w:val="center"/>
          </w:tcPr>
          <w:p w14:paraId="72BF1527">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 xml:space="preserve">2 </w:t>
            </w:r>
            <w:r>
              <w:rPr>
                <w:rFonts w:hint="eastAsia" w:cs="宋体"/>
                <w:b/>
                <w:bCs/>
                <w:color w:val="auto"/>
                <w:sz w:val="18"/>
                <w:szCs w:val="18"/>
              </w:rPr>
              <w:t>总平面布置</w:t>
            </w:r>
          </w:p>
        </w:tc>
      </w:tr>
      <w:tr w14:paraId="6FA9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7F90D5A7">
            <w:pPr>
              <w:spacing w:line="240" w:lineRule="exact"/>
              <w:jc w:val="center"/>
              <w:rPr>
                <w:rFonts w:cs="Times New Roman"/>
                <w:b/>
                <w:bCs/>
                <w:color w:val="auto"/>
                <w:sz w:val="18"/>
                <w:szCs w:val="18"/>
              </w:rPr>
            </w:pPr>
          </w:p>
        </w:tc>
        <w:tc>
          <w:tcPr>
            <w:tcW w:w="8380" w:type="dxa"/>
            <w:gridSpan w:val="3"/>
            <w:vAlign w:val="center"/>
          </w:tcPr>
          <w:p w14:paraId="0838A039">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.2.1</w:t>
            </w:r>
            <w:r>
              <w:rPr>
                <w:rFonts w:hint="eastAsia" w:cs="宋体"/>
                <w:b/>
                <w:bCs/>
                <w:color w:val="auto"/>
                <w:sz w:val="18"/>
                <w:szCs w:val="18"/>
              </w:rPr>
              <w:t>建筑项目与厂</w:t>
            </w:r>
            <w:r>
              <w:rPr>
                <w:b/>
                <w:bCs/>
                <w:color w:val="auto"/>
                <w:sz w:val="18"/>
                <w:szCs w:val="18"/>
              </w:rPr>
              <w:t>/</w:t>
            </w:r>
            <w:r>
              <w:rPr>
                <w:rFonts w:hint="eastAsia" w:cs="宋体"/>
                <w:b/>
                <w:bCs/>
                <w:color w:val="auto"/>
                <w:sz w:val="18"/>
                <w:szCs w:val="18"/>
              </w:rPr>
              <w:t>界外设施的主要间距、标准规范符合性及采取的防护措施</w:t>
            </w:r>
          </w:p>
        </w:tc>
      </w:tr>
      <w:tr w14:paraId="5142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6E91FE3">
            <w:pPr>
              <w:spacing w:line="240" w:lineRule="exact"/>
              <w:jc w:val="center"/>
              <w:rPr>
                <w:color w:val="auto"/>
                <w:sz w:val="18"/>
                <w:szCs w:val="18"/>
              </w:rPr>
            </w:pPr>
            <w:r>
              <w:rPr>
                <w:rFonts w:hint="eastAsia"/>
                <w:color w:val="auto"/>
                <w:sz w:val="18"/>
                <w:szCs w:val="18"/>
              </w:rPr>
              <w:t>1</w:t>
            </w:r>
          </w:p>
        </w:tc>
        <w:tc>
          <w:tcPr>
            <w:tcW w:w="5930" w:type="dxa"/>
            <w:vAlign w:val="center"/>
          </w:tcPr>
          <w:p w14:paraId="7454A193">
            <w:pPr>
              <w:adjustRightInd w:val="0"/>
              <w:snapToGrid w:val="0"/>
              <w:spacing w:line="240" w:lineRule="exact"/>
              <w:rPr>
                <w:rFonts w:cs="Times New Roman"/>
                <w:color w:val="auto"/>
                <w:sz w:val="18"/>
                <w:szCs w:val="18"/>
              </w:rPr>
            </w:pPr>
            <w:r>
              <w:rPr>
                <w:rFonts w:hint="eastAsia" w:cs="宋体"/>
                <w:color w:val="auto"/>
                <w:sz w:val="18"/>
                <w:szCs w:val="18"/>
              </w:rPr>
              <w:t>加油站与敏感场所、区域的距离的安全防火间距满足《汽车加油加气加氢站技术标准》（GB50156-2021）第4章第4.0.4条及第5章第5.0.13条的要求。</w:t>
            </w:r>
          </w:p>
        </w:tc>
        <w:tc>
          <w:tcPr>
            <w:tcW w:w="1580" w:type="dxa"/>
            <w:vAlign w:val="center"/>
          </w:tcPr>
          <w:p w14:paraId="7C2B047B">
            <w:pPr>
              <w:spacing w:line="240" w:lineRule="exact"/>
              <w:jc w:val="center"/>
              <w:rPr>
                <w:rFonts w:cs="Times New Roman"/>
                <w:color w:val="auto"/>
                <w:sz w:val="18"/>
                <w:szCs w:val="18"/>
              </w:rPr>
            </w:pPr>
            <w:r>
              <w:rPr>
                <w:rFonts w:hint="eastAsia" w:cs="宋体"/>
                <w:color w:val="auto"/>
                <w:sz w:val="18"/>
                <w:szCs w:val="18"/>
              </w:rPr>
              <w:t>站区与周边建构筑物之间的距离满足要求</w:t>
            </w:r>
          </w:p>
        </w:tc>
        <w:tc>
          <w:tcPr>
            <w:tcW w:w="870" w:type="dxa"/>
            <w:vAlign w:val="center"/>
          </w:tcPr>
          <w:p w14:paraId="41C08549">
            <w:pPr>
              <w:spacing w:line="240" w:lineRule="exact"/>
              <w:jc w:val="center"/>
              <w:rPr>
                <w:rFonts w:cs="Times New Roman"/>
                <w:color w:val="auto"/>
                <w:sz w:val="18"/>
                <w:szCs w:val="18"/>
              </w:rPr>
            </w:pPr>
            <w:r>
              <w:rPr>
                <w:rFonts w:hint="eastAsia" w:cs="宋体"/>
                <w:color w:val="auto"/>
                <w:sz w:val="18"/>
                <w:szCs w:val="18"/>
              </w:rPr>
              <w:t>已落实</w:t>
            </w:r>
          </w:p>
        </w:tc>
      </w:tr>
      <w:tr w14:paraId="330F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18943F59">
            <w:pPr>
              <w:spacing w:line="240" w:lineRule="exact"/>
              <w:jc w:val="center"/>
              <w:rPr>
                <w:rFonts w:cs="Times New Roman"/>
                <w:b/>
                <w:bCs/>
                <w:color w:val="auto"/>
                <w:sz w:val="18"/>
                <w:szCs w:val="18"/>
              </w:rPr>
            </w:pPr>
          </w:p>
        </w:tc>
        <w:tc>
          <w:tcPr>
            <w:tcW w:w="8380" w:type="dxa"/>
            <w:gridSpan w:val="3"/>
            <w:vAlign w:val="center"/>
          </w:tcPr>
          <w:p w14:paraId="09F1101F">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.2.2</w:t>
            </w:r>
            <w:r>
              <w:rPr>
                <w:rFonts w:hint="eastAsia" w:cs="宋体"/>
                <w:b/>
                <w:bCs/>
                <w:color w:val="auto"/>
                <w:sz w:val="18"/>
                <w:szCs w:val="18"/>
              </w:rPr>
              <w:t>全厂及装置（设施）平面及竖向布置的主要安全考虑</w:t>
            </w:r>
          </w:p>
        </w:tc>
      </w:tr>
      <w:tr w14:paraId="0089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1A233B94">
            <w:pPr>
              <w:spacing w:line="240" w:lineRule="exact"/>
              <w:jc w:val="center"/>
              <w:rPr>
                <w:rFonts w:cs="Times New Roman"/>
                <w:color w:val="auto"/>
                <w:sz w:val="18"/>
                <w:szCs w:val="18"/>
              </w:rPr>
            </w:pPr>
            <w:r>
              <w:rPr>
                <w:rFonts w:hint="eastAsia" w:cs="Times New Roman"/>
                <w:color w:val="auto"/>
                <w:sz w:val="18"/>
                <w:szCs w:val="18"/>
              </w:rPr>
              <w:t>1</w:t>
            </w:r>
          </w:p>
        </w:tc>
        <w:tc>
          <w:tcPr>
            <w:tcW w:w="5930" w:type="dxa"/>
            <w:vAlign w:val="center"/>
          </w:tcPr>
          <w:p w14:paraId="15B148CA">
            <w:pPr>
              <w:adjustRightInd w:val="0"/>
              <w:snapToGrid w:val="0"/>
              <w:spacing w:line="240" w:lineRule="exact"/>
              <w:rPr>
                <w:rFonts w:cs="宋体"/>
                <w:color w:val="auto"/>
                <w:sz w:val="18"/>
                <w:szCs w:val="18"/>
              </w:rPr>
            </w:pPr>
            <w:r>
              <w:rPr>
                <w:rFonts w:hint="eastAsia" w:cs="宋体"/>
                <w:color w:val="auto"/>
                <w:sz w:val="18"/>
                <w:szCs w:val="18"/>
              </w:rPr>
              <w:t>加油站站内停车位为平坡，道路坡度不大于</w:t>
            </w:r>
            <w:r>
              <w:rPr>
                <w:rFonts w:hint="eastAsia" w:cs="宋体"/>
                <w:color w:val="auto"/>
                <w:sz w:val="18"/>
                <w:szCs w:val="18"/>
                <w:lang w:val="en-US" w:eastAsia="zh-CN"/>
              </w:rPr>
              <w:t>8</w:t>
            </w:r>
            <w:r>
              <w:rPr>
                <w:rFonts w:hint="eastAsia" w:cs="宋体"/>
                <w:color w:val="auto"/>
                <w:sz w:val="18"/>
                <w:szCs w:val="18"/>
              </w:rPr>
              <w:t>%，且坡向站外。</w:t>
            </w:r>
          </w:p>
        </w:tc>
        <w:tc>
          <w:tcPr>
            <w:tcW w:w="1580" w:type="dxa"/>
            <w:vAlign w:val="center"/>
          </w:tcPr>
          <w:p w14:paraId="072EFE61">
            <w:pPr>
              <w:spacing w:line="240" w:lineRule="exact"/>
              <w:jc w:val="center"/>
              <w:rPr>
                <w:rFonts w:cs="Times New Roman"/>
                <w:color w:val="auto"/>
                <w:sz w:val="18"/>
                <w:szCs w:val="18"/>
              </w:rPr>
            </w:pPr>
            <w:r>
              <w:rPr>
                <w:rFonts w:hint="eastAsia" w:cs="宋体"/>
                <w:color w:val="auto"/>
                <w:sz w:val="18"/>
                <w:szCs w:val="18"/>
              </w:rPr>
              <w:t>坡向站外</w:t>
            </w:r>
          </w:p>
        </w:tc>
        <w:tc>
          <w:tcPr>
            <w:tcW w:w="870" w:type="dxa"/>
            <w:vAlign w:val="center"/>
          </w:tcPr>
          <w:p w14:paraId="140E003C">
            <w:pPr>
              <w:spacing w:line="240" w:lineRule="exact"/>
              <w:jc w:val="center"/>
              <w:rPr>
                <w:rFonts w:cs="Times New Roman"/>
                <w:color w:val="auto"/>
                <w:sz w:val="18"/>
                <w:szCs w:val="18"/>
              </w:rPr>
            </w:pPr>
            <w:r>
              <w:rPr>
                <w:rFonts w:hint="eastAsia" w:cs="宋体"/>
                <w:color w:val="auto"/>
                <w:sz w:val="18"/>
                <w:szCs w:val="18"/>
              </w:rPr>
              <w:t>已落实</w:t>
            </w:r>
          </w:p>
        </w:tc>
      </w:tr>
      <w:tr w14:paraId="08A5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656FD138">
            <w:pPr>
              <w:spacing w:line="240" w:lineRule="exact"/>
              <w:jc w:val="center"/>
              <w:rPr>
                <w:rFonts w:cs="Times New Roman"/>
                <w:color w:val="auto"/>
                <w:sz w:val="18"/>
                <w:szCs w:val="18"/>
              </w:rPr>
            </w:pPr>
            <w:r>
              <w:rPr>
                <w:rFonts w:hint="eastAsia" w:cs="Times New Roman"/>
                <w:color w:val="auto"/>
                <w:sz w:val="18"/>
                <w:szCs w:val="18"/>
              </w:rPr>
              <w:t>2</w:t>
            </w:r>
          </w:p>
        </w:tc>
        <w:tc>
          <w:tcPr>
            <w:tcW w:w="5930" w:type="dxa"/>
            <w:vAlign w:val="center"/>
          </w:tcPr>
          <w:p w14:paraId="59B0BCAC">
            <w:pPr>
              <w:adjustRightInd w:val="0"/>
              <w:snapToGrid w:val="0"/>
              <w:spacing w:line="240" w:lineRule="exact"/>
              <w:rPr>
                <w:rFonts w:cs="宋体"/>
                <w:color w:val="auto"/>
                <w:sz w:val="18"/>
                <w:szCs w:val="18"/>
              </w:rPr>
            </w:pPr>
            <w:r>
              <w:rPr>
                <w:rFonts w:hint="eastAsia" w:cs="宋体"/>
                <w:color w:val="auto"/>
                <w:sz w:val="18"/>
                <w:szCs w:val="18"/>
              </w:rPr>
              <w:t>加油站出入口与站外道路贯通，并设置减速带和限速标志。</w:t>
            </w:r>
          </w:p>
        </w:tc>
        <w:tc>
          <w:tcPr>
            <w:tcW w:w="1580" w:type="dxa"/>
            <w:vAlign w:val="center"/>
          </w:tcPr>
          <w:p w14:paraId="7B667090">
            <w:pPr>
              <w:spacing w:line="240" w:lineRule="exact"/>
              <w:jc w:val="center"/>
              <w:rPr>
                <w:rFonts w:cs="Times New Roman"/>
                <w:color w:val="auto"/>
                <w:sz w:val="18"/>
                <w:szCs w:val="18"/>
              </w:rPr>
            </w:pPr>
            <w:r>
              <w:rPr>
                <w:rFonts w:hint="eastAsia" w:cs="Times New Roman"/>
                <w:color w:val="auto"/>
                <w:sz w:val="18"/>
                <w:szCs w:val="18"/>
              </w:rPr>
              <w:t>设有</w:t>
            </w:r>
            <w:r>
              <w:rPr>
                <w:rFonts w:hint="eastAsia" w:cs="宋体"/>
                <w:color w:val="auto"/>
                <w:sz w:val="18"/>
                <w:szCs w:val="18"/>
              </w:rPr>
              <w:t>减速带和限速标志</w:t>
            </w:r>
          </w:p>
        </w:tc>
        <w:tc>
          <w:tcPr>
            <w:tcW w:w="870" w:type="dxa"/>
            <w:vAlign w:val="center"/>
          </w:tcPr>
          <w:p w14:paraId="097E7625">
            <w:pPr>
              <w:spacing w:line="240" w:lineRule="exact"/>
              <w:jc w:val="center"/>
              <w:rPr>
                <w:rFonts w:cs="Times New Roman"/>
                <w:color w:val="auto"/>
                <w:sz w:val="18"/>
                <w:szCs w:val="18"/>
              </w:rPr>
            </w:pPr>
            <w:r>
              <w:rPr>
                <w:rFonts w:hint="eastAsia" w:cs="宋体"/>
                <w:color w:val="auto"/>
                <w:sz w:val="18"/>
                <w:szCs w:val="18"/>
              </w:rPr>
              <w:t>已落实</w:t>
            </w:r>
          </w:p>
        </w:tc>
      </w:tr>
      <w:tr w14:paraId="62C3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757C505">
            <w:pPr>
              <w:spacing w:line="240" w:lineRule="exact"/>
              <w:jc w:val="center"/>
              <w:rPr>
                <w:rFonts w:cs="Times New Roman"/>
                <w:b/>
                <w:bCs/>
                <w:color w:val="auto"/>
                <w:sz w:val="18"/>
                <w:szCs w:val="18"/>
              </w:rPr>
            </w:pPr>
          </w:p>
        </w:tc>
        <w:tc>
          <w:tcPr>
            <w:tcW w:w="8380" w:type="dxa"/>
            <w:gridSpan w:val="3"/>
            <w:vAlign w:val="center"/>
          </w:tcPr>
          <w:p w14:paraId="67BFB05B">
            <w:pPr>
              <w:spacing w:line="240" w:lineRule="exact"/>
              <w:jc w:val="center"/>
              <w:rPr>
                <w:rFonts w:cs="Times New Roman"/>
                <w:b/>
                <w:bCs/>
                <w:color w:val="auto"/>
                <w:sz w:val="18"/>
                <w:szCs w:val="18"/>
              </w:rPr>
            </w:pPr>
            <w:r>
              <w:rPr>
                <w:rFonts w:hint="eastAsia"/>
                <w:b/>
                <w:bCs/>
                <w:color w:val="auto"/>
                <w:sz w:val="18"/>
                <w:szCs w:val="18"/>
              </w:rPr>
              <w:t>5.2.3 平面布置的主要防火间距及标准规范符合情况</w:t>
            </w:r>
          </w:p>
        </w:tc>
      </w:tr>
      <w:tr w14:paraId="0E63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6C9FB82">
            <w:pPr>
              <w:spacing w:line="240" w:lineRule="exact"/>
              <w:jc w:val="center"/>
              <w:rPr>
                <w:color w:val="auto"/>
                <w:sz w:val="18"/>
                <w:szCs w:val="18"/>
              </w:rPr>
            </w:pPr>
            <w:r>
              <w:rPr>
                <w:color w:val="auto"/>
                <w:sz w:val="18"/>
                <w:szCs w:val="18"/>
              </w:rPr>
              <w:t>1</w:t>
            </w:r>
          </w:p>
        </w:tc>
        <w:tc>
          <w:tcPr>
            <w:tcW w:w="5930" w:type="dxa"/>
            <w:vAlign w:val="center"/>
          </w:tcPr>
          <w:p w14:paraId="19B012DB">
            <w:pPr>
              <w:adjustRightInd w:val="0"/>
              <w:snapToGrid w:val="0"/>
              <w:spacing w:line="240" w:lineRule="exact"/>
              <w:rPr>
                <w:rFonts w:cs="Times New Roman"/>
                <w:color w:val="auto"/>
                <w:sz w:val="18"/>
                <w:szCs w:val="18"/>
              </w:rPr>
            </w:pPr>
            <w:r>
              <w:rPr>
                <w:rFonts w:hint="eastAsia" w:cs="Times New Roman"/>
                <w:color w:val="auto"/>
                <w:sz w:val="18"/>
                <w:szCs w:val="18"/>
              </w:rPr>
              <w:t>站内设施之间的安全间距符合《汽车加油加气加氢站技术标准》GB50156-2021 的要求。</w:t>
            </w:r>
          </w:p>
        </w:tc>
        <w:tc>
          <w:tcPr>
            <w:tcW w:w="1580" w:type="dxa"/>
            <w:vAlign w:val="center"/>
          </w:tcPr>
          <w:p w14:paraId="0987053A">
            <w:pPr>
              <w:spacing w:line="240" w:lineRule="exact"/>
              <w:jc w:val="center"/>
              <w:rPr>
                <w:rFonts w:cs="Times New Roman"/>
                <w:color w:val="auto"/>
                <w:sz w:val="18"/>
                <w:szCs w:val="18"/>
              </w:rPr>
            </w:pPr>
            <w:r>
              <w:rPr>
                <w:rFonts w:hint="eastAsia" w:cs="Times New Roman"/>
                <w:color w:val="auto"/>
                <w:sz w:val="18"/>
                <w:szCs w:val="18"/>
              </w:rPr>
              <w:t>站内设施防火间距符合要求</w:t>
            </w:r>
          </w:p>
        </w:tc>
        <w:tc>
          <w:tcPr>
            <w:tcW w:w="870" w:type="dxa"/>
            <w:vAlign w:val="center"/>
          </w:tcPr>
          <w:p w14:paraId="3E5137D6">
            <w:pPr>
              <w:spacing w:line="240" w:lineRule="exact"/>
              <w:jc w:val="center"/>
              <w:rPr>
                <w:rFonts w:cs="Times New Roman"/>
                <w:color w:val="auto"/>
                <w:sz w:val="18"/>
                <w:szCs w:val="18"/>
              </w:rPr>
            </w:pPr>
            <w:r>
              <w:rPr>
                <w:rFonts w:hint="eastAsia" w:cs="Times New Roman"/>
                <w:color w:val="auto"/>
                <w:sz w:val="18"/>
                <w:szCs w:val="18"/>
              </w:rPr>
              <w:t>已落实</w:t>
            </w:r>
          </w:p>
        </w:tc>
      </w:tr>
      <w:tr w14:paraId="3242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90A6F06">
            <w:pPr>
              <w:spacing w:line="240" w:lineRule="exact"/>
              <w:jc w:val="center"/>
              <w:rPr>
                <w:rFonts w:cs="Times New Roman"/>
                <w:b/>
                <w:bCs/>
                <w:color w:val="auto"/>
                <w:sz w:val="18"/>
                <w:szCs w:val="18"/>
              </w:rPr>
            </w:pPr>
          </w:p>
        </w:tc>
        <w:tc>
          <w:tcPr>
            <w:tcW w:w="8380" w:type="dxa"/>
            <w:gridSpan w:val="3"/>
            <w:vAlign w:val="center"/>
          </w:tcPr>
          <w:p w14:paraId="587817D3">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2.</w:t>
            </w:r>
            <w:r>
              <w:rPr>
                <w:rFonts w:hint="eastAsia"/>
                <w:b/>
                <w:bCs/>
                <w:color w:val="auto"/>
                <w:sz w:val="18"/>
                <w:szCs w:val="18"/>
              </w:rPr>
              <w:t>4</w:t>
            </w:r>
            <w:r>
              <w:rPr>
                <w:rFonts w:hint="eastAsia" w:cs="宋体"/>
                <w:b/>
                <w:bCs/>
                <w:color w:val="auto"/>
                <w:sz w:val="18"/>
                <w:szCs w:val="18"/>
              </w:rPr>
              <w:t>站区消防道路、安全疏散通道及出口的设置情况</w:t>
            </w:r>
          </w:p>
        </w:tc>
      </w:tr>
      <w:tr w14:paraId="00D0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E4C0D5E">
            <w:pPr>
              <w:spacing w:line="240" w:lineRule="exact"/>
              <w:jc w:val="center"/>
              <w:rPr>
                <w:color w:val="auto"/>
                <w:sz w:val="18"/>
                <w:szCs w:val="18"/>
              </w:rPr>
            </w:pPr>
            <w:r>
              <w:rPr>
                <w:color w:val="auto"/>
                <w:sz w:val="18"/>
                <w:szCs w:val="18"/>
              </w:rPr>
              <w:t>1</w:t>
            </w:r>
          </w:p>
        </w:tc>
        <w:tc>
          <w:tcPr>
            <w:tcW w:w="5930" w:type="dxa"/>
            <w:vAlign w:val="center"/>
          </w:tcPr>
          <w:p w14:paraId="3B61FA58">
            <w:pPr>
              <w:adjustRightInd w:val="0"/>
              <w:snapToGrid w:val="0"/>
              <w:spacing w:line="240" w:lineRule="exact"/>
              <w:rPr>
                <w:rFonts w:cs="Times New Roman"/>
                <w:color w:val="auto"/>
                <w:sz w:val="18"/>
                <w:szCs w:val="18"/>
              </w:rPr>
            </w:pPr>
            <w:r>
              <w:rPr>
                <w:rFonts w:hint="eastAsia" w:cs="Times New Roman"/>
                <w:color w:val="auto"/>
                <w:sz w:val="18"/>
                <w:szCs w:val="18"/>
              </w:rPr>
              <w:t>站区道路布置：站内道路布置与站外道路贯通，利于站区安全和消防。</w:t>
            </w:r>
          </w:p>
        </w:tc>
        <w:tc>
          <w:tcPr>
            <w:tcW w:w="1580" w:type="dxa"/>
            <w:vAlign w:val="center"/>
          </w:tcPr>
          <w:p w14:paraId="35CD3AEC">
            <w:pPr>
              <w:spacing w:line="240" w:lineRule="exact"/>
              <w:jc w:val="center"/>
              <w:rPr>
                <w:rFonts w:cs="Times New Roman"/>
                <w:color w:val="auto"/>
                <w:sz w:val="18"/>
                <w:szCs w:val="18"/>
              </w:rPr>
            </w:pPr>
            <w:r>
              <w:rPr>
                <w:rFonts w:hint="eastAsia" w:cs="Times New Roman"/>
                <w:color w:val="auto"/>
                <w:sz w:val="18"/>
                <w:szCs w:val="18"/>
              </w:rPr>
              <w:t>站区道路按要求设置</w:t>
            </w:r>
          </w:p>
        </w:tc>
        <w:tc>
          <w:tcPr>
            <w:tcW w:w="870" w:type="dxa"/>
            <w:vAlign w:val="center"/>
          </w:tcPr>
          <w:p w14:paraId="3BAF8331">
            <w:pPr>
              <w:spacing w:line="240" w:lineRule="exact"/>
              <w:jc w:val="center"/>
              <w:rPr>
                <w:rFonts w:cs="Times New Roman"/>
                <w:color w:val="auto"/>
                <w:sz w:val="18"/>
                <w:szCs w:val="18"/>
              </w:rPr>
            </w:pPr>
            <w:r>
              <w:rPr>
                <w:rFonts w:hint="eastAsia" w:cs="Times New Roman"/>
                <w:color w:val="auto"/>
                <w:sz w:val="18"/>
                <w:szCs w:val="18"/>
              </w:rPr>
              <w:t>已落实</w:t>
            </w:r>
          </w:p>
        </w:tc>
      </w:tr>
      <w:tr w14:paraId="19A0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183B5150">
            <w:pPr>
              <w:spacing w:line="240" w:lineRule="exact"/>
              <w:jc w:val="center"/>
              <w:rPr>
                <w:color w:val="auto"/>
                <w:sz w:val="18"/>
                <w:szCs w:val="18"/>
              </w:rPr>
            </w:pPr>
            <w:r>
              <w:rPr>
                <w:color w:val="auto"/>
                <w:sz w:val="18"/>
                <w:szCs w:val="18"/>
              </w:rPr>
              <w:t>2</w:t>
            </w:r>
          </w:p>
        </w:tc>
        <w:tc>
          <w:tcPr>
            <w:tcW w:w="5930" w:type="dxa"/>
            <w:vAlign w:val="center"/>
          </w:tcPr>
          <w:p w14:paraId="1A3222A7">
            <w:pPr>
              <w:adjustRightInd w:val="0"/>
              <w:snapToGrid w:val="0"/>
              <w:spacing w:line="240" w:lineRule="exact"/>
              <w:rPr>
                <w:rFonts w:cs="Times New Roman"/>
                <w:color w:val="auto"/>
                <w:sz w:val="18"/>
                <w:szCs w:val="18"/>
              </w:rPr>
            </w:pPr>
            <w:r>
              <w:rPr>
                <w:rFonts w:hint="eastAsia" w:cs="Times New Roman"/>
                <w:color w:val="auto"/>
                <w:sz w:val="18"/>
                <w:szCs w:val="18"/>
              </w:rPr>
              <w:t>站区道路均为混凝土路面，站区道路设计通畅，能保证车辆交错时的正常通行。</w:t>
            </w:r>
          </w:p>
        </w:tc>
        <w:tc>
          <w:tcPr>
            <w:tcW w:w="1580" w:type="dxa"/>
            <w:vAlign w:val="center"/>
          </w:tcPr>
          <w:p w14:paraId="164311E8">
            <w:pPr>
              <w:spacing w:line="240" w:lineRule="exact"/>
              <w:jc w:val="center"/>
              <w:rPr>
                <w:color w:val="auto"/>
                <w:sz w:val="18"/>
                <w:szCs w:val="18"/>
              </w:rPr>
            </w:pPr>
            <w:r>
              <w:rPr>
                <w:rFonts w:hint="eastAsia"/>
                <w:color w:val="auto"/>
                <w:sz w:val="18"/>
                <w:szCs w:val="18"/>
              </w:rPr>
              <w:t>混凝土路面，道路畅通</w:t>
            </w:r>
          </w:p>
        </w:tc>
        <w:tc>
          <w:tcPr>
            <w:tcW w:w="870" w:type="dxa"/>
            <w:vAlign w:val="center"/>
          </w:tcPr>
          <w:p w14:paraId="1F6D1063">
            <w:pPr>
              <w:spacing w:line="240" w:lineRule="exact"/>
              <w:jc w:val="center"/>
              <w:rPr>
                <w:rFonts w:cs="Times New Roman"/>
                <w:color w:val="auto"/>
                <w:sz w:val="18"/>
                <w:szCs w:val="18"/>
              </w:rPr>
            </w:pPr>
            <w:r>
              <w:rPr>
                <w:rFonts w:hint="eastAsia" w:cs="Times New Roman"/>
                <w:color w:val="auto"/>
                <w:sz w:val="18"/>
                <w:szCs w:val="18"/>
              </w:rPr>
              <w:t>已落实</w:t>
            </w:r>
          </w:p>
        </w:tc>
      </w:tr>
      <w:tr w14:paraId="4368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3831375">
            <w:pPr>
              <w:spacing w:line="240" w:lineRule="exact"/>
              <w:jc w:val="center"/>
              <w:rPr>
                <w:color w:val="auto"/>
                <w:sz w:val="18"/>
                <w:szCs w:val="18"/>
              </w:rPr>
            </w:pPr>
            <w:r>
              <w:rPr>
                <w:color w:val="auto"/>
                <w:sz w:val="18"/>
                <w:szCs w:val="18"/>
              </w:rPr>
              <w:t>3</w:t>
            </w:r>
          </w:p>
        </w:tc>
        <w:tc>
          <w:tcPr>
            <w:tcW w:w="5930" w:type="dxa"/>
            <w:vAlign w:val="center"/>
          </w:tcPr>
          <w:p w14:paraId="16727052">
            <w:pPr>
              <w:adjustRightInd w:val="0"/>
              <w:snapToGrid w:val="0"/>
              <w:spacing w:line="240" w:lineRule="exact"/>
              <w:rPr>
                <w:rFonts w:cs="Times New Roman"/>
                <w:color w:val="auto"/>
                <w:sz w:val="18"/>
                <w:szCs w:val="18"/>
              </w:rPr>
            </w:pPr>
            <w:r>
              <w:rPr>
                <w:rFonts w:hint="eastAsia" w:cs="Times New Roman"/>
                <w:color w:val="auto"/>
                <w:sz w:val="18"/>
                <w:szCs w:val="18"/>
              </w:rPr>
              <w:t>站内车道宽度按车辆类型确定。单车道宽度不小于4m，双车道宽度不小于6m。站内的道路转弯半径按行驶车型确定，且不宜小于9m。</w:t>
            </w:r>
          </w:p>
        </w:tc>
        <w:tc>
          <w:tcPr>
            <w:tcW w:w="1580" w:type="dxa"/>
            <w:vAlign w:val="center"/>
          </w:tcPr>
          <w:p w14:paraId="0669AA8D">
            <w:pPr>
              <w:spacing w:line="240" w:lineRule="exact"/>
              <w:jc w:val="center"/>
              <w:rPr>
                <w:color w:val="auto"/>
                <w:sz w:val="18"/>
                <w:szCs w:val="18"/>
              </w:rPr>
            </w:pPr>
            <w:r>
              <w:rPr>
                <w:rFonts w:hint="eastAsia"/>
                <w:color w:val="auto"/>
                <w:sz w:val="18"/>
                <w:szCs w:val="18"/>
              </w:rPr>
              <w:t>道路按要求布置</w:t>
            </w:r>
          </w:p>
        </w:tc>
        <w:tc>
          <w:tcPr>
            <w:tcW w:w="870" w:type="dxa"/>
            <w:vAlign w:val="center"/>
          </w:tcPr>
          <w:p w14:paraId="7FC64CC0">
            <w:pPr>
              <w:spacing w:line="240" w:lineRule="exact"/>
              <w:jc w:val="center"/>
              <w:rPr>
                <w:rFonts w:cs="Times New Roman"/>
                <w:color w:val="auto"/>
                <w:sz w:val="18"/>
                <w:szCs w:val="18"/>
              </w:rPr>
            </w:pPr>
            <w:r>
              <w:rPr>
                <w:rFonts w:hint="eastAsia" w:cs="Times New Roman"/>
                <w:color w:val="auto"/>
                <w:sz w:val="18"/>
                <w:szCs w:val="18"/>
              </w:rPr>
              <w:t>已落实</w:t>
            </w:r>
          </w:p>
        </w:tc>
      </w:tr>
      <w:tr w14:paraId="7E37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85E45A0">
            <w:pPr>
              <w:spacing w:line="240" w:lineRule="exact"/>
              <w:jc w:val="center"/>
              <w:rPr>
                <w:color w:val="auto"/>
                <w:sz w:val="18"/>
                <w:szCs w:val="18"/>
              </w:rPr>
            </w:pPr>
            <w:r>
              <w:rPr>
                <w:color w:val="auto"/>
                <w:sz w:val="18"/>
                <w:szCs w:val="18"/>
              </w:rPr>
              <w:t>4</w:t>
            </w:r>
          </w:p>
        </w:tc>
        <w:tc>
          <w:tcPr>
            <w:tcW w:w="5930" w:type="dxa"/>
            <w:vAlign w:val="center"/>
          </w:tcPr>
          <w:p w14:paraId="2929A2D1">
            <w:pPr>
              <w:adjustRightInd w:val="0"/>
              <w:snapToGrid w:val="0"/>
              <w:spacing w:line="240" w:lineRule="exact"/>
              <w:rPr>
                <w:rFonts w:cs="Times New Roman"/>
                <w:color w:val="auto"/>
                <w:sz w:val="18"/>
                <w:szCs w:val="18"/>
              </w:rPr>
            </w:pPr>
            <w:r>
              <w:rPr>
                <w:rFonts w:hint="eastAsia" w:cs="Times New Roman"/>
                <w:color w:val="auto"/>
                <w:sz w:val="18"/>
                <w:szCs w:val="18"/>
              </w:rPr>
              <w:t>站内停车位为平坡，道路坡度不大于</w:t>
            </w:r>
            <w:r>
              <w:rPr>
                <w:rFonts w:hint="eastAsia" w:cs="Times New Roman"/>
                <w:color w:val="auto"/>
                <w:sz w:val="18"/>
                <w:szCs w:val="18"/>
                <w:lang w:val="en-US" w:eastAsia="zh-CN"/>
              </w:rPr>
              <w:t>6</w:t>
            </w:r>
            <w:r>
              <w:rPr>
                <w:rFonts w:hint="eastAsia" w:cs="Times New Roman"/>
                <w:color w:val="auto"/>
                <w:sz w:val="18"/>
                <w:szCs w:val="18"/>
              </w:rPr>
              <w:t>%，且宜坡向站外。</w:t>
            </w:r>
          </w:p>
        </w:tc>
        <w:tc>
          <w:tcPr>
            <w:tcW w:w="1580" w:type="dxa"/>
            <w:vAlign w:val="center"/>
          </w:tcPr>
          <w:p w14:paraId="03F5ED44">
            <w:pPr>
              <w:spacing w:line="240" w:lineRule="exact"/>
              <w:jc w:val="center"/>
              <w:rPr>
                <w:rFonts w:cs="Times New Roman"/>
                <w:color w:val="auto"/>
                <w:sz w:val="18"/>
                <w:szCs w:val="18"/>
              </w:rPr>
            </w:pPr>
            <w:r>
              <w:rPr>
                <w:rFonts w:hint="eastAsia" w:cs="Times New Roman"/>
                <w:color w:val="auto"/>
                <w:sz w:val="18"/>
                <w:szCs w:val="18"/>
              </w:rPr>
              <w:t>坡向站外</w:t>
            </w:r>
          </w:p>
        </w:tc>
        <w:tc>
          <w:tcPr>
            <w:tcW w:w="870" w:type="dxa"/>
            <w:vAlign w:val="center"/>
          </w:tcPr>
          <w:p w14:paraId="0571503E">
            <w:pPr>
              <w:spacing w:line="240" w:lineRule="exact"/>
              <w:jc w:val="center"/>
              <w:rPr>
                <w:rFonts w:cs="Times New Roman"/>
                <w:color w:val="auto"/>
                <w:sz w:val="18"/>
                <w:szCs w:val="18"/>
              </w:rPr>
            </w:pPr>
            <w:r>
              <w:rPr>
                <w:rFonts w:hint="eastAsia" w:cs="Times New Roman"/>
                <w:color w:val="auto"/>
                <w:sz w:val="18"/>
                <w:szCs w:val="18"/>
              </w:rPr>
              <w:t>已落实</w:t>
            </w:r>
          </w:p>
        </w:tc>
      </w:tr>
      <w:tr w14:paraId="153E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47859B8E">
            <w:pPr>
              <w:spacing w:line="240" w:lineRule="exact"/>
              <w:jc w:val="center"/>
              <w:rPr>
                <w:rFonts w:cs="Times New Roman"/>
                <w:b/>
                <w:bCs/>
                <w:color w:val="auto"/>
                <w:sz w:val="18"/>
                <w:szCs w:val="18"/>
              </w:rPr>
            </w:pPr>
          </w:p>
        </w:tc>
        <w:tc>
          <w:tcPr>
            <w:tcW w:w="8380" w:type="dxa"/>
            <w:gridSpan w:val="3"/>
            <w:vAlign w:val="center"/>
          </w:tcPr>
          <w:p w14:paraId="75F7081F">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 xml:space="preserve">.3 </w:t>
            </w:r>
            <w:r>
              <w:rPr>
                <w:rFonts w:hint="eastAsia" w:ascii="宋体" w:hAnsi="宋体" w:cs="宋体"/>
                <w:b/>
                <w:bCs/>
                <w:color w:val="auto"/>
                <w:sz w:val="18"/>
                <w:szCs w:val="18"/>
              </w:rPr>
              <w:t>设备及管道的安全措施</w:t>
            </w:r>
          </w:p>
        </w:tc>
      </w:tr>
      <w:tr w14:paraId="29FB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8D1CBAF">
            <w:pPr>
              <w:spacing w:line="240" w:lineRule="exact"/>
              <w:jc w:val="center"/>
              <w:rPr>
                <w:color w:val="auto"/>
                <w:sz w:val="18"/>
                <w:szCs w:val="18"/>
              </w:rPr>
            </w:pPr>
            <w:r>
              <w:rPr>
                <w:color w:val="auto"/>
                <w:sz w:val="18"/>
                <w:szCs w:val="18"/>
              </w:rPr>
              <w:t>1</w:t>
            </w:r>
          </w:p>
        </w:tc>
        <w:tc>
          <w:tcPr>
            <w:tcW w:w="5930" w:type="dxa"/>
            <w:vAlign w:val="center"/>
          </w:tcPr>
          <w:p w14:paraId="04FDA4EE">
            <w:pPr>
              <w:adjustRightInd w:val="0"/>
              <w:snapToGrid w:val="0"/>
              <w:spacing w:line="240" w:lineRule="exact"/>
              <w:rPr>
                <w:rFonts w:cs="Times New Roman"/>
                <w:color w:val="auto"/>
                <w:sz w:val="18"/>
                <w:szCs w:val="18"/>
              </w:rPr>
            </w:pPr>
            <w:r>
              <w:rPr>
                <w:rFonts w:ascii="Times New Roman" w:hAnsi="Times New Roman" w:cs="Times New Roman"/>
                <w:color w:val="auto"/>
                <w:sz w:val="18"/>
                <w:szCs w:val="18"/>
              </w:rPr>
              <w:t>本加油站埋地油罐采用内钢外玻璃纤维增强塑料双层油罐（SF双层罐，Φ2</w:t>
            </w:r>
            <w:r>
              <w:rPr>
                <w:rFonts w:hint="eastAsia" w:ascii="Times New Roman" w:hAnsi="Times New Roman" w:cs="Times New Roman"/>
                <w:color w:val="auto"/>
                <w:sz w:val="18"/>
                <w:szCs w:val="18"/>
              </w:rPr>
              <w:t>.6</w:t>
            </w:r>
            <w:r>
              <w:rPr>
                <w:rFonts w:ascii="Times New Roman" w:hAnsi="Times New Roman" w:cs="Times New Roman"/>
                <w:color w:val="auto"/>
                <w:sz w:val="18"/>
                <w:szCs w:val="18"/>
              </w:rPr>
              <w:t>×</w:t>
            </w:r>
            <w:r>
              <w:rPr>
                <w:rFonts w:hint="eastAsia" w:ascii="Times New Roman" w:hAnsi="Times New Roman" w:cs="Times New Roman"/>
                <w:color w:val="auto"/>
                <w:sz w:val="18"/>
                <w:szCs w:val="18"/>
              </w:rPr>
              <w:t>6</w:t>
            </w:r>
            <w:r>
              <w:rPr>
                <w:rFonts w:ascii="Times New Roman" w:hAnsi="Times New Roman" w:cs="Times New Roman"/>
                <w:color w:val="auto"/>
                <w:sz w:val="18"/>
                <w:szCs w:val="18"/>
              </w:rPr>
              <w:t>m，V=</w:t>
            </w:r>
            <w:r>
              <w:rPr>
                <w:rFonts w:hint="eastAsia" w:ascii="Times New Roman" w:hAnsi="Times New Roman" w:cs="Times New Roman"/>
                <w:color w:val="auto"/>
                <w:sz w:val="18"/>
                <w:szCs w:val="18"/>
              </w:rPr>
              <w:t>3</w:t>
            </w:r>
            <w:r>
              <w:rPr>
                <w:rFonts w:ascii="Times New Roman" w:hAnsi="Times New Roman" w:cs="Times New Roman"/>
                <w:color w:val="auto"/>
                <w:sz w:val="18"/>
                <w:szCs w:val="18"/>
              </w:rPr>
              <w:t>0m³），内层钢制罐体的厚度至少为7mm，封头厚度至少为8mm，且外层玻璃纤维增强塑料的外层壁厚不小于5mm，封头厚度至少为6mm；内层钢制油罐的设计内压不低于0.08MPa，双层油罐上</w:t>
            </w:r>
            <w:r>
              <w:rPr>
                <w:rFonts w:hint="eastAsia" w:ascii="Times New Roman" w:hAnsi="Times New Roman" w:cs="Times New Roman"/>
                <w:color w:val="auto"/>
                <w:sz w:val="18"/>
                <w:szCs w:val="18"/>
                <w:lang w:eastAsia="zh-CN"/>
              </w:rPr>
              <w:t>设置</w:t>
            </w:r>
            <w:r>
              <w:rPr>
                <w:rFonts w:ascii="Times New Roman" w:hAnsi="Times New Roman" w:cs="Times New Roman"/>
                <w:color w:val="auto"/>
                <w:sz w:val="18"/>
                <w:szCs w:val="18"/>
              </w:rPr>
              <w:t>渗漏检测立管，并配备防渗漏检测仪，防止内层罐的油品泄漏。本加油站采用的油罐选用符合《加油站用埋地钢-玻璃纤维增强塑料双层油罐工程技术规范》SH/T3178-2015 的设备，并应有质量证明文件。</w:t>
            </w:r>
          </w:p>
        </w:tc>
        <w:tc>
          <w:tcPr>
            <w:tcW w:w="1580" w:type="dxa"/>
            <w:vAlign w:val="center"/>
          </w:tcPr>
          <w:p w14:paraId="50341005">
            <w:pPr>
              <w:spacing w:line="240" w:lineRule="exact"/>
              <w:jc w:val="center"/>
              <w:rPr>
                <w:rFonts w:cs="Times New Roman"/>
                <w:color w:val="auto"/>
                <w:sz w:val="18"/>
                <w:szCs w:val="18"/>
              </w:rPr>
            </w:pPr>
            <w:r>
              <w:rPr>
                <w:rFonts w:hint="eastAsia" w:eastAsia="宋体" w:cs="Times New Roman"/>
                <w:color w:val="auto"/>
                <w:sz w:val="18"/>
                <w:szCs w:val="18"/>
              </w:rPr>
              <w:t>SF双层储罐</w:t>
            </w:r>
          </w:p>
        </w:tc>
        <w:tc>
          <w:tcPr>
            <w:tcW w:w="870" w:type="dxa"/>
            <w:vAlign w:val="center"/>
          </w:tcPr>
          <w:p w14:paraId="3D567748">
            <w:pPr>
              <w:spacing w:line="240" w:lineRule="exact"/>
              <w:jc w:val="center"/>
              <w:rPr>
                <w:rFonts w:cs="Times New Roman"/>
                <w:color w:val="auto"/>
                <w:sz w:val="18"/>
                <w:szCs w:val="18"/>
              </w:rPr>
            </w:pPr>
            <w:r>
              <w:rPr>
                <w:rFonts w:hint="eastAsia" w:cs="Times New Roman"/>
                <w:color w:val="auto"/>
                <w:sz w:val="18"/>
                <w:szCs w:val="18"/>
              </w:rPr>
              <w:t>已落实</w:t>
            </w:r>
          </w:p>
        </w:tc>
      </w:tr>
      <w:tr w14:paraId="796C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F41840F">
            <w:pPr>
              <w:spacing w:line="240" w:lineRule="exact"/>
              <w:jc w:val="center"/>
              <w:rPr>
                <w:color w:val="auto"/>
                <w:sz w:val="18"/>
                <w:szCs w:val="18"/>
              </w:rPr>
            </w:pPr>
            <w:r>
              <w:rPr>
                <w:color w:val="auto"/>
                <w:sz w:val="18"/>
                <w:szCs w:val="18"/>
              </w:rPr>
              <w:t>2</w:t>
            </w:r>
          </w:p>
        </w:tc>
        <w:tc>
          <w:tcPr>
            <w:tcW w:w="5930" w:type="dxa"/>
            <w:vAlign w:val="center"/>
          </w:tcPr>
          <w:p w14:paraId="25DFEC83">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本加油站加油机选用符合国家标准《机动车燃油加油机》GB/T9081-2023的成套设备，并应有质量证明文件。</w:t>
            </w:r>
          </w:p>
          <w:p w14:paraId="11CEFE0A">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（1）加油软管上设安全拉断阀。</w:t>
            </w:r>
          </w:p>
          <w:p w14:paraId="0D76B02F">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（2）采用一机多油品的加油机，加油机上的放枪位设有各油品的文字标识和语音提示功能，加油枪配有颜色标识。</w:t>
            </w:r>
          </w:p>
          <w:p w14:paraId="6E73AF9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（3）加油机底部管道上设置安全剪切阀。</w:t>
            </w:r>
          </w:p>
        </w:tc>
        <w:tc>
          <w:tcPr>
            <w:tcW w:w="1580" w:type="dxa"/>
            <w:vAlign w:val="center"/>
          </w:tcPr>
          <w:p w14:paraId="46911AA7">
            <w:pPr>
              <w:spacing w:line="240" w:lineRule="exact"/>
              <w:jc w:val="center"/>
              <w:rPr>
                <w:rFonts w:cs="Times New Roman"/>
                <w:color w:val="auto"/>
                <w:sz w:val="18"/>
                <w:szCs w:val="18"/>
              </w:rPr>
            </w:pPr>
            <w:r>
              <w:rPr>
                <w:rFonts w:hint="eastAsia" w:cs="Times New Roman"/>
                <w:color w:val="auto"/>
                <w:sz w:val="18"/>
                <w:szCs w:val="18"/>
              </w:rPr>
              <w:t>加油软管设有安全拉断阀；加油机设有文字标识及颜色标识；加油机底部设有安全剪切阀</w:t>
            </w:r>
          </w:p>
        </w:tc>
        <w:tc>
          <w:tcPr>
            <w:tcW w:w="870" w:type="dxa"/>
            <w:vAlign w:val="center"/>
          </w:tcPr>
          <w:p w14:paraId="016B69D9">
            <w:pPr>
              <w:spacing w:line="240" w:lineRule="exact"/>
              <w:jc w:val="center"/>
              <w:rPr>
                <w:rFonts w:cs="Times New Roman"/>
                <w:color w:val="auto"/>
                <w:sz w:val="18"/>
                <w:szCs w:val="18"/>
              </w:rPr>
            </w:pPr>
            <w:r>
              <w:rPr>
                <w:rFonts w:hint="eastAsia" w:cs="Times New Roman"/>
                <w:color w:val="auto"/>
                <w:sz w:val="18"/>
                <w:szCs w:val="18"/>
              </w:rPr>
              <w:t>已落实</w:t>
            </w:r>
          </w:p>
        </w:tc>
      </w:tr>
      <w:tr w14:paraId="32D5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7104ABC">
            <w:pPr>
              <w:spacing w:line="240" w:lineRule="exact"/>
              <w:jc w:val="center"/>
              <w:rPr>
                <w:color w:val="auto"/>
                <w:sz w:val="18"/>
                <w:szCs w:val="18"/>
              </w:rPr>
            </w:pPr>
            <w:r>
              <w:rPr>
                <w:rFonts w:hint="eastAsia"/>
                <w:color w:val="auto"/>
                <w:sz w:val="18"/>
                <w:szCs w:val="18"/>
              </w:rPr>
              <w:t>3</w:t>
            </w:r>
          </w:p>
        </w:tc>
        <w:tc>
          <w:tcPr>
            <w:tcW w:w="5930" w:type="dxa"/>
            <w:vAlign w:val="center"/>
          </w:tcPr>
          <w:p w14:paraId="7427DFD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1、油罐</w:t>
            </w:r>
          </w:p>
          <w:p w14:paraId="1CED99D8">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油罐采用内钢外玻璃纤维增强塑料双层油罐（SF 双层罐，Φ2.</w:t>
            </w:r>
            <w:r>
              <w:rPr>
                <w:rFonts w:hint="eastAsia" w:ascii="Times New Roman" w:hAnsi="Times New Roman" w:cs="Times New Roman"/>
                <w:color w:val="auto"/>
                <w:sz w:val="18"/>
                <w:szCs w:val="18"/>
              </w:rPr>
              <w:t>6</w:t>
            </w:r>
            <w:r>
              <w:rPr>
                <w:rFonts w:ascii="Times New Roman" w:hAnsi="Times New Roman" w:cs="Times New Roman"/>
                <w:color w:val="auto"/>
                <w:sz w:val="18"/>
                <w:szCs w:val="18"/>
              </w:rPr>
              <w:t>×</w:t>
            </w:r>
            <w:r>
              <w:rPr>
                <w:rFonts w:hint="eastAsia" w:ascii="Times New Roman" w:hAnsi="Times New Roman" w:cs="Times New Roman"/>
                <w:color w:val="auto"/>
                <w:sz w:val="18"/>
                <w:szCs w:val="18"/>
              </w:rPr>
              <w:t>6</w:t>
            </w:r>
            <w:r>
              <w:rPr>
                <w:rFonts w:ascii="Times New Roman" w:hAnsi="Times New Roman" w:cs="Times New Roman"/>
                <w:color w:val="auto"/>
                <w:sz w:val="18"/>
                <w:szCs w:val="18"/>
              </w:rPr>
              <w:t>m，V=</w:t>
            </w:r>
            <w:r>
              <w:rPr>
                <w:rFonts w:hint="eastAsia" w:ascii="Times New Roman" w:hAnsi="Times New Roman" w:cs="Times New Roman"/>
                <w:color w:val="auto"/>
                <w:sz w:val="18"/>
                <w:szCs w:val="18"/>
              </w:rPr>
              <w:t>3</w:t>
            </w:r>
            <w:r>
              <w:rPr>
                <w:rFonts w:ascii="Times New Roman" w:hAnsi="Times New Roman" w:cs="Times New Roman"/>
                <w:color w:val="auto"/>
                <w:sz w:val="18"/>
                <w:szCs w:val="18"/>
              </w:rPr>
              <w:t>0m³），内层钢制罐体的厚度至少为7mm，封头厚度至少为8mm，且外层玻璃纤维增强塑料的外层壁厚不小于5mm，封头厚度至少为6mm；内层钢制油罐的设计内压不低于0.08MPa，满足规范要求。双层油罐上设置渗漏检测立管，并配备防渗漏检测仪，防止内层罐的油品泄漏。</w:t>
            </w:r>
          </w:p>
          <w:p w14:paraId="05DCA4D3">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1）双层油罐内壁与外壁之间有满足渗漏检测要求的贯通间隙。</w:t>
            </w:r>
          </w:p>
          <w:p w14:paraId="544171D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2）双层油罐上设置渗漏检测立管，并符合下列规定：</w:t>
            </w:r>
          </w:p>
          <w:p w14:paraId="09B7AC4E">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a.检测立管采用钢管，直径宜为80mm，壁厚不小于4mm。</w:t>
            </w:r>
          </w:p>
          <w:p w14:paraId="7A02BA8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b.检测立管位于油罐顶部的纵向中心线上。</w:t>
            </w:r>
          </w:p>
          <w:p w14:paraId="56537DC5">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c.检测立管的底部管口与油罐内、外壁间隙相连通，顶部管口装防尘盖。</w:t>
            </w:r>
          </w:p>
          <w:p w14:paraId="12041633">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d.检测立管满足人工检测和在线监测的要求，并保证油罐内、外壁任何部位出现渗漏均能被发现。</w:t>
            </w:r>
          </w:p>
          <w:p w14:paraId="5F5B608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3）埋地油罐的人孔设操作井，人孔井采用加油站车道下专用的密闭井盖和井座。</w:t>
            </w:r>
          </w:p>
          <w:p w14:paraId="5045BE6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4）油罐埋地设置，罐顶低于路面1.2m。</w:t>
            </w:r>
          </w:p>
          <w:p w14:paraId="7CE5414D">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5）埋地油罐采取防止油罐上浮的措施。每个油罐设置3根抗浮抱带（扁钢带-80×8mm）。本加油站油罐设12条抗浮抱带。</w:t>
            </w:r>
          </w:p>
          <w:p w14:paraId="2A77C50C">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6）油罐的量油孔设带锁的量油帽。量油孔下部的接合管向下伸至罐内距罐底200mm处，并有检尺时使接合管内液位与罐内液位相一致的技术措施。</w:t>
            </w:r>
          </w:p>
          <w:p w14:paraId="76958B92">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7）油罐人孔井内的管道及设备，保证油罐人孔盖的可拆装性。</w:t>
            </w:r>
          </w:p>
          <w:p w14:paraId="2B01FC5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8）人孔盖上的接合管与引出井外管道的连接，采用金属软管过渡连接（包括潜油泵出油管）。</w:t>
            </w:r>
          </w:p>
          <w:p w14:paraId="1FB9339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9）油罐设置卸油防溢阀，液位检测仪，泄漏检测仪、阻火通气帽和机械呼吸阀等防护装置，油罐通气管口高出地面4m。</w:t>
            </w:r>
          </w:p>
          <w:p w14:paraId="249BCD17">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10）在站内设置防雷、防静电设施，每个油罐与接地干线连接处为两处，油罐、所有设备的金属外壳、配线钢管、铠装电缆铠装层等均采用镀锌扁钢40×4与接地干线可靠接地。设备、管道按照《石油化工静电接地设计规范》SH/T3097-2017进行静电接地。</w:t>
            </w:r>
          </w:p>
        </w:tc>
        <w:tc>
          <w:tcPr>
            <w:tcW w:w="1580" w:type="dxa"/>
            <w:vAlign w:val="center"/>
          </w:tcPr>
          <w:p w14:paraId="36B6FAD8">
            <w:pPr>
              <w:spacing w:line="240" w:lineRule="exact"/>
              <w:jc w:val="center"/>
              <w:rPr>
                <w:rFonts w:cs="Times New Roman"/>
                <w:color w:val="auto"/>
                <w:sz w:val="18"/>
                <w:szCs w:val="18"/>
              </w:rPr>
            </w:pPr>
            <w:r>
              <w:rPr>
                <w:rFonts w:hint="eastAsia" w:cs="Times New Roman"/>
                <w:color w:val="auto"/>
                <w:sz w:val="18"/>
                <w:szCs w:val="18"/>
              </w:rPr>
              <w:t>采用SF双层储罐</w:t>
            </w:r>
          </w:p>
        </w:tc>
        <w:tc>
          <w:tcPr>
            <w:tcW w:w="870" w:type="dxa"/>
            <w:vAlign w:val="center"/>
          </w:tcPr>
          <w:p w14:paraId="27F4E06C">
            <w:pPr>
              <w:spacing w:line="240" w:lineRule="exact"/>
              <w:jc w:val="center"/>
              <w:rPr>
                <w:rFonts w:cs="Times New Roman"/>
                <w:color w:val="auto"/>
                <w:sz w:val="18"/>
                <w:szCs w:val="18"/>
              </w:rPr>
            </w:pPr>
            <w:r>
              <w:rPr>
                <w:rFonts w:hint="eastAsia" w:cs="Times New Roman"/>
                <w:color w:val="auto"/>
                <w:sz w:val="18"/>
                <w:szCs w:val="18"/>
              </w:rPr>
              <w:t>已落实</w:t>
            </w:r>
          </w:p>
        </w:tc>
      </w:tr>
      <w:tr w14:paraId="5F50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53DF958">
            <w:pPr>
              <w:spacing w:line="240" w:lineRule="exact"/>
              <w:jc w:val="center"/>
              <w:rPr>
                <w:color w:val="auto"/>
                <w:sz w:val="18"/>
                <w:szCs w:val="18"/>
              </w:rPr>
            </w:pPr>
            <w:r>
              <w:rPr>
                <w:rFonts w:hint="eastAsia"/>
                <w:color w:val="auto"/>
                <w:sz w:val="18"/>
                <w:szCs w:val="18"/>
              </w:rPr>
              <w:t>4</w:t>
            </w:r>
          </w:p>
        </w:tc>
        <w:tc>
          <w:tcPr>
            <w:tcW w:w="5930" w:type="dxa"/>
            <w:vAlign w:val="center"/>
          </w:tcPr>
          <w:p w14:paraId="5280BAC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2、加油机</w:t>
            </w:r>
          </w:p>
          <w:p w14:paraId="55ED721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1）加油软管上设安全拉断阀。</w:t>
            </w:r>
          </w:p>
          <w:p w14:paraId="7B0B084D">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2）采用一机单油品的加油机，使用自封式加油枪，加油机上的放枪位设有各油品的文字标识，加油枪配有颜色标识，并且有语音提示功能。</w:t>
            </w:r>
          </w:p>
          <w:p w14:paraId="1DA90B4E">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3）加油岛高出加油区停车地坪0.2m，加油岛宽度1.3m，加油岛前后出入口两端设有防撞柱，防止汽车对加油机破坏，防撞柱采用100mm钢管，高度0.5m。</w:t>
            </w:r>
          </w:p>
          <w:p w14:paraId="255AC150">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4）加油机底部管道上设置安全剪切阀。</w:t>
            </w:r>
          </w:p>
          <w:p w14:paraId="1323F1C0">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5）在加油机底部与油气回收立管的连接处，安装一个用于检测液阻和系统密闭性的三通，其旁通短管上设置公称直径为 25mm 的球阀和丝堵。</w:t>
            </w:r>
          </w:p>
          <w:p w14:paraId="2EFF5F00">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6）加油机自带人体防静电触摸装置，加油机</w:t>
            </w:r>
            <w:r>
              <w:rPr>
                <w:rFonts w:hint="eastAsia" w:ascii="Times New Roman" w:hAnsi="Times New Roman" w:cs="Times New Roman"/>
                <w:color w:val="auto"/>
                <w:sz w:val="18"/>
                <w:szCs w:val="18"/>
                <w:lang w:eastAsia="zh-CN"/>
              </w:rPr>
              <w:t>防静电接地</w:t>
            </w:r>
            <w:r>
              <w:rPr>
                <w:rFonts w:ascii="Times New Roman" w:hAnsi="Times New Roman" w:cs="Times New Roman"/>
                <w:color w:val="auto"/>
                <w:sz w:val="18"/>
                <w:szCs w:val="18"/>
              </w:rPr>
              <w:t>与全站接地网</w:t>
            </w:r>
            <w:r>
              <w:rPr>
                <w:rFonts w:hint="eastAsia" w:ascii="Times New Roman" w:hAnsi="Times New Roman" w:cs="Times New Roman"/>
                <w:color w:val="auto"/>
                <w:sz w:val="18"/>
                <w:szCs w:val="18"/>
                <w:lang w:eastAsia="zh-CN"/>
              </w:rPr>
              <w:t>相连</w:t>
            </w:r>
            <w:r>
              <w:rPr>
                <w:rFonts w:ascii="Times New Roman" w:hAnsi="Times New Roman" w:cs="Times New Roman"/>
                <w:color w:val="auto"/>
                <w:sz w:val="18"/>
                <w:szCs w:val="18"/>
              </w:rPr>
              <w:t>。</w:t>
            </w:r>
          </w:p>
          <w:p w14:paraId="0E9AACD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7）加油机采用自封式加油枪，枪身设计的自封装置能够确保在容器加满时自动关闭油枪，防止介质外溢。汽油加油枪的流量不大于50L/min。</w:t>
            </w:r>
          </w:p>
        </w:tc>
        <w:tc>
          <w:tcPr>
            <w:tcW w:w="1580" w:type="dxa"/>
            <w:vAlign w:val="center"/>
          </w:tcPr>
          <w:p w14:paraId="53E5508C">
            <w:pPr>
              <w:spacing w:line="240" w:lineRule="exact"/>
              <w:jc w:val="center"/>
              <w:rPr>
                <w:rFonts w:cs="Times New Roman"/>
                <w:color w:val="auto"/>
                <w:sz w:val="18"/>
                <w:szCs w:val="18"/>
              </w:rPr>
            </w:pPr>
            <w:r>
              <w:rPr>
                <w:rFonts w:hint="eastAsia" w:cs="Times New Roman"/>
                <w:color w:val="auto"/>
                <w:sz w:val="18"/>
                <w:szCs w:val="18"/>
              </w:rPr>
              <w:t>按要求设置</w:t>
            </w:r>
          </w:p>
        </w:tc>
        <w:tc>
          <w:tcPr>
            <w:tcW w:w="870" w:type="dxa"/>
            <w:shd w:val="clear" w:color="auto" w:fill="auto"/>
            <w:vAlign w:val="center"/>
          </w:tcPr>
          <w:p w14:paraId="54ADB576">
            <w:pPr>
              <w:spacing w:line="240" w:lineRule="exact"/>
              <w:jc w:val="center"/>
              <w:rPr>
                <w:rFonts w:cs="Times New Roman"/>
                <w:color w:val="auto"/>
                <w:sz w:val="18"/>
                <w:szCs w:val="18"/>
              </w:rPr>
            </w:pPr>
            <w:r>
              <w:rPr>
                <w:rFonts w:hint="eastAsia" w:cs="Times New Roman"/>
                <w:color w:val="auto"/>
                <w:sz w:val="18"/>
                <w:szCs w:val="18"/>
              </w:rPr>
              <w:t>已落实</w:t>
            </w:r>
          </w:p>
        </w:tc>
      </w:tr>
      <w:tr w14:paraId="787F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3C3E6B1">
            <w:pPr>
              <w:spacing w:line="240" w:lineRule="exact"/>
              <w:jc w:val="center"/>
              <w:rPr>
                <w:rFonts w:cs="Times New Roman"/>
                <w:b/>
                <w:bCs/>
                <w:color w:val="auto"/>
                <w:sz w:val="18"/>
                <w:szCs w:val="18"/>
              </w:rPr>
            </w:pPr>
          </w:p>
        </w:tc>
        <w:tc>
          <w:tcPr>
            <w:tcW w:w="8380" w:type="dxa"/>
            <w:gridSpan w:val="3"/>
            <w:vAlign w:val="center"/>
          </w:tcPr>
          <w:p w14:paraId="164C01F3">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4 </w:t>
            </w:r>
            <w:r>
              <w:rPr>
                <w:rFonts w:hint="eastAsia" w:ascii="宋体" w:hAnsi="宋体" w:cs="宋体"/>
                <w:b/>
                <w:bCs/>
                <w:color w:val="auto"/>
                <w:sz w:val="18"/>
                <w:szCs w:val="18"/>
              </w:rPr>
              <w:t>电气方面的安全措施</w:t>
            </w:r>
          </w:p>
        </w:tc>
      </w:tr>
      <w:tr w14:paraId="56A9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ABD2495">
            <w:pPr>
              <w:spacing w:line="240" w:lineRule="exact"/>
              <w:jc w:val="center"/>
              <w:rPr>
                <w:color w:val="auto"/>
                <w:sz w:val="18"/>
                <w:szCs w:val="18"/>
              </w:rPr>
            </w:pPr>
            <w:r>
              <w:rPr>
                <w:color w:val="auto"/>
                <w:sz w:val="18"/>
                <w:szCs w:val="18"/>
              </w:rPr>
              <w:t>1</w:t>
            </w:r>
          </w:p>
        </w:tc>
        <w:tc>
          <w:tcPr>
            <w:tcW w:w="5930" w:type="dxa"/>
            <w:vAlign w:val="center"/>
          </w:tcPr>
          <w:p w14:paraId="24494109">
            <w:pPr>
              <w:adjustRightInd w:val="0"/>
              <w:snapToGrid w:val="0"/>
              <w:spacing w:line="240" w:lineRule="exact"/>
              <w:rPr>
                <w:rFonts w:cs="Times New Roman"/>
                <w:color w:val="auto"/>
                <w:sz w:val="18"/>
                <w:szCs w:val="18"/>
              </w:rPr>
            </w:pPr>
            <w:r>
              <w:rPr>
                <w:rFonts w:hint="eastAsia" w:cs="Times New Roman"/>
                <w:color w:val="auto"/>
                <w:sz w:val="18"/>
                <w:szCs w:val="18"/>
              </w:rPr>
              <w:t>配电房安全对策措施：</w:t>
            </w:r>
          </w:p>
          <w:p w14:paraId="186CC0D0">
            <w:pPr>
              <w:adjustRightInd w:val="0"/>
              <w:snapToGrid w:val="0"/>
              <w:spacing w:line="240" w:lineRule="exact"/>
              <w:rPr>
                <w:rFonts w:cs="Times New Roman"/>
                <w:color w:val="auto"/>
                <w:sz w:val="18"/>
                <w:szCs w:val="18"/>
              </w:rPr>
            </w:pPr>
            <w:r>
              <w:rPr>
                <w:rFonts w:hint="eastAsia" w:cs="Times New Roman"/>
                <w:color w:val="auto"/>
                <w:sz w:val="18"/>
                <w:szCs w:val="18"/>
              </w:rPr>
              <w:t>1）配电房设</w:t>
            </w:r>
            <w:r>
              <w:rPr>
                <w:rFonts w:hint="eastAsia" w:cs="Times New Roman"/>
                <w:color w:val="auto"/>
                <w:sz w:val="18"/>
                <w:szCs w:val="18"/>
                <w:lang w:eastAsia="zh-CN"/>
              </w:rPr>
              <w:t>置在</w:t>
            </w:r>
            <w:r>
              <w:rPr>
                <w:rFonts w:hint="eastAsia" w:cs="Times New Roman"/>
                <w:color w:val="auto"/>
                <w:sz w:val="18"/>
                <w:szCs w:val="18"/>
              </w:rPr>
              <w:t>站房内，在爆炸危险区域之外，且与爆炸危险区域边界线的距离大于3m。</w:t>
            </w:r>
          </w:p>
          <w:p w14:paraId="17496BC6">
            <w:pPr>
              <w:adjustRightInd w:val="0"/>
              <w:snapToGrid w:val="0"/>
              <w:spacing w:line="240" w:lineRule="exact"/>
              <w:rPr>
                <w:rFonts w:cs="Times New Roman"/>
                <w:color w:val="auto"/>
                <w:sz w:val="18"/>
                <w:szCs w:val="18"/>
              </w:rPr>
            </w:pPr>
            <w:r>
              <w:rPr>
                <w:rFonts w:hint="eastAsia" w:cs="Times New Roman"/>
                <w:color w:val="auto"/>
                <w:sz w:val="18"/>
                <w:szCs w:val="18"/>
              </w:rPr>
              <w:t>2）为保证火灾时候配电间、控制室正常照度，配电间及控制室灯具选用自带蓄电池灯具，持续供电时间不少于180分钟，采用专用回路供电。</w:t>
            </w:r>
          </w:p>
          <w:p w14:paraId="183AC9E7">
            <w:pPr>
              <w:adjustRightInd w:val="0"/>
              <w:snapToGrid w:val="0"/>
              <w:spacing w:line="240" w:lineRule="exact"/>
              <w:rPr>
                <w:rFonts w:cs="Times New Roman"/>
                <w:color w:val="auto"/>
                <w:sz w:val="18"/>
                <w:szCs w:val="18"/>
              </w:rPr>
            </w:pPr>
            <w:r>
              <w:rPr>
                <w:rFonts w:hint="eastAsia" w:cs="Times New Roman"/>
                <w:color w:val="auto"/>
                <w:sz w:val="18"/>
                <w:szCs w:val="18"/>
              </w:rPr>
              <w:t>3）配电房配备MT7二氧化碳灭火器2具，并配置防冻手套。</w:t>
            </w:r>
          </w:p>
          <w:p w14:paraId="75A29B78">
            <w:pPr>
              <w:adjustRightInd w:val="0"/>
              <w:snapToGrid w:val="0"/>
              <w:spacing w:line="240" w:lineRule="exact"/>
              <w:rPr>
                <w:rFonts w:cs="Times New Roman"/>
                <w:color w:val="auto"/>
                <w:sz w:val="18"/>
                <w:szCs w:val="18"/>
              </w:rPr>
            </w:pPr>
            <w:r>
              <w:rPr>
                <w:rFonts w:hint="eastAsia" w:cs="Times New Roman"/>
                <w:color w:val="auto"/>
                <w:sz w:val="18"/>
                <w:szCs w:val="18"/>
              </w:rPr>
              <w:t>4）配电室操作人员具备相关的专业知识，具有劳动部门颁发的电工操作证。</w:t>
            </w:r>
          </w:p>
          <w:p w14:paraId="3D13B12C">
            <w:pPr>
              <w:adjustRightInd w:val="0"/>
              <w:snapToGrid w:val="0"/>
              <w:spacing w:line="240" w:lineRule="exact"/>
              <w:rPr>
                <w:rFonts w:cs="Times New Roman"/>
                <w:color w:val="auto"/>
                <w:sz w:val="18"/>
                <w:szCs w:val="18"/>
              </w:rPr>
            </w:pPr>
            <w:r>
              <w:rPr>
                <w:rFonts w:hint="eastAsia" w:cs="Times New Roman"/>
                <w:color w:val="auto"/>
                <w:sz w:val="18"/>
                <w:szCs w:val="18"/>
              </w:rPr>
              <w:t>5）配电室张贴“机房重地闲人免进”标志，控制无关人员进入。</w:t>
            </w:r>
          </w:p>
          <w:p w14:paraId="5DB64D7B">
            <w:pPr>
              <w:adjustRightInd w:val="0"/>
              <w:snapToGrid w:val="0"/>
              <w:spacing w:line="240" w:lineRule="exact"/>
              <w:rPr>
                <w:rFonts w:cs="Times New Roman"/>
                <w:color w:val="auto"/>
                <w:sz w:val="18"/>
                <w:szCs w:val="18"/>
              </w:rPr>
            </w:pPr>
            <w:r>
              <w:rPr>
                <w:rFonts w:hint="eastAsia" w:cs="Times New Roman"/>
                <w:color w:val="auto"/>
                <w:sz w:val="18"/>
                <w:szCs w:val="18"/>
              </w:rPr>
              <w:t>6）高低压设备设置防护栅栏，电缆沟铺设盖板。</w:t>
            </w:r>
          </w:p>
          <w:p w14:paraId="591A54FD">
            <w:pPr>
              <w:adjustRightInd w:val="0"/>
              <w:snapToGrid w:val="0"/>
              <w:spacing w:line="240" w:lineRule="exact"/>
              <w:rPr>
                <w:rFonts w:cs="Times New Roman"/>
                <w:color w:val="auto"/>
                <w:sz w:val="18"/>
                <w:szCs w:val="18"/>
              </w:rPr>
            </w:pPr>
            <w:r>
              <w:rPr>
                <w:rFonts w:hint="eastAsia" w:cs="Times New Roman"/>
                <w:color w:val="auto"/>
                <w:sz w:val="18"/>
                <w:szCs w:val="18"/>
              </w:rPr>
              <w:t>7）配电室内不得堆放杂物及与工作无关的物品</w:t>
            </w:r>
            <w:r>
              <w:rPr>
                <w:rFonts w:hint="eastAsia" w:cs="Times New Roman"/>
                <w:color w:val="auto"/>
                <w:sz w:val="18"/>
                <w:szCs w:val="18"/>
                <w:lang w:eastAsia="zh-CN"/>
              </w:rPr>
              <w:t>，</w:t>
            </w:r>
            <w:r>
              <w:rPr>
                <w:rFonts w:hint="eastAsia" w:cs="Times New Roman"/>
                <w:color w:val="auto"/>
                <w:sz w:val="18"/>
                <w:szCs w:val="18"/>
              </w:rPr>
              <w:t>严禁堆放可燃物品和存放易燃易爆物品。</w:t>
            </w:r>
          </w:p>
          <w:p w14:paraId="3BBB8A6D">
            <w:pPr>
              <w:adjustRightInd w:val="0"/>
              <w:snapToGrid w:val="0"/>
              <w:spacing w:line="240" w:lineRule="exact"/>
              <w:rPr>
                <w:rFonts w:cs="Times New Roman"/>
                <w:color w:val="auto"/>
                <w:sz w:val="18"/>
                <w:szCs w:val="18"/>
              </w:rPr>
            </w:pPr>
            <w:r>
              <w:rPr>
                <w:rFonts w:hint="eastAsia" w:cs="Times New Roman"/>
                <w:color w:val="auto"/>
                <w:sz w:val="18"/>
                <w:szCs w:val="18"/>
              </w:rPr>
              <w:t>8）安装、维修电器设备和线路时，要在电闸悬挂“正在维修、严禁合闸</w:t>
            </w:r>
            <w:r>
              <w:rPr>
                <w:rFonts w:hint="eastAsia" w:cs="Times New Roman"/>
                <w:color w:val="auto"/>
                <w:sz w:val="18"/>
                <w:szCs w:val="18"/>
                <w:lang w:eastAsia="zh-CN"/>
              </w:rPr>
              <w:t>”</w:t>
            </w:r>
            <w:r>
              <w:rPr>
                <w:rFonts w:hint="eastAsia" w:cs="Times New Roman"/>
                <w:color w:val="auto"/>
                <w:sz w:val="18"/>
                <w:szCs w:val="18"/>
              </w:rPr>
              <w:t>的标志牌，严格执行安全操作规程。</w:t>
            </w:r>
          </w:p>
          <w:p w14:paraId="7A640A43">
            <w:pPr>
              <w:adjustRightInd w:val="0"/>
              <w:snapToGrid w:val="0"/>
              <w:spacing w:line="240" w:lineRule="exact"/>
              <w:rPr>
                <w:rFonts w:cs="Times New Roman"/>
                <w:color w:val="auto"/>
                <w:sz w:val="18"/>
                <w:szCs w:val="18"/>
              </w:rPr>
            </w:pPr>
            <w:r>
              <w:rPr>
                <w:rFonts w:hint="eastAsia" w:cs="Times New Roman"/>
                <w:color w:val="auto"/>
                <w:sz w:val="18"/>
                <w:szCs w:val="18"/>
              </w:rPr>
              <w:t>9）配电室通往室外要设置挡鼠板</w:t>
            </w:r>
            <w:r>
              <w:rPr>
                <w:rFonts w:hint="eastAsia" w:cs="Times New Roman"/>
                <w:color w:val="auto"/>
                <w:sz w:val="18"/>
                <w:szCs w:val="18"/>
                <w:lang w:eastAsia="zh-CN"/>
              </w:rPr>
              <w:t>，</w:t>
            </w:r>
            <w:r>
              <w:rPr>
                <w:rFonts w:hint="eastAsia" w:cs="Times New Roman"/>
                <w:color w:val="auto"/>
                <w:sz w:val="18"/>
                <w:szCs w:val="18"/>
              </w:rPr>
              <w:t>墙体、门窗和通风处要安装防护网防止飞鸟、小动物进入造成短路，引起事故。</w:t>
            </w:r>
          </w:p>
          <w:p w14:paraId="79C4E2F4">
            <w:pPr>
              <w:adjustRightInd w:val="0"/>
              <w:snapToGrid w:val="0"/>
              <w:spacing w:line="240" w:lineRule="exact"/>
              <w:rPr>
                <w:rFonts w:cs="Times New Roman"/>
                <w:color w:val="auto"/>
                <w:sz w:val="18"/>
                <w:szCs w:val="18"/>
              </w:rPr>
            </w:pPr>
            <w:r>
              <w:rPr>
                <w:rFonts w:hint="eastAsia" w:cs="Times New Roman"/>
                <w:color w:val="auto"/>
                <w:sz w:val="18"/>
                <w:szCs w:val="18"/>
              </w:rPr>
              <w:t>10）熟知消防报警程序及配电室消防器材存放位置和使用方法，严禁将消防器材挪作他用。保证消防器材处于完好有效战备状态。</w:t>
            </w:r>
          </w:p>
          <w:p w14:paraId="170E4829">
            <w:pPr>
              <w:adjustRightInd w:val="0"/>
              <w:snapToGrid w:val="0"/>
              <w:spacing w:line="240" w:lineRule="exact"/>
              <w:rPr>
                <w:rFonts w:cs="Times New Roman"/>
                <w:color w:val="auto"/>
                <w:sz w:val="18"/>
                <w:szCs w:val="18"/>
              </w:rPr>
            </w:pPr>
            <w:r>
              <w:rPr>
                <w:rFonts w:hint="eastAsia" w:cs="Times New Roman"/>
                <w:color w:val="auto"/>
                <w:sz w:val="18"/>
                <w:szCs w:val="18"/>
              </w:rPr>
              <w:t>11）配电房门外开，配置了绝缘垫、绝缘鞋、绝缘手套等，设置工作状态牌。绝缘垫、绝缘鞋、绝缘手套需要定期检测，保证在有效期内。</w:t>
            </w:r>
          </w:p>
          <w:p w14:paraId="2E71BE46">
            <w:pPr>
              <w:adjustRightInd w:val="0"/>
              <w:snapToGrid w:val="0"/>
              <w:spacing w:line="240" w:lineRule="exact"/>
              <w:rPr>
                <w:rFonts w:cs="Times New Roman"/>
                <w:color w:val="auto"/>
                <w:sz w:val="18"/>
                <w:szCs w:val="18"/>
              </w:rPr>
            </w:pPr>
            <w:r>
              <w:rPr>
                <w:rFonts w:hint="eastAsia" w:cs="Times New Roman"/>
                <w:color w:val="auto"/>
                <w:sz w:val="18"/>
                <w:szCs w:val="18"/>
              </w:rPr>
              <w:t>12）配电房门采用防火门。</w:t>
            </w:r>
          </w:p>
        </w:tc>
        <w:tc>
          <w:tcPr>
            <w:tcW w:w="1580" w:type="dxa"/>
            <w:vAlign w:val="center"/>
          </w:tcPr>
          <w:p w14:paraId="73FA46CD">
            <w:pPr>
              <w:spacing w:line="240" w:lineRule="exact"/>
              <w:jc w:val="center"/>
              <w:rPr>
                <w:rFonts w:cs="Times New Roman"/>
                <w:color w:val="auto"/>
                <w:sz w:val="18"/>
                <w:szCs w:val="18"/>
              </w:rPr>
            </w:pPr>
            <w:r>
              <w:rPr>
                <w:rFonts w:hint="eastAsia" w:cs="Times New Roman"/>
                <w:color w:val="auto"/>
                <w:sz w:val="18"/>
                <w:szCs w:val="18"/>
              </w:rPr>
              <w:t>配电房按要求设置，配电房设置外开防火门</w:t>
            </w:r>
          </w:p>
        </w:tc>
        <w:tc>
          <w:tcPr>
            <w:tcW w:w="870" w:type="dxa"/>
            <w:shd w:val="clear" w:color="auto" w:fill="auto"/>
            <w:vAlign w:val="center"/>
          </w:tcPr>
          <w:p w14:paraId="2962F912">
            <w:pPr>
              <w:spacing w:line="240" w:lineRule="exact"/>
              <w:jc w:val="center"/>
              <w:rPr>
                <w:rFonts w:cs="Times New Roman"/>
                <w:color w:val="auto"/>
                <w:sz w:val="18"/>
                <w:szCs w:val="18"/>
              </w:rPr>
            </w:pPr>
            <w:r>
              <w:rPr>
                <w:rFonts w:hint="eastAsia" w:cs="Times New Roman"/>
                <w:color w:val="auto"/>
                <w:sz w:val="18"/>
                <w:szCs w:val="18"/>
                <w:lang w:val="en-US" w:eastAsia="zh-CN"/>
              </w:rPr>
              <w:t>已</w:t>
            </w:r>
            <w:r>
              <w:rPr>
                <w:rFonts w:hint="eastAsia" w:cs="Times New Roman"/>
                <w:color w:val="auto"/>
                <w:sz w:val="18"/>
                <w:szCs w:val="18"/>
              </w:rPr>
              <w:t>落实</w:t>
            </w:r>
          </w:p>
        </w:tc>
      </w:tr>
      <w:tr w14:paraId="785A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15D12A2">
            <w:pPr>
              <w:spacing w:line="240" w:lineRule="exact"/>
              <w:jc w:val="center"/>
              <w:rPr>
                <w:color w:val="auto"/>
                <w:sz w:val="18"/>
                <w:szCs w:val="18"/>
              </w:rPr>
            </w:pPr>
            <w:r>
              <w:rPr>
                <w:rFonts w:hint="eastAsia"/>
                <w:color w:val="auto"/>
                <w:sz w:val="18"/>
                <w:szCs w:val="18"/>
              </w:rPr>
              <w:t>2</w:t>
            </w:r>
          </w:p>
        </w:tc>
        <w:tc>
          <w:tcPr>
            <w:tcW w:w="5930" w:type="dxa"/>
            <w:vAlign w:val="center"/>
          </w:tcPr>
          <w:p w14:paraId="24AE4657">
            <w:pPr>
              <w:adjustRightInd w:val="0"/>
              <w:snapToGrid w:val="0"/>
              <w:spacing w:line="240" w:lineRule="exact"/>
              <w:rPr>
                <w:rFonts w:cs="Times New Roman"/>
                <w:color w:val="auto"/>
                <w:sz w:val="18"/>
                <w:szCs w:val="18"/>
              </w:rPr>
            </w:pPr>
            <w:r>
              <w:rPr>
                <w:rFonts w:hint="eastAsia" w:cs="Times New Roman"/>
                <w:color w:val="auto"/>
                <w:sz w:val="18"/>
                <w:szCs w:val="18"/>
              </w:rPr>
              <w:t>配电系统设置安全防护装置。</w:t>
            </w:r>
          </w:p>
        </w:tc>
        <w:tc>
          <w:tcPr>
            <w:tcW w:w="1580" w:type="dxa"/>
            <w:vAlign w:val="center"/>
          </w:tcPr>
          <w:p w14:paraId="17F1721A">
            <w:pPr>
              <w:spacing w:line="240" w:lineRule="exact"/>
              <w:jc w:val="center"/>
              <w:rPr>
                <w:rFonts w:cs="Times New Roman"/>
                <w:color w:val="auto"/>
                <w:sz w:val="18"/>
                <w:szCs w:val="18"/>
              </w:rPr>
            </w:pPr>
            <w:r>
              <w:rPr>
                <w:rFonts w:hint="eastAsia" w:cs="Times New Roman"/>
                <w:color w:val="auto"/>
                <w:sz w:val="18"/>
                <w:szCs w:val="18"/>
              </w:rPr>
              <w:t>设置安全防护装置</w:t>
            </w:r>
          </w:p>
        </w:tc>
        <w:tc>
          <w:tcPr>
            <w:tcW w:w="870" w:type="dxa"/>
            <w:vAlign w:val="center"/>
          </w:tcPr>
          <w:p w14:paraId="5B5EA9B4">
            <w:pPr>
              <w:spacing w:line="240" w:lineRule="exact"/>
              <w:jc w:val="center"/>
              <w:rPr>
                <w:rFonts w:cs="Times New Roman"/>
                <w:color w:val="auto"/>
                <w:sz w:val="18"/>
                <w:szCs w:val="18"/>
              </w:rPr>
            </w:pPr>
            <w:r>
              <w:rPr>
                <w:rFonts w:hint="eastAsia" w:cs="Times New Roman"/>
                <w:color w:val="auto"/>
                <w:sz w:val="18"/>
                <w:szCs w:val="18"/>
              </w:rPr>
              <w:t>已落实</w:t>
            </w:r>
          </w:p>
        </w:tc>
      </w:tr>
      <w:tr w14:paraId="61E7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93CD7F6">
            <w:pPr>
              <w:spacing w:line="240" w:lineRule="exact"/>
              <w:jc w:val="center"/>
              <w:rPr>
                <w:color w:val="auto"/>
                <w:sz w:val="18"/>
                <w:szCs w:val="18"/>
              </w:rPr>
            </w:pPr>
            <w:r>
              <w:rPr>
                <w:rFonts w:hint="eastAsia"/>
                <w:color w:val="auto"/>
                <w:sz w:val="18"/>
                <w:szCs w:val="18"/>
              </w:rPr>
              <w:t>3</w:t>
            </w:r>
          </w:p>
        </w:tc>
        <w:tc>
          <w:tcPr>
            <w:tcW w:w="5930" w:type="dxa"/>
            <w:vAlign w:val="center"/>
          </w:tcPr>
          <w:p w14:paraId="40D4D1AE">
            <w:pPr>
              <w:adjustRightInd w:val="0"/>
              <w:snapToGrid w:val="0"/>
              <w:spacing w:line="240" w:lineRule="exact"/>
              <w:rPr>
                <w:rFonts w:cs="Times New Roman"/>
                <w:color w:val="auto"/>
                <w:sz w:val="18"/>
                <w:szCs w:val="18"/>
              </w:rPr>
            </w:pPr>
            <w:r>
              <w:rPr>
                <w:rFonts w:hint="eastAsia" w:cs="Times New Roman"/>
                <w:color w:val="auto"/>
                <w:sz w:val="18"/>
                <w:szCs w:val="18"/>
              </w:rPr>
              <w:t>配电设备、插头开关、高低压均设明显安全的警示标志。配电间绝缘手套1套、绝缘靴1双，每半年进行一次电气性能检测。</w:t>
            </w:r>
          </w:p>
        </w:tc>
        <w:tc>
          <w:tcPr>
            <w:tcW w:w="1580" w:type="dxa"/>
            <w:vAlign w:val="center"/>
          </w:tcPr>
          <w:p w14:paraId="7A087768">
            <w:pPr>
              <w:spacing w:line="240" w:lineRule="exact"/>
              <w:jc w:val="center"/>
              <w:rPr>
                <w:rFonts w:cs="Times New Roman"/>
                <w:color w:val="auto"/>
                <w:sz w:val="18"/>
                <w:szCs w:val="18"/>
              </w:rPr>
            </w:pPr>
            <w:r>
              <w:rPr>
                <w:rFonts w:hint="eastAsia" w:cs="Times New Roman"/>
                <w:color w:val="auto"/>
                <w:sz w:val="18"/>
                <w:szCs w:val="18"/>
              </w:rPr>
              <w:t>设置警示标志</w:t>
            </w:r>
          </w:p>
        </w:tc>
        <w:tc>
          <w:tcPr>
            <w:tcW w:w="870" w:type="dxa"/>
            <w:vAlign w:val="center"/>
          </w:tcPr>
          <w:p w14:paraId="7A07D9DF">
            <w:pPr>
              <w:spacing w:line="240" w:lineRule="exact"/>
              <w:jc w:val="center"/>
              <w:rPr>
                <w:rFonts w:cs="Times New Roman"/>
                <w:color w:val="auto"/>
                <w:sz w:val="18"/>
                <w:szCs w:val="18"/>
              </w:rPr>
            </w:pPr>
            <w:r>
              <w:rPr>
                <w:rFonts w:hint="eastAsia" w:cs="Times New Roman"/>
                <w:color w:val="auto"/>
                <w:sz w:val="18"/>
                <w:szCs w:val="18"/>
              </w:rPr>
              <w:t>已落实</w:t>
            </w:r>
          </w:p>
        </w:tc>
      </w:tr>
      <w:tr w14:paraId="7A58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82B0BCD">
            <w:pPr>
              <w:spacing w:line="240" w:lineRule="exact"/>
              <w:jc w:val="center"/>
              <w:rPr>
                <w:color w:val="auto"/>
                <w:sz w:val="18"/>
                <w:szCs w:val="18"/>
              </w:rPr>
            </w:pPr>
            <w:r>
              <w:rPr>
                <w:rFonts w:hint="eastAsia"/>
                <w:color w:val="auto"/>
                <w:sz w:val="18"/>
                <w:szCs w:val="18"/>
              </w:rPr>
              <w:t>4</w:t>
            </w:r>
          </w:p>
        </w:tc>
        <w:tc>
          <w:tcPr>
            <w:tcW w:w="5930" w:type="dxa"/>
            <w:vAlign w:val="center"/>
          </w:tcPr>
          <w:p w14:paraId="28529AEA">
            <w:pPr>
              <w:adjustRightInd w:val="0"/>
              <w:snapToGrid w:val="0"/>
              <w:spacing w:line="240" w:lineRule="exact"/>
              <w:rPr>
                <w:rFonts w:cs="Times New Roman"/>
                <w:color w:val="auto"/>
                <w:sz w:val="18"/>
                <w:szCs w:val="18"/>
              </w:rPr>
            </w:pPr>
            <w:r>
              <w:rPr>
                <w:rFonts w:hint="eastAsia" w:cs="Times New Roman"/>
                <w:color w:val="auto"/>
                <w:sz w:val="18"/>
                <w:szCs w:val="18"/>
              </w:rPr>
              <w:t>在可能产生静电的罐体，管路等进行可靠的防静电接地、工作接地，采用总等电位连接的共用接地。操作人员在绝缘垫或穿绝缘鞋进行电工操作，严格按安全操作规程作业。</w:t>
            </w:r>
          </w:p>
        </w:tc>
        <w:tc>
          <w:tcPr>
            <w:tcW w:w="1580" w:type="dxa"/>
            <w:vAlign w:val="center"/>
          </w:tcPr>
          <w:p w14:paraId="2430595C">
            <w:pPr>
              <w:spacing w:line="240" w:lineRule="exact"/>
              <w:jc w:val="center"/>
              <w:rPr>
                <w:rFonts w:cs="Times New Roman"/>
                <w:color w:val="auto"/>
                <w:sz w:val="18"/>
                <w:szCs w:val="18"/>
              </w:rPr>
            </w:pPr>
            <w:r>
              <w:rPr>
                <w:rFonts w:hint="eastAsia" w:cs="Times New Roman"/>
                <w:color w:val="auto"/>
                <w:sz w:val="18"/>
                <w:szCs w:val="18"/>
              </w:rPr>
              <w:t>制定操作规程，按要求进行作业</w:t>
            </w:r>
          </w:p>
        </w:tc>
        <w:tc>
          <w:tcPr>
            <w:tcW w:w="870" w:type="dxa"/>
            <w:vAlign w:val="center"/>
          </w:tcPr>
          <w:p w14:paraId="6E68BA5C">
            <w:pPr>
              <w:spacing w:line="240" w:lineRule="exact"/>
              <w:jc w:val="center"/>
              <w:rPr>
                <w:rFonts w:cs="Times New Roman"/>
                <w:color w:val="auto"/>
                <w:sz w:val="18"/>
                <w:szCs w:val="18"/>
              </w:rPr>
            </w:pPr>
            <w:r>
              <w:rPr>
                <w:rFonts w:hint="eastAsia" w:cs="Times New Roman"/>
                <w:color w:val="auto"/>
                <w:sz w:val="18"/>
                <w:szCs w:val="18"/>
              </w:rPr>
              <w:t>已落实</w:t>
            </w:r>
          </w:p>
        </w:tc>
      </w:tr>
      <w:tr w14:paraId="3D74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6EF0B1B">
            <w:pPr>
              <w:spacing w:line="240" w:lineRule="exact"/>
              <w:jc w:val="center"/>
              <w:rPr>
                <w:color w:val="auto"/>
                <w:sz w:val="18"/>
                <w:szCs w:val="18"/>
              </w:rPr>
            </w:pPr>
            <w:r>
              <w:rPr>
                <w:rFonts w:hint="eastAsia"/>
                <w:color w:val="auto"/>
                <w:sz w:val="18"/>
                <w:szCs w:val="18"/>
              </w:rPr>
              <w:t>5</w:t>
            </w:r>
          </w:p>
        </w:tc>
        <w:tc>
          <w:tcPr>
            <w:tcW w:w="5930" w:type="dxa"/>
            <w:vAlign w:val="center"/>
          </w:tcPr>
          <w:p w14:paraId="2DAC4226">
            <w:pPr>
              <w:adjustRightInd w:val="0"/>
              <w:snapToGrid w:val="0"/>
              <w:spacing w:line="240" w:lineRule="exact"/>
              <w:rPr>
                <w:rFonts w:cs="Times New Roman"/>
                <w:color w:val="auto"/>
                <w:sz w:val="18"/>
                <w:szCs w:val="18"/>
              </w:rPr>
            </w:pPr>
            <w:r>
              <w:rPr>
                <w:rFonts w:hint="eastAsia" w:cs="Times New Roman"/>
                <w:color w:val="auto"/>
                <w:sz w:val="18"/>
                <w:szCs w:val="18"/>
              </w:rPr>
              <w:t>制定用电设备安全操作规程，对相关人员进行安全操作培训。</w:t>
            </w:r>
          </w:p>
        </w:tc>
        <w:tc>
          <w:tcPr>
            <w:tcW w:w="1580" w:type="dxa"/>
            <w:vAlign w:val="center"/>
          </w:tcPr>
          <w:p w14:paraId="4DE70AB0">
            <w:pPr>
              <w:spacing w:line="240" w:lineRule="exact"/>
              <w:jc w:val="center"/>
              <w:rPr>
                <w:rFonts w:cs="Times New Roman"/>
                <w:color w:val="auto"/>
                <w:sz w:val="18"/>
                <w:szCs w:val="18"/>
              </w:rPr>
            </w:pPr>
            <w:r>
              <w:rPr>
                <w:rFonts w:hint="eastAsia" w:cs="Times New Roman"/>
                <w:color w:val="auto"/>
                <w:sz w:val="18"/>
                <w:szCs w:val="18"/>
              </w:rPr>
              <w:t>进行培训</w:t>
            </w:r>
          </w:p>
        </w:tc>
        <w:tc>
          <w:tcPr>
            <w:tcW w:w="870" w:type="dxa"/>
            <w:vAlign w:val="center"/>
          </w:tcPr>
          <w:p w14:paraId="4F184334">
            <w:pPr>
              <w:spacing w:line="240" w:lineRule="exact"/>
              <w:jc w:val="center"/>
              <w:rPr>
                <w:rFonts w:cs="Times New Roman"/>
                <w:color w:val="auto"/>
                <w:sz w:val="18"/>
                <w:szCs w:val="18"/>
              </w:rPr>
            </w:pPr>
            <w:r>
              <w:rPr>
                <w:rFonts w:hint="eastAsia" w:cs="Times New Roman"/>
                <w:color w:val="auto"/>
                <w:sz w:val="18"/>
                <w:szCs w:val="18"/>
              </w:rPr>
              <w:t>已落实</w:t>
            </w:r>
          </w:p>
        </w:tc>
      </w:tr>
      <w:tr w14:paraId="6BBB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B416A1F">
            <w:pPr>
              <w:spacing w:line="240" w:lineRule="exact"/>
              <w:jc w:val="center"/>
              <w:rPr>
                <w:color w:val="auto"/>
                <w:sz w:val="18"/>
                <w:szCs w:val="18"/>
              </w:rPr>
            </w:pPr>
            <w:r>
              <w:rPr>
                <w:rFonts w:hint="eastAsia"/>
                <w:color w:val="auto"/>
                <w:sz w:val="18"/>
                <w:szCs w:val="18"/>
              </w:rPr>
              <w:t>6</w:t>
            </w:r>
          </w:p>
        </w:tc>
        <w:tc>
          <w:tcPr>
            <w:tcW w:w="5930" w:type="dxa"/>
            <w:vAlign w:val="center"/>
          </w:tcPr>
          <w:p w14:paraId="19C064B0">
            <w:pPr>
              <w:adjustRightInd w:val="0"/>
              <w:snapToGrid w:val="0"/>
              <w:spacing w:line="240" w:lineRule="exact"/>
              <w:rPr>
                <w:rFonts w:cs="Times New Roman"/>
                <w:color w:val="auto"/>
                <w:sz w:val="18"/>
                <w:szCs w:val="18"/>
              </w:rPr>
            </w:pPr>
            <w:r>
              <w:rPr>
                <w:rFonts w:hint="eastAsia" w:cs="Times New Roman"/>
                <w:color w:val="auto"/>
                <w:sz w:val="18"/>
                <w:szCs w:val="18"/>
              </w:rPr>
              <w:t>加油的电力线路采用电缆并直埋敷设。电缆穿越行车道部分，穿钢管保护。</w:t>
            </w:r>
          </w:p>
        </w:tc>
        <w:tc>
          <w:tcPr>
            <w:tcW w:w="1580" w:type="dxa"/>
            <w:vAlign w:val="center"/>
          </w:tcPr>
          <w:p w14:paraId="752AA806">
            <w:pPr>
              <w:spacing w:line="240" w:lineRule="exact"/>
              <w:jc w:val="center"/>
              <w:rPr>
                <w:rFonts w:cs="Times New Roman"/>
                <w:color w:val="auto"/>
                <w:sz w:val="18"/>
                <w:szCs w:val="18"/>
              </w:rPr>
            </w:pPr>
            <w:r>
              <w:rPr>
                <w:rFonts w:hint="eastAsia" w:cs="Times New Roman"/>
                <w:color w:val="auto"/>
                <w:sz w:val="18"/>
                <w:szCs w:val="18"/>
              </w:rPr>
              <w:t>穿管保护</w:t>
            </w:r>
          </w:p>
        </w:tc>
        <w:tc>
          <w:tcPr>
            <w:tcW w:w="870" w:type="dxa"/>
            <w:vAlign w:val="center"/>
          </w:tcPr>
          <w:p w14:paraId="75374184">
            <w:pPr>
              <w:spacing w:line="240" w:lineRule="exact"/>
              <w:jc w:val="center"/>
              <w:rPr>
                <w:rFonts w:cs="Times New Roman"/>
                <w:color w:val="auto"/>
                <w:sz w:val="18"/>
                <w:szCs w:val="18"/>
              </w:rPr>
            </w:pPr>
            <w:r>
              <w:rPr>
                <w:rFonts w:hint="eastAsia" w:cs="Times New Roman"/>
                <w:color w:val="auto"/>
                <w:sz w:val="18"/>
                <w:szCs w:val="18"/>
              </w:rPr>
              <w:t>已落实</w:t>
            </w:r>
          </w:p>
        </w:tc>
      </w:tr>
      <w:tr w14:paraId="2A05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31FCE65">
            <w:pPr>
              <w:spacing w:line="240" w:lineRule="exact"/>
              <w:jc w:val="center"/>
              <w:rPr>
                <w:color w:val="auto"/>
                <w:sz w:val="18"/>
                <w:szCs w:val="18"/>
              </w:rPr>
            </w:pPr>
            <w:r>
              <w:rPr>
                <w:rFonts w:hint="eastAsia"/>
                <w:color w:val="auto"/>
                <w:sz w:val="18"/>
                <w:szCs w:val="18"/>
              </w:rPr>
              <w:t>7</w:t>
            </w:r>
          </w:p>
        </w:tc>
        <w:tc>
          <w:tcPr>
            <w:tcW w:w="5930" w:type="dxa"/>
            <w:vAlign w:val="center"/>
          </w:tcPr>
          <w:p w14:paraId="0F960513">
            <w:pPr>
              <w:adjustRightInd w:val="0"/>
              <w:snapToGrid w:val="0"/>
              <w:spacing w:line="240" w:lineRule="exact"/>
              <w:rPr>
                <w:rFonts w:cs="Times New Roman"/>
                <w:color w:val="auto"/>
                <w:sz w:val="18"/>
                <w:szCs w:val="18"/>
              </w:rPr>
            </w:pPr>
            <w:r>
              <w:rPr>
                <w:rFonts w:hint="eastAsia" w:cs="Times New Roman"/>
                <w:color w:val="auto"/>
                <w:sz w:val="18"/>
                <w:szCs w:val="18"/>
              </w:rPr>
              <w:t>当采用电缆沟敷设电缆时，加油作业区内的电缆沟内必须充沙填实。电缆不得与油品敷设在同一沟内。</w:t>
            </w:r>
          </w:p>
        </w:tc>
        <w:tc>
          <w:tcPr>
            <w:tcW w:w="1580" w:type="dxa"/>
            <w:vAlign w:val="center"/>
          </w:tcPr>
          <w:p w14:paraId="5300A351">
            <w:pPr>
              <w:spacing w:line="240" w:lineRule="exact"/>
              <w:jc w:val="center"/>
              <w:rPr>
                <w:rFonts w:cs="Times New Roman"/>
                <w:color w:val="auto"/>
                <w:sz w:val="18"/>
                <w:szCs w:val="18"/>
              </w:rPr>
            </w:pPr>
            <w:r>
              <w:rPr>
                <w:rFonts w:hint="eastAsia" w:cs="Times New Roman"/>
                <w:color w:val="auto"/>
                <w:sz w:val="18"/>
                <w:szCs w:val="18"/>
                <w:lang w:eastAsia="zh-CN"/>
              </w:rPr>
              <w:t>冲砂</w:t>
            </w:r>
            <w:r>
              <w:rPr>
                <w:rFonts w:hint="eastAsia" w:cs="Times New Roman"/>
                <w:color w:val="auto"/>
                <w:sz w:val="18"/>
                <w:szCs w:val="18"/>
              </w:rPr>
              <w:t>填实</w:t>
            </w:r>
          </w:p>
        </w:tc>
        <w:tc>
          <w:tcPr>
            <w:tcW w:w="870" w:type="dxa"/>
            <w:vAlign w:val="center"/>
          </w:tcPr>
          <w:p w14:paraId="5AC4F813">
            <w:pPr>
              <w:spacing w:line="240" w:lineRule="exact"/>
              <w:jc w:val="center"/>
              <w:rPr>
                <w:rFonts w:cs="Times New Roman"/>
                <w:color w:val="auto"/>
                <w:sz w:val="18"/>
                <w:szCs w:val="18"/>
              </w:rPr>
            </w:pPr>
            <w:r>
              <w:rPr>
                <w:rFonts w:hint="eastAsia" w:cs="Times New Roman"/>
                <w:color w:val="auto"/>
                <w:sz w:val="18"/>
                <w:szCs w:val="18"/>
              </w:rPr>
              <w:t>已落实</w:t>
            </w:r>
          </w:p>
        </w:tc>
      </w:tr>
      <w:tr w14:paraId="6C3E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2205ED3">
            <w:pPr>
              <w:spacing w:line="240" w:lineRule="exact"/>
              <w:jc w:val="center"/>
              <w:rPr>
                <w:color w:val="auto"/>
                <w:sz w:val="18"/>
                <w:szCs w:val="18"/>
              </w:rPr>
            </w:pPr>
            <w:r>
              <w:rPr>
                <w:rFonts w:hint="eastAsia"/>
                <w:color w:val="auto"/>
                <w:sz w:val="18"/>
                <w:szCs w:val="18"/>
              </w:rPr>
              <w:t>8</w:t>
            </w:r>
          </w:p>
        </w:tc>
        <w:tc>
          <w:tcPr>
            <w:tcW w:w="5930" w:type="dxa"/>
            <w:vAlign w:val="center"/>
          </w:tcPr>
          <w:p w14:paraId="2D3D9502">
            <w:pPr>
              <w:adjustRightInd w:val="0"/>
              <w:snapToGrid w:val="0"/>
              <w:spacing w:line="240" w:lineRule="exact"/>
              <w:rPr>
                <w:rFonts w:cs="Times New Roman"/>
                <w:color w:val="auto"/>
                <w:sz w:val="18"/>
                <w:szCs w:val="18"/>
              </w:rPr>
            </w:pPr>
            <w:r>
              <w:rPr>
                <w:rFonts w:hint="eastAsia" w:cs="Times New Roman"/>
                <w:color w:val="auto"/>
                <w:sz w:val="18"/>
                <w:szCs w:val="18"/>
              </w:rPr>
              <w:t>在配电柜室内配备灭火器。配电柜采用防火材质。电缆出入口处采用防火隔板或防火堵料加以封堵，以防止一旦有火灾引起蔓延。</w:t>
            </w:r>
          </w:p>
        </w:tc>
        <w:tc>
          <w:tcPr>
            <w:tcW w:w="1580" w:type="dxa"/>
            <w:vAlign w:val="center"/>
          </w:tcPr>
          <w:p w14:paraId="28E4C9A3">
            <w:pPr>
              <w:spacing w:line="240" w:lineRule="exact"/>
              <w:jc w:val="center"/>
              <w:rPr>
                <w:rFonts w:cs="Times New Roman"/>
                <w:color w:val="auto"/>
                <w:sz w:val="18"/>
                <w:szCs w:val="18"/>
              </w:rPr>
            </w:pPr>
            <w:r>
              <w:rPr>
                <w:rFonts w:hint="eastAsia" w:cs="Times New Roman"/>
                <w:color w:val="auto"/>
                <w:sz w:val="18"/>
                <w:szCs w:val="18"/>
              </w:rPr>
              <w:t>设置灭火器；电缆出入口采用防火隔板封堵</w:t>
            </w:r>
          </w:p>
        </w:tc>
        <w:tc>
          <w:tcPr>
            <w:tcW w:w="870" w:type="dxa"/>
            <w:vAlign w:val="center"/>
          </w:tcPr>
          <w:p w14:paraId="7006AC6E">
            <w:pPr>
              <w:spacing w:line="240" w:lineRule="exact"/>
              <w:jc w:val="center"/>
              <w:rPr>
                <w:rFonts w:cs="Times New Roman"/>
                <w:color w:val="auto"/>
                <w:sz w:val="18"/>
                <w:szCs w:val="18"/>
              </w:rPr>
            </w:pPr>
            <w:r>
              <w:rPr>
                <w:rFonts w:hint="eastAsia" w:cs="Times New Roman"/>
                <w:color w:val="auto"/>
                <w:sz w:val="18"/>
                <w:szCs w:val="18"/>
              </w:rPr>
              <w:t>已落实</w:t>
            </w:r>
          </w:p>
        </w:tc>
      </w:tr>
      <w:tr w14:paraId="1FE7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581D1F0">
            <w:pPr>
              <w:spacing w:line="240" w:lineRule="exact"/>
              <w:jc w:val="center"/>
              <w:rPr>
                <w:color w:val="auto"/>
                <w:sz w:val="18"/>
                <w:szCs w:val="18"/>
              </w:rPr>
            </w:pPr>
            <w:r>
              <w:rPr>
                <w:rFonts w:hint="eastAsia"/>
                <w:color w:val="auto"/>
                <w:sz w:val="18"/>
                <w:szCs w:val="18"/>
              </w:rPr>
              <w:t>9</w:t>
            </w:r>
          </w:p>
        </w:tc>
        <w:tc>
          <w:tcPr>
            <w:tcW w:w="5930" w:type="dxa"/>
            <w:vAlign w:val="center"/>
          </w:tcPr>
          <w:p w14:paraId="5DDEA6F4">
            <w:pPr>
              <w:adjustRightInd w:val="0"/>
              <w:snapToGrid w:val="0"/>
              <w:spacing w:line="240" w:lineRule="exact"/>
              <w:rPr>
                <w:rFonts w:cs="Times New Roman"/>
                <w:color w:val="auto"/>
                <w:sz w:val="18"/>
                <w:szCs w:val="18"/>
              </w:rPr>
            </w:pPr>
            <w:r>
              <w:rPr>
                <w:rFonts w:hint="eastAsia" w:cs="Times New Roman"/>
                <w:color w:val="auto"/>
                <w:sz w:val="18"/>
                <w:szCs w:val="18"/>
              </w:rPr>
              <w:t>电气安全照明及应急照明设施</w:t>
            </w:r>
          </w:p>
          <w:p w14:paraId="059F319F">
            <w:pPr>
              <w:adjustRightInd w:val="0"/>
              <w:snapToGrid w:val="0"/>
              <w:spacing w:line="240" w:lineRule="exact"/>
              <w:rPr>
                <w:rFonts w:cs="Times New Roman"/>
                <w:color w:val="auto"/>
                <w:sz w:val="18"/>
                <w:szCs w:val="18"/>
              </w:rPr>
            </w:pPr>
            <w:r>
              <w:rPr>
                <w:rFonts w:hint="eastAsia" w:cs="Times New Roman"/>
                <w:color w:val="auto"/>
                <w:sz w:val="18"/>
                <w:szCs w:val="18"/>
              </w:rPr>
              <w:t>建筑采光照明：按《建筑照明设计标准》执行。爆炸环境中选用隔爆灯具，爆炸场所选用不低于所处环境爆炸等级的防爆型电气设备；一般环境中选用节能荧光灯具或金属卤素板块灯。照明光源按节能，寿命及显色性等要求选用。</w:t>
            </w:r>
          </w:p>
          <w:p w14:paraId="2EA75FB7">
            <w:pPr>
              <w:adjustRightInd w:val="0"/>
              <w:snapToGrid w:val="0"/>
              <w:spacing w:line="240" w:lineRule="exact"/>
              <w:rPr>
                <w:rFonts w:cs="Times New Roman"/>
                <w:color w:val="auto"/>
                <w:sz w:val="18"/>
                <w:szCs w:val="18"/>
              </w:rPr>
            </w:pPr>
            <w:r>
              <w:rPr>
                <w:rFonts w:hint="eastAsia" w:cs="Times New Roman"/>
                <w:color w:val="auto"/>
                <w:sz w:val="18"/>
                <w:szCs w:val="18"/>
              </w:rPr>
              <w:t>照明灯具光源选择：罩棚照明采用金属卤化物灯；办公室等采用节能型日光色荧光灯。照度设计原则：加油区100Lx，办公室、营业厅300Lx。</w:t>
            </w:r>
          </w:p>
          <w:p w14:paraId="12174DDF">
            <w:pPr>
              <w:adjustRightInd w:val="0"/>
              <w:snapToGrid w:val="0"/>
              <w:spacing w:line="240" w:lineRule="exact"/>
              <w:rPr>
                <w:rFonts w:cs="Times New Roman"/>
                <w:color w:val="auto"/>
                <w:sz w:val="18"/>
                <w:szCs w:val="18"/>
              </w:rPr>
            </w:pPr>
            <w:r>
              <w:rPr>
                <w:rFonts w:hint="eastAsia" w:cs="Times New Roman"/>
                <w:color w:val="auto"/>
                <w:sz w:val="18"/>
                <w:szCs w:val="18"/>
              </w:rPr>
              <w:t>照明电压：照明配电箱电源电压为交流 380/220V，光源电压为交流220V。</w:t>
            </w:r>
          </w:p>
          <w:p w14:paraId="638AFBCF">
            <w:pPr>
              <w:adjustRightInd w:val="0"/>
              <w:snapToGrid w:val="0"/>
              <w:spacing w:line="240" w:lineRule="exact"/>
              <w:rPr>
                <w:rFonts w:cs="Times New Roman"/>
                <w:color w:val="auto"/>
                <w:sz w:val="18"/>
                <w:szCs w:val="18"/>
              </w:rPr>
            </w:pPr>
            <w:r>
              <w:rPr>
                <w:rFonts w:hint="eastAsia" w:cs="Times New Roman"/>
                <w:color w:val="auto"/>
                <w:sz w:val="18"/>
                <w:szCs w:val="18"/>
              </w:rPr>
              <w:t>在加油区、站房内设置应急疏散照明灯具；在站房出入口设置应急疏散指示灯具。用于疏散照明的灯具持续工作的时间大于30分钟，且出入口处疏散照明照度值不低于3Lx。站房（配电柜）应急照明可维持90min照明。</w:t>
            </w:r>
          </w:p>
        </w:tc>
        <w:tc>
          <w:tcPr>
            <w:tcW w:w="1580" w:type="dxa"/>
            <w:vAlign w:val="center"/>
          </w:tcPr>
          <w:p w14:paraId="57E02E5A">
            <w:pPr>
              <w:spacing w:line="240" w:lineRule="exact"/>
              <w:jc w:val="center"/>
              <w:rPr>
                <w:rFonts w:cs="Times New Roman"/>
                <w:color w:val="auto"/>
                <w:sz w:val="18"/>
                <w:szCs w:val="18"/>
              </w:rPr>
            </w:pPr>
            <w:r>
              <w:rPr>
                <w:rFonts w:hint="eastAsia" w:cs="Times New Roman"/>
                <w:color w:val="auto"/>
                <w:sz w:val="18"/>
                <w:szCs w:val="18"/>
              </w:rPr>
              <w:t>照明设施符合要求</w:t>
            </w:r>
          </w:p>
        </w:tc>
        <w:tc>
          <w:tcPr>
            <w:tcW w:w="870" w:type="dxa"/>
            <w:vAlign w:val="center"/>
          </w:tcPr>
          <w:p w14:paraId="05AD3FF9">
            <w:pPr>
              <w:spacing w:line="240" w:lineRule="exact"/>
              <w:jc w:val="center"/>
              <w:rPr>
                <w:rFonts w:cs="Times New Roman"/>
                <w:color w:val="auto"/>
                <w:sz w:val="18"/>
                <w:szCs w:val="18"/>
              </w:rPr>
            </w:pPr>
            <w:r>
              <w:rPr>
                <w:rFonts w:hint="eastAsia" w:cs="Times New Roman"/>
                <w:color w:val="auto"/>
                <w:sz w:val="18"/>
                <w:szCs w:val="18"/>
              </w:rPr>
              <w:t>已落实</w:t>
            </w:r>
          </w:p>
        </w:tc>
      </w:tr>
      <w:tr w14:paraId="4373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1F5B646">
            <w:pPr>
              <w:spacing w:line="240" w:lineRule="exact"/>
              <w:jc w:val="center"/>
              <w:rPr>
                <w:color w:val="auto"/>
                <w:sz w:val="18"/>
                <w:szCs w:val="18"/>
              </w:rPr>
            </w:pPr>
            <w:r>
              <w:rPr>
                <w:rFonts w:hint="eastAsia"/>
                <w:color w:val="auto"/>
                <w:sz w:val="18"/>
                <w:szCs w:val="18"/>
              </w:rPr>
              <w:t>10</w:t>
            </w:r>
          </w:p>
        </w:tc>
        <w:tc>
          <w:tcPr>
            <w:tcW w:w="5930" w:type="dxa"/>
            <w:vAlign w:val="center"/>
          </w:tcPr>
          <w:p w14:paraId="15821184">
            <w:pPr>
              <w:adjustRightInd w:val="0"/>
              <w:snapToGrid w:val="0"/>
              <w:spacing w:line="240" w:lineRule="exact"/>
              <w:rPr>
                <w:rFonts w:cs="Times New Roman"/>
                <w:color w:val="auto"/>
                <w:sz w:val="18"/>
                <w:szCs w:val="18"/>
              </w:rPr>
            </w:pPr>
            <w:r>
              <w:rPr>
                <w:rFonts w:hint="eastAsia" w:cs="Times New Roman"/>
                <w:color w:val="auto"/>
                <w:sz w:val="18"/>
                <w:szCs w:val="18"/>
              </w:rPr>
              <w:t>紧急切断系统</w:t>
            </w:r>
          </w:p>
          <w:p w14:paraId="1EB2366F">
            <w:pPr>
              <w:adjustRightInd w:val="0"/>
              <w:snapToGrid w:val="0"/>
              <w:spacing w:line="240" w:lineRule="exact"/>
              <w:rPr>
                <w:rFonts w:cs="Times New Roman"/>
                <w:color w:val="auto"/>
                <w:sz w:val="18"/>
                <w:szCs w:val="18"/>
              </w:rPr>
            </w:pPr>
            <w:r>
              <w:rPr>
                <w:rFonts w:hint="eastAsia" w:cs="Times New Roman"/>
                <w:color w:val="auto"/>
                <w:sz w:val="18"/>
                <w:szCs w:val="18"/>
              </w:rPr>
              <w:t>汽车加油站设置紧急切断系统，该系统能在事故状态下实现紧急停车和关闭紧急切断阀的保护功能。</w:t>
            </w:r>
          </w:p>
          <w:p w14:paraId="329C3465">
            <w:pPr>
              <w:adjustRightInd w:val="0"/>
              <w:snapToGrid w:val="0"/>
              <w:spacing w:line="240" w:lineRule="exact"/>
              <w:rPr>
                <w:rFonts w:cs="Times New Roman"/>
                <w:color w:val="auto"/>
                <w:sz w:val="18"/>
                <w:szCs w:val="18"/>
              </w:rPr>
            </w:pPr>
            <w:r>
              <w:rPr>
                <w:rFonts w:hint="eastAsia" w:cs="Times New Roman"/>
                <w:color w:val="auto"/>
                <w:sz w:val="18"/>
                <w:szCs w:val="18"/>
              </w:rPr>
              <w:t>紧急切断系统在下列位置设置紧急切断开关：</w:t>
            </w:r>
          </w:p>
          <w:p w14:paraId="069CCC4A">
            <w:pPr>
              <w:adjustRightInd w:val="0"/>
              <w:snapToGrid w:val="0"/>
              <w:spacing w:line="240" w:lineRule="exact"/>
              <w:rPr>
                <w:rFonts w:cs="Times New Roman"/>
                <w:color w:val="auto"/>
                <w:sz w:val="18"/>
                <w:szCs w:val="18"/>
              </w:rPr>
            </w:pPr>
            <w:r>
              <w:rPr>
                <w:rFonts w:hint="eastAsia" w:cs="Times New Roman"/>
                <w:color w:val="auto"/>
                <w:sz w:val="18"/>
                <w:szCs w:val="18"/>
              </w:rPr>
              <w:t>1）在汽车加油站现场工作人员容易接近且较为安全的位置，本加油站设置了2个紧急停车按钮，位于站房面向罩棚的外墙上和站内收银台旁；</w:t>
            </w:r>
          </w:p>
          <w:p w14:paraId="664BB868">
            <w:pPr>
              <w:adjustRightInd w:val="0"/>
              <w:snapToGrid w:val="0"/>
              <w:spacing w:line="240" w:lineRule="exact"/>
              <w:rPr>
                <w:rFonts w:cs="Times New Roman"/>
                <w:color w:val="auto"/>
                <w:sz w:val="18"/>
                <w:szCs w:val="18"/>
              </w:rPr>
            </w:pPr>
            <w:r>
              <w:rPr>
                <w:rFonts w:hint="eastAsia" w:cs="Times New Roman"/>
                <w:color w:val="auto"/>
                <w:sz w:val="18"/>
                <w:szCs w:val="18"/>
              </w:rPr>
              <w:t>2）在控制室、值班室内或站房收银台等有人员值守的位置。</w:t>
            </w:r>
          </w:p>
          <w:p w14:paraId="47DCBBC3">
            <w:pPr>
              <w:adjustRightInd w:val="0"/>
              <w:snapToGrid w:val="0"/>
              <w:spacing w:line="240" w:lineRule="exact"/>
              <w:rPr>
                <w:rFonts w:cs="Times New Roman"/>
                <w:color w:val="auto"/>
                <w:sz w:val="18"/>
                <w:szCs w:val="18"/>
              </w:rPr>
            </w:pPr>
            <w:r>
              <w:rPr>
                <w:rFonts w:hint="eastAsia" w:cs="Times New Roman"/>
                <w:color w:val="auto"/>
                <w:sz w:val="18"/>
                <w:szCs w:val="18"/>
              </w:rPr>
              <w:t>工艺设备的电源和工艺管道上的紧急切断阀能由手动启动的远程控制切断系统操纵关闭。</w:t>
            </w:r>
          </w:p>
          <w:p w14:paraId="526FCF01">
            <w:pPr>
              <w:adjustRightInd w:val="0"/>
              <w:snapToGrid w:val="0"/>
              <w:spacing w:line="240" w:lineRule="exact"/>
              <w:rPr>
                <w:rFonts w:cs="Times New Roman"/>
                <w:color w:val="auto"/>
                <w:sz w:val="18"/>
                <w:szCs w:val="18"/>
              </w:rPr>
            </w:pPr>
            <w:r>
              <w:rPr>
                <w:rFonts w:hint="eastAsia" w:cs="Times New Roman"/>
                <w:color w:val="auto"/>
                <w:sz w:val="18"/>
                <w:szCs w:val="18"/>
              </w:rPr>
              <w:t>紧急切断系统只能手动复位。</w:t>
            </w:r>
          </w:p>
        </w:tc>
        <w:tc>
          <w:tcPr>
            <w:tcW w:w="1580" w:type="dxa"/>
            <w:vAlign w:val="center"/>
          </w:tcPr>
          <w:p w14:paraId="5D9B8AE5">
            <w:pPr>
              <w:spacing w:line="240" w:lineRule="exact"/>
              <w:jc w:val="center"/>
              <w:rPr>
                <w:rFonts w:cs="Times New Roman"/>
                <w:color w:val="auto"/>
                <w:sz w:val="18"/>
                <w:szCs w:val="18"/>
              </w:rPr>
            </w:pPr>
            <w:r>
              <w:rPr>
                <w:rFonts w:hint="eastAsia" w:cs="Times New Roman"/>
                <w:color w:val="auto"/>
                <w:sz w:val="18"/>
                <w:szCs w:val="18"/>
              </w:rPr>
              <w:t>设置紧急切断系统</w:t>
            </w:r>
          </w:p>
        </w:tc>
        <w:tc>
          <w:tcPr>
            <w:tcW w:w="870" w:type="dxa"/>
            <w:vAlign w:val="center"/>
          </w:tcPr>
          <w:p w14:paraId="0AB29C70">
            <w:pPr>
              <w:spacing w:line="240" w:lineRule="exact"/>
              <w:jc w:val="center"/>
              <w:rPr>
                <w:rFonts w:cs="Times New Roman"/>
                <w:color w:val="auto"/>
                <w:sz w:val="18"/>
                <w:szCs w:val="18"/>
              </w:rPr>
            </w:pPr>
            <w:r>
              <w:rPr>
                <w:rFonts w:hint="eastAsia" w:cs="Times New Roman"/>
                <w:color w:val="auto"/>
                <w:sz w:val="18"/>
                <w:szCs w:val="18"/>
              </w:rPr>
              <w:t>已落实</w:t>
            </w:r>
          </w:p>
        </w:tc>
      </w:tr>
      <w:tr w14:paraId="567B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82" w:type="dxa"/>
          </w:tcPr>
          <w:p w14:paraId="6EA45539">
            <w:pPr>
              <w:spacing w:line="240" w:lineRule="exact"/>
              <w:jc w:val="center"/>
              <w:rPr>
                <w:rFonts w:cs="Times New Roman"/>
                <w:b/>
                <w:bCs/>
                <w:color w:val="auto"/>
                <w:sz w:val="18"/>
                <w:szCs w:val="18"/>
              </w:rPr>
            </w:pPr>
          </w:p>
        </w:tc>
        <w:tc>
          <w:tcPr>
            <w:tcW w:w="8380" w:type="dxa"/>
            <w:gridSpan w:val="3"/>
            <w:vAlign w:val="center"/>
          </w:tcPr>
          <w:p w14:paraId="434E7ABF">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.5 </w:t>
            </w:r>
            <w:r>
              <w:rPr>
                <w:rFonts w:hint="eastAsia" w:ascii="宋体" w:hAnsi="宋体" w:cs="宋体"/>
                <w:b/>
                <w:bCs/>
                <w:color w:val="auto"/>
                <w:sz w:val="18"/>
                <w:szCs w:val="18"/>
              </w:rPr>
              <w:t>自控仪表及火灾报警</w:t>
            </w:r>
          </w:p>
        </w:tc>
      </w:tr>
      <w:tr w14:paraId="45B5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82" w:type="dxa"/>
          </w:tcPr>
          <w:p w14:paraId="030A9627">
            <w:pPr>
              <w:spacing w:line="240" w:lineRule="exact"/>
              <w:jc w:val="center"/>
              <w:rPr>
                <w:rFonts w:cs="Times New Roman"/>
                <w:b/>
                <w:bCs/>
                <w:color w:val="auto"/>
                <w:sz w:val="18"/>
                <w:szCs w:val="18"/>
              </w:rPr>
            </w:pPr>
          </w:p>
        </w:tc>
        <w:tc>
          <w:tcPr>
            <w:tcW w:w="8380" w:type="dxa"/>
            <w:gridSpan w:val="3"/>
            <w:vAlign w:val="center"/>
          </w:tcPr>
          <w:p w14:paraId="0DBE120E">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.5.1 </w:t>
            </w:r>
            <w:r>
              <w:rPr>
                <w:rFonts w:hint="eastAsia" w:ascii="宋体" w:hAnsi="宋体" w:cs="宋体"/>
                <w:b/>
                <w:bCs/>
                <w:color w:val="auto"/>
                <w:sz w:val="18"/>
                <w:szCs w:val="18"/>
              </w:rPr>
              <w:t>应急或备用电源的设置</w:t>
            </w:r>
          </w:p>
        </w:tc>
      </w:tr>
      <w:tr w14:paraId="661E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682" w:type="dxa"/>
            <w:vAlign w:val="center"/>
          </w:tcPr>
          <w:p w14:paraId="21E8F56A">
            <w:pPr>
              <w:spacing w:line="240" w:lineRule="exact"/>
              <w:jc w:val="center"/>
              <w:rPr>
                <w:color w:val="auto"/>
                <w:sz w:val="18"/>
                <w:szCs w:val="18"/>
              </w:rPr>
            </w:pPr>
          </w:p>
        </w:tc>
        <w:tc>
          <w:tcPr>
            <w:tcW w:w="5930" w:type="dxa"/>
            <w:vAlign w:val="center"/>
          </w:tcPr>
          <w:p w14:paraId="09746C15">
            <w:pPr>
              <w:adjustRightInd w:val="0"/>
              <w:snapToGrid w:val="0"/>
              <w:spacing w:line="240" w:lineRule="exact"/>
              <w:rPr>
                <w:rFonts w:cs="Times New Roman"/>
                <w:color w:val="auto"/>
                <w:sz w:val="18"/>
                <w:szCs w:val="18"/>
              </w:rPr>
            </w:pPr>
            <w:r>
              <w:rPr>
                <w:rFonts w:hint="eastAsia" w:cs="Times New Roman"/>
                <w:color w:val="auto"/>
                <w:sz w:val="18"/>
                <w:szCs w:val="18"/>
              </w:rPr>
              <w:t>本加油站安全系统（液位监控、泄漏检测等），配置了UPS电源，当外电源中断时，UPS电源可供系统正常工作不小于60min。UPS容量为2kVA。液位监控系统集中设置在站房值班室内。</w:t>
            </w:r>
          </w:p>
        </w:tc>
        <w:tc>
          <w:tcPr>
            <w:tcW w:w="1580" w:type="dxa"/>
            <w:vAlign w:val="center"/>
          </w:tcPr>
          <w:p w14:paraId="396DEA21">
            <w:pPr>
              <w:spacing w:line="240" w:lineRule="exact"/>
              <w:jc w:val="center"/>
              <w:rPr>
                <w:rFonts w:cs="Times New Roman"/>
                <w:color w:val="auto"/>
                <w:sz w:val="18"/>
                <w:szCs w:val="18"/>
              </w:rPr>
            </w:pPr>
            <w:r>
              <w:rPr>
                <w:rFonts w:hint="eastAsia" w:cs="Times New Roman"/>
                <w:color w:val="auto"/>
                <w:sz w:val="18"/>
                <w:szCs w:val="18"/>
              </w:rPr>
              <w:t>加油站安全系统（液位仪、泄漏检测仪），配备了UPS备用电源</w:t>
            </w:r>
          </w:p>
        </w:tc>
        <w:tc>
          <w:tcPr>
            <w:tcW w:w="870" w:type="dxa"/>
            <w:vAlign w:val="center"/>
          </w:tcPr>
          <w:p w14:paraId="314DEFE5">
            <w:pPr>
              <w:spacing w:line="240" w:lineRule="exact"/>
              <w:jc w:val="center"/>
              <w:rPr>
                <w:rFonts w:cs="Times New Roman"/>
                <w:color w:val="auto"/>
                <w:sz w:val="18"/>
                <w:szCs w:val="18"/>
              </w:rPr>
            </w:pPr>
            <w:r>
              <w:rPr>
                <w:rFonts w:hint="eastAsia" w:cs="Times New Roman"/>
                <w:color w:val="auto"/>
                <w:sz w:val="18"/>
                <w:szCs w:val="18"/>
                <w:lang w:val="en-US" w:eastAsia="zh-CN"/>
              </w:rPr>
              <w:t>已</w:t>
            </w:r>
            <w:r>
              <w:rPr>
                <w:rFonts w:hint="eastAsia" w:cs="Times New Roman"/>
                <w:color w:val="auto"/>
                <w:sz w:val="18"/>
                <w:szCs w:val="18"/>
              </w:rPr>
              <w:t>落实</w:t>
            </w:r>
          </w:p>
        </w:tc>
      </w:tr>
      <w:tr w14:paraId="5B66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2" w:type="dxa"/>
          </w:tcPr>
          <w:p w14:paraId="6D8B30B1">
            <w:pPr>
              <w:spacing w:line="240" w:lineRule="exact"/>
              <w:jc w:val="center"/>
              <w:rPr>
                <w:rFonts w:cs="Times New Roman"/>
                <w:b/>
                <w:bCs/>
                <w:color w:val="auto"/>
                <w:sz w:val="18"/>
                <w:szCs w:val="18"/>
              </w:rPr>
            </w:pPr>
          </w:p>
        </w:tc>
        <w:tc>
          <w:tcPr>
            <w:tcW w:w="8380" w:type="dxa"/>
            <w:gridSpan w:val="3"/>
            <w:vAlign w:val="center"/>
          </w:tcPr>
          <w:p w14:paraId="732FF91E">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.5.2 </w:t>
            </w:r>
            <w:r>
              <w:rPr>
                <w:rFonts w:hint="eastAsia" w:ascii="宋体" w:hAnsi="宋体" w:cs="宋体"/>
                <w:b/>
                <w:bCs/>
                <w:color w:val="auto"/>
                <w:sz w:val="18"/>
                <w:szCs w:val="18"/>
              </w:rPr>
              <w:t>自动控制系统的设置和安全功能</w:t>
            </w:r>
          </w:p>
        </w:tc>
      </w:tr>
      <w:tr w14:paraId="1718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473D62E">
            <w:pPr>
              <w:spacing w:line="240" w:lineRule="exact"/>
              <w:jc w:val="center"/>
              <w:rPr>
                <w:color w:val="auto"/>
                <w:sz w:val="18"/>
                <w:szCs w:val="18"/>
              </w:rPr>
            </w:pPr>
            <w:r>
              <w:rPr>
                <w:color w:val="auto"/>
                <w:sz w:val="18"/>
                <w:szCs w:val="18"/>
              </w:rPr>
              <w:t>1</w:t>
            </w:r>
          </w:p>
        </w:tc>
        <w:tc>
          <w:tcPr>
            <w:tcW w:w="5930" w:type="dxa"/>
            <w:vAlign w:val="center"/>
          </w:tcPr>
          <w:p w14:paraId="62188813">
            <w:pPr>
              <w:adjustRightInd w:val="0"/>
              <w:snapToGrid w:val="0"/>
              <w:spacing w:line="240" w:lineRule="exact"/>
              <w:rPr>
                <w:rFonts w:cs="Times New Roman"/>
                <w:color w:val="auto"/>
                <w:sz w:val="18"/>
                <w:szCs w:val="18"/>
              </w:rPr>
            </w:pPr>
            <w:r>
              <w:rPr>
                <w:rFonts w:hint="eastAsia" w:cs="Times New Roman"/>
                <w:color w:val="auto"/>
                <w:sz w:val="18"/>
                <w:szCs w:val="18"/>
              </w:rPr>
              <w:t>加油站设置卸油防溢阀，油罐渗漏检测传感器、防爆阻火通气帽和机械呼吸阀，带高低位报警的自动液位仪及油罐渗漏检测仪等安全监控防护措施。</w:t>
            </w:r>
          </w:p>
        </w:tc>
        <w:tc>
          <w:tcPr>
            <w:tcW w:w="1580" w:type="dxa"/>
            <w:vAlign w:val="center"/>
          </w:tcPr>
          <w:p w14:paraId="1B65E307">
            <w:pPr>
              <w:spacing w:line="240" w:lineRule="exact"/>
              <w:jc w:val="center"/>
              <w:rPr>
                <w:rFonts w:cs="Times New Roman"/>
                <w:color w:val="auto"/>
                <w:sz w:val="18"/>
                <w:szCs w:val="18"/>
              </w:rPr>
            </w:pPr>
            <w:r>
              <w:rPr>
                <w:rFonts w:hint="eastAsia" w:cs="Times New Roman"/>
                <w:color w:val="auto"/>
                <w:sz w:val="18"/>
                <w:szCs w:val="18"/>
              </w:rPr>
              <w:t>按要求设置</w:t>
            </w:r>
          </w:p>
        </w:tc>
        <w:tc>
          <w:tcPr>
            <w:tcW w:w="870" w:type="dxa"/>
            <w:vAlign w:val="center"/>
          </w:tcPr>
          <w:p w14:paraId="0BA1A352">
            <w:pPr>
              <w:spacing w:line="240" w:lineRule="exact"/>
              <w:jc w:val="center"/>
              <w:rPr>
                <w:rFonts w:cs="Times New Roman"/>
                <w:color w:val="auto"/>
                <w:sz w:val="18"/>
                <w:szCs w:val="18"/>
              </w:rPr>
            </w:pPr>
            <w:r>
              <w:rPr>
                <w:rFonts w:hint="eastAsia" w:cs="Times New Roman"/>
                <w:color w:val="auto"/>
                <w:sz w:val="18"/>
                <w:szCs w:val="18"/>
              </w:rPr>
              <w:t>已落实</w:t>
            </w:r>
          </w:p>
        </w:tc>
      </w:tr>
      <w:tr w14:paraId="746D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3CC426F">
            <w:pPr>
              <w:spacing w:line="240" w:lineRule="exact"/>
              <w:jc w:val="center"/>
              <w:rPr>
                <w:color w:val="auto"/>
                <w:sz w:val="18"/>
                <w:szCs w:val="18"/>
              </w:rPr>
            </w:pPr>
            <w:r>
              <w:rPr>
                <w:rFonts w:hint="eastAsia"/>
                <w:color w:val="auto"/>
                <w:sz w:val="18"/>
                <w:szCs w:val="18"/>
              </w:rPr>
              <w:t>2</w:t>
            </w:r>
          </w:p>
        </w:tc>
        <w:tc>
          <w:tcPr>
            <w:tcW w:w="5930" w:type="dxa"/>
            <w:vAlign w:val="center"/>
          </w:tcPr>
          <w:p w14:paraId="7DB83436">
            <w:pPr>
              <w:adjustRightInd w:val="0"/>
              <w:snapToGrid w:val="0"/>
              <w:spacing w:line="240" w:lineRule="exact"/>
              <w:rPr>
                <w:rFonts w:cs="宋体"/>
                <w:color w:val="auto"/>
                <w:sz w:val="18"/>
                <w:szCs w:val="18"/>
              </w:rPr>
            </w:pPr>
            <w:r>
              <w:rPr>
                <w:rFonts w:hint="eastAsia" w:cs="宋体"/>
                <w:color w:val="auto"/>
                <w:sz w:val="18"/>
                <w:szCs w:val="18"/>
              </w:rPr>
              <w:t>加油站在油罐设置在线泄漏检测仪，并在双层加油管道潜油泵出口最低点设置泄漏检测点。站房值班室内设有液位监测仪，对油罐的液位进行实时监控，油料达到油罐容量90%时，能触动高液位报警装置；卸油管道设有防溢阀，油料达到油罐容量95%时，自动停止油品继续进罐。液位监测仪及油罐渗漏检测仪设置在站房值班室内。</w:t>
            </w:r>
          </w:p>
        </w:tc>
        <w:tc>
          <w:tcPr>
            <w:tcW w:w="1580" w:type="dxa"/>
            <w:vAlign w:val="center"/>
          </w:tcPr>
          <w:p w14:paraId="41CA7E47">
            <w:pPr>
              <w:spacing w:line="240" w:lineRule="exact"/>
              <w:jc w:val="center"/>
              <w:rPr>
                <w:rFonts w:cs="宋体"/>
                <w:color w:val="auto"/>
                <w:sz w:val="18"/>
                <w:szCs w:val="18"/>
              </w:rPr>
            </w:pPr>
            <w:r>
              <w:rPr>
                <w:rFonts w:hint="eastAsia" w:cs="Times New Roman"/>
                <w:color w:val="auto"/>
                <w:sz w:val="18"/>
                <w:szCs w:val="18"/>
              </w:rPr>
              <w:t>按要求设置</w:t>
            </w:r>
          </w:p>
        </w:tc>
        <w:tc>
          <w:tcPr>
            <w:tcW w:w="870" w:type="dxa"/>
            <w:vAlign w:val="center"/>
          </w:tcPr>
          <w:p w14:paraId="02640249">
            <w:pPr>
              <w:spacing w:line="240" w:lineRule="exact"/>
              <w:jc w:val="center"/>
              <w:rPr>
                <w:rFonts w:cs="宋体"/>
                <w:color w:val="auto"/>
                <w:sz w:val="18"/>
                <w:szCs w:val="18"/>
              </w:rPr>
            </w:pPr>
            <w:r>
              <w:rPr>
                <w:rFonts w:hint="eastAsia" w:cs="Times New Roman"/>
                <w:color w:val="auto"/>
                <w:sz w:val="18"/>
                <w:szCs w:val="18"/>
              </w:rPr>
              <w:t>已落实</w:t>
            </w:r>
          </w:p>
        </w:tc>
      </w:tr>
      <w:tr w14:paraId="4666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2BD6DEF">
            <w:pPr>
              <w:spacing w:line="240" w:lineRule="exact"/>
              <w:jc w:val="center"/>
              <w:rPr>
                <w:color w:val="auto"/>
                <w:sz w:val="18"/>
                <w:szCs w:val="18"/>
              </w:rPr>
            </w:pPr>
            <w:r>
              <w:rPr>
                <w:rFonts w:hint="eastAsia"/>
                <w:color w:val="auto"/>
                <w:sz w:val="18"/>
                <w:szCs w:val="18"/>
              </w:rPr>
              <w:t>3</w:t>
            </w:r>
          </w:p>
        </w:tc>
        <w:tc>
          <w:tcPr>
            <w:tcW w:w="5930" w:type="dxa"/>
            <w:vAlign w:val="center"/>
          </w:tcPr>
          <w:p w14:paraId="450F847E">
            <w:pPr>
              <w:adjustRightInd w:val="0"/>
              <w:snapToGrid w:val="0"/>
              <w:spacing w:line="240" w:lineRule="exact"/>
              <w:rPr>
                <w:rFonts w:cs="宋体"/>
                <w:color w:val="auto"/>
                <w:sz w:val="18"/>
                <w:szCs w:val="18"/>
              </w:rPr>
            </w:pPr>
            <w:r>
              <w:rPr>
                <w:rFonts w:hint="eastAsia" w:cs="宋体"/>
                <w:color w:val="auto"/>
                <w:sz w:val="18"/>
                <w:szCs w:val="18"/>
              </w:rPr>
              <w:t>本加油站设置了2个紧急停车按钮，位于站房面向罩棚的外墙上和站内收银台旁，事故状态下能手动切断加油机控制箱电源，停加油机及潜油泵。事故紧急切断系统带失效保护功能，只能手动复位。站房内设有液位报警仪1台，油罐泄漏检测报警仪1台。</w:t>
            </w:r>
          </w:p>
        </w:tc>
        <w:tc>
          <w:tcPr>
            <w:tcW w:w="1580" w:type="dxa"/>
            <w:vAlign w:val="center"/>
          </w:tcPr>
          <w:p w14:paraId="5FA25723">
            <w:pPr>
              <w:spacing w:line="240" w:lineRule="exact"/>
              <w:jc w:val="center"/>
              <w:rPr>
                <w:rFonts w:cs="宋体"/>
                <w:color w:val="auto"/>
                <w:sz w:val="18"/>
                <w:szCs w:val="18"/>
              </w:rPr>
            </w:pPr>
            <w:r>
              <w:rPr>
                <w:rFonts w:hint="eastAsia" w:cs="Times New Roman"/>
                <w:color w:val="auto"/>
                <w:sz w:val="18"/>
                <w:szCs w:val="18"/>
              </w:rPr>
              <w:t>按要求设置</w:t>
            </w:r>
          </w:p>
        </w:tc>
        <w:tc>
          <w:tcPr>
            <w:tcW w:w="870" w:type="dxa"/>
            <w:vAlign w:val="center"/>
          </w:tcPr>
          <w:p w14:paraId="58233CAF">
            <w:pPr>
              <w:spacing w:line="240" w:lineRule="exact"/>
              <w:jc w:val="center"/>
              <w:rPr>
                <w:rFonts w:cs="宋体"/>
                <w:color w:val="auto"/>
                <w:sz w:val="18"/>
                <w:szCs w:val="18"/>
              </w:rPr>
            </w:pPr>
            <w:r>
              <w:rPr>
                <w:rFonts w:hint="eastAsia" w:cs="Times New Roman"/>
                <w:color w:val="auto"/>
                <w:sz w:val="18"/>
                <w:szCs w:val="18"/>
              </w:rPr>
              <w:t>已落实</w:t>
            </w:r>
          </w:p>
        </w:tc>
      </w:tr>
      <w:tr w14:paraId="197E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82" w:type="dxa"/>
            <w:vAlign w:val="center"/>
          </w:tcPr>
          <w:p w14:paraId="408AAF6D">
            <w:pPr>
              <w:spacing w:line="240" w:lineRule="exact"/>
              <w:jc w:val="center"/>
              <w:rPr>
                <w:color w:val="auto"/>
                <w:sz w:val="18"/>
                <w:szCs w:val="18"/>
              </w:rPr>
            </w:pPr>
            <w:r>
              <w:rPr>
                <w:rFonts w:hint="eastAsia"/>
                <w:color w:val="auto"/>
                <w:sz w:val="18"/>
                <w:szCs w:val="18"/>
              </w:rPr>
              <w:t>4</w:t>
            </w:r>
          </w:p>
        </w:tc>
        <w:tc>
          <w:tcPr>
            <w:tcW w:w="5930" w:type="dxa"/>
            <w:vAlign w:val="center"/>
          </w:tcPr>
          <w:p w14:paraId="2B347AFD">
            <w:pPr>
              <w:adjustRightInd w:val="0"/>
              <w:snapToGrid w:val="0"/>
              <w:spacing w:line="240" w:lineRule="exact"/>
              <w:rPr>
                <w:rFonts w:cs="宋体"/>
                <w:color w:val="auto"/>
                <w:sz w:val="18"/>
                <w:szCs w:val="18"/>
              </w:rPr>
            </w:pPr>
            <w:r>
              <w:rPr>
                <w:rFonts w:hint="eastAsia" w:cs="宋体"/>
                <w:color w:val="auto"/>
                <w:sz w:val="18"/>
                <w:szCs w:val="18"/>
              </w:rPr>
              <w:t>加油机底部管线上设置剪切阀，当加油机和输油管道受外力作用时，紧急切断阀自动断开。</w:t>
            </w:r>
          </w:p>
        </w:tc>
        <w:tc>
          <w:tcPr>
            <w:tcW w:w="1580" w:type="dxa"/>
            <w:vAlign w:val="center"/>
          </w:tcPr>
          <w:p w14:paraId="7F31EC4A">
            <w:pPr>
              <w:spacing w:line="240" w:lineRule="exact"/>
              <w:jc w:val="center"/>
              <w:rPr>
                <w:rFonts w:cs="宋体"/>
                <w:color w:val="auto"/>
                <w:sz w:val="18"/>
                <w:szCs w:val="18"/>
              </w:rPr>
            </w:pPr>
            <w:r>
              <w:rPr>
                <w:rFonts w:hint="eastAsia" w:cs="Times New Roman"/>
                <w:color w:val="auto"/>
                <w:sz w:val="18"/>
                <w:szCs w:val="18"/>
              </w:rPr>
              <w:t>按要求设置</w:t>
            </w:r>
          </w:p>
        </w:tc>
        <w:tc>
          <w:tcPr>
            <w:tcW w:w="870" w:type="dxa"/>
            <w:vAlign w:val="center"/>
          </w:tcPr>
          <w:p w14:paraId="51BF8857">
            <w:pPr>
              <w:spacing w:line="240" w:lineRule="exact"/>
              <w:jc w:val="center"/>
              <w:rPr>
                <w:rFonts w:cs="宋体"/>
                <w:color w:val="auto"/>
                <w:sz w:val="18"/>
                <w:szCs w:val="18"/>
              </w:rPr>
            </w:pPr>
            <w:r>
              <w:rPr>
                <w:rFonts w:hint="eastAsia" w:cs="Times New Roman"/>
                <w:color w:val="auto"/>
                <w:sz w:val="18"/>
                <w:szCs w:val="18"/>
              </w:rPr>
              <w:t>已落实</w:t>
            </w:r>
          </w:p>
        </w:tc>
      </w:tr>
      <w:tr w14:paraId="3BD5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82" w:type="dxa"/>
            <w:vAlign w:val="center"/>
          </w:tcPr>
          <w:p w14:paraId="0337E2BC">
            <w:pPr>
              <w:spacing w:line="240" w:lineRule="exact"/>
              <w:jc w:val="center"/>
              <w:rPr>
                <w:color w:val="auto"/>
                <w:sz w:val="18"/>
                <w:szCs w:val="18"/>
              </w:rPr>
            </w:pPr>
            <w:r>
              <w:rPr>
                <w:rFonts w:hint="eastAsia"/>
                <w:color w:val="auto"/>
                <w:sz w:val="18"/>
                <w:szCs w:val="18"/>
              </w:rPr>
              <w:t>5</w:t>
            </w:r>
          </w:p>
        </w:tc>
        <w:tc>
          <w:tcPr>
            <w:tcW w:w="5930" w:type="dxa"/>
            <w:vAlign w:val="center"/>
          </w:tcPr>
          <w:p w14:paraId="2F41FD31">
            <w:pPr>
              <w:tabs>
                <w:tab w:val="right" w:pos="6124"/>
              </w:tabs>
              <w:adjustRightInd w:val="0"/>
              <w:snapToGrid w:val="0"/>
              <w:spacing w:line="240" w:lineRule="exact"/>
              <w:rPr>
                <w:rFonts w:cs="宋体"/>
                <w:color w:val="auto"/>
                <w:sz w:val="18"/>
                <w:szCs w:val="18"/>
              </w:rPr>
            </w:pPr>
            <w:r>
              <w:rPr>
                <w:rFonts w:hint="eastAsia" w:cs="宋体"/>
                <w:color w:val="auto"/>
                <w:sz w:val="18"/>
                <w:szCs w:val="18"/>
              </w:rPr>
              <w:t>加油枪采用自封式加油枪，汽油加油枪的流速不大于50L/min，加油软管上设安全拉断阀（加油机自带）。</w:t>
            </w:r>
          </w:p>
        </w:tc>
        <w:tc>
          <w:tcPr>
            <w:tcW w:w="1580" w:type="dxa"/>
            <w:vAlign w:val="center"/>
          </w:tcPr>
          <w:p w14:paraId="4F756C15">
            <w:pPr>
              <w:spacing w:line="240" w:lineRule="exact"/>
              <w:jc w:val="center"/>
              <w:rPr>
                <w:rFonts w:cs="宋体"/>
                <w:color w:val="auto"/>
                <w:sz w:val="18"/>
                <w:szCs w:val="18"/>
              </w:rPr>
            </w:pPr>
            <w:r>
              <w:rPr>
                <w:rFonts w:hint="eastAsia" w:cs="宋体"/>
                <w:color w:val="auto"/>
                <w:sz w:val="18"/>
                <w:szCs w:val="18"/>
              </w:rPr>
              <w:t>自封式加油枪</w:t>
            </w:r>
          </w:p>
        </w:tc>
        <w:tc>
          <w:tcPr>
            <w:tcW w:w="870" w:type="dxa"/>
            <w:vAlign w:val="center"/>
          </w:tcPr>
          <w:p w14:paraId="68A078BA">
            <w:pPr>
              <w:spacing w:line="240" w:lineRule="exact"/>
              <w:jc w:val="center"/>
              <w:rPr>
                <w:rFonts w:cs="宋体"/>
                <w:color w:val="auto"/>
                <w:sz w:val="18"/>
                <w:szCs w:val="18"/>
              </w:rPr>
            </w:pPr>
            <w:r>
              <w:rPr>
                <w:rFonts w:hint="eastAsia" w:cs="宋体"/>
                <w:color w:val="auto"/>
                <w:sz w:val="18"/>
                <w:szCs w:val="18"/>
              </w:rPr>
              <w:t>已落实</w:t>
            </w:r>
          </w:p>
        </w:tc>
      </w:tr>
      <w:tr w14:paraId="4538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20A9A34">
            <w:pPr>
              <w:spacing w:line="240" w:lineRule="exact"/>
              <w:jc w:val="center"/>
              <w:rPr>
                <w:rFonts w:cs="Times New Roman"/>
                <w:b/>
                <w:bCs/>
                <w:color w:val="auto"/>
                <w:sz w:val="18"/>
                <w:szCs w:val="18"/>
              </w:rPr>
            </w:pPr>
          </w:p>
        </w:tc>
        <w:tc>
          <w:tcPr>
            <w:tcW w:w="8380" w:type="dxa"/>
            <w:gridSpan w:val="3"/>
            <w:vAlign w:val="center"/>
          </w:tcPr>
          <w:p w14:paraId="33FC07A1">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.5.</w:t>
            </w:r>
            <w:r>
              <w:rPr>
                <w:rFonts w:hint="eastAsia"/>
                <w:b/>
                <w:bCs/>
                <w:color w:val="auto"/>
                <w:sz w:val="18"/>
                <w:szCs w:val="18"/>
              </w:rPr>
              <w:t>3</w:t>
            </w:r>
            <w:r>
              <w:rPr>
                <w:b/>
                <w:bCs/>
                <w:color w:val="auto"/>
                <w:sz w:val="18"/>
                <w:szCs w:val="18"/>
              </w:rPr>
              <w:t xml:space="preserve"> </w:t>
            </w:r>
            <w:r>
              <w:rPr>
                <w:rFonts w:hint="eastAsia" w:cs="宋体"/>
                <w:b/>
                <w:bCs/>
                <w:color w:val="auto"/>
                <w:sz w:val="18"/>
                <w:szCs w:val="18"/>
              </w:rPr>
              <w:t>视频监控系统</w:t>
            </w:r>
          </w:p>
        </w:tc>
      </w:tr>
      <w:tr w14:paraId="3C3D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1BD1EE1A">
            <w:pPr>
              <w:spacing w:line="240" w:lineRule="exact"/>
              <w:jc w:val="center"/>
              <w:rPr>
                <w:color w:val="auto"/>
                <w:sz w:val="18"/>
                <w:szCs w:val="18"/>
              </w:rPr>
            </w:pPr>
            <w:r>
              <w:rPr>
                <w:rFonts w:hint="eastAsia"/>
                <w:color w:val="auto"/>
                <w:sz w:val="18"/>
                <w:szCs w:val="18"/>
              </w:rPr>
              <w:t>1</w:t>
            </w:r>
          </w:p>
        </w:tc>
        <w:tc>
          <w:tcPr>
            <w:tcW w:w="5930" w:type="dxa"/>
            <w:vAlign w:val="center"/>
          </w:tcPr>
          <w:p w14:paraId="50B21C9F">
            <w:pPr>
              <w:adjustRightInd w:val="0"/>
              <w:snapToGrid w:val="0"/>
              <w:spacing w:line="240" w:lineRule="exact"/>
              <w:rPr>
                <w:rFonts w:cs="Times New Roman"/>
                <w:color w:val="auto"/>
                <w:sz w:val="18"/>
                <w:szCs w:val="18"/>
              </w:rPr>
            </w:pPr>
            <w:r>
              <w:rPr>
                <w:rFonts w:hint="eastAsia" w:cs="Times New Roman"/>
                <w:color w:val="auto"/>
                <w:sz w:val="18"/>
                <w:szCs w:val="18"/>
              </w:rPr>
              <w:t>本加油站设置了视频监控系统，可监控油站各区域。</w:t>
            </w:r>
          </w:p>
          <w:p w14:paraId="09979943">
            <w:pPr>
              <w:adjustRightInd w:val="0"/>
              <w:snapToGrid w:val="0"/>
              <w:spacing w:line="240" w:lineRule="exact"/>
              <w:rPr>
                <w:rFonts w:cs="Times New Roman"/>
                <w:color w:val="auto"/>
                <w:sz w:val="18"/>
                <w:szCs w:val="18"/>
              </w:rPr>
            </w:pPr>
            <w:r>
              <w:rPr>
                <w:rFonts w:hint="eastAsia" w:cs="Times New Roman"/>
                <w:color w:val="auto"/>
                <w:sz w:val="18"/>
                <w:szCs w:val="18"/>
              </w:rPr>
              <w:t>本加油站</w:t>
            </w:r>
            <w:r>
              <w:rPr>
                <w:rFonts w:hint="eastAsia" w:cs="Times New Roman"/>
                <w:color w:val="auto"/>
                <w:sz w:val="18"/>
                <w:szCs w:val="18"/>
                <w:lang w:val="en-US" w:eastAsia="zh-CN"/>
              </w:rPr>
              <w:t>有</w:t>
            </w:r>
            <w:r>
              <w:rPr>
                <w:rFonts w:hint="eastAsia" w:cs="Times New Roman"/>
                <w:color w:val="auto"/>
                <w:sz w:val="18"/>
                <w:szCs w:val="18"/>
              </w:rPr>
              <w:t>室外网络摄像机，现场摄像</w:t>
            </w:r>
            <w:r>
              <w:rPr>
                <w:rFonts w:hint="eastAsia" w:cs="Times New Roman"/>
                <w:color w:val="auto"/>
                <w:sz w:val="18"/>
                <w:szCs w:val="18"/>
                <w:lang w:eastAsia="zh-CN"/>
              </w:rPr>
              <w:t>仪将</w:t>
            </w:r>
            <w:r>
              <w:rPr>
                <w:rFonts w:hint="eastAsia" w:cs="Times New Roman"/>
                <w:color w:val="auto"/>
                <w:sz w:val="18"/>
                <w:szCs w:val="18"/>
              </w:rPr>
              <w:t>视频信号引至站房。</w:t>
            </w:r>
          </w:p>
          <w:p w14:paraId="7B822047">
            <w:pPr>
              <w:adjustRightInd w:val="0"/>
              <w:snapToGrid w:val="0"/>
              <w:spacing w:line="240" w:lineRule="exact"/>
              <w:rPr>
                <w:rFonts w:cs="Times New Roman"/>
                <w:color w:val="auto"/>
                <w:sz w:val="18"/>
                <w:szCs w:val="18"/>
              </w:rPr>
            </w:pPr>
            <w:r>
              <w:rPr>
                <w:rFonts w:hint="eastAsia" w:cs="Times New Roman"/>
                <w:color w:val="auto"/>
                <w:sz w:val="18"/>
                <w:szCs w:val="18"/>
              </w:rPr>
              <w:t>站长室内监控主机。视频监控系统配UPS电源供电，容量为3kVA。系统中硬盘录像机储存时间大于30天。</w:t>
            </w:r>
          </w:p>
          <w:p w14:paraId="062B015D">
            <w:pPr>
              <w:adjustRightInd w:val="0"/>
              <w:snapToGrid w:val="0"/>
              <w:spacing w:line="240" w:lineRule="exact"/>
              <w:rPr>
                <w:rFonts w:cs="Times New Roman"/>
                <w:color w:val="auto"/>
                <w:sz w:val="18"/>
                <w:szCs w:val="18"/>
              </w:rPr>
            </w:pPr>
            <w:r>
              <w:rPr>
                <w:rFonts w:hint="eastAsia" w:cs="Times New Roman"/>
                <w:color w:val="auto"/>
                <w:sz w:val="18"/>
                <w:szCs w:val="18"/>
              </w:rPr>
              <w:t>加油区罩棚高度6.5m，摄像机防护等级不低于IP67级。</w:t>
            </w:r>
          </w:p>
          <w:p w14:paraId="0CEB732F">
            <w:pPr>
              <w:adjustRightInd w:val="0"/>
              <w:snapToGrid w:val="0"/>
              <w:spacing w:line="240" w:lineRule="exact"/>
              <w:rPr>
                <w:rFonts w:cs="Times New Roman"/>
                <w:color w:val="auto"/>
                <w:sz w:val="18"/>
                <w:szCs w:val="18"/>
              </w:rPr>
            </w:pPr>
            <w:r>
              <w:rPr>
                <w:rFonts w:hint="eastAsia" w:cs="Times New Roman"/>
                <w:color w:val="auto"/>
                <w:sz w:val="18"/>
                <w:szCs w:val="18"/>
              </w:rPr>
              <w:t>站房室内共1台监视用摄像机，设于营业厅。工作人员在值班室监视，监控器画面就可以实现对罐区、加油区、站房的全天候全方位的动态监视。</w:t>
            </w:r>
          </w:p>
        </w:tc>
        <w:tc>
          <w:tcPr>
            <w:tcW w:w="1580" w:type="dxa"/>
            <w:vAlign w:val="center"/>
          </w:tcPr>
          <w:p w14:paraId="24E21F49">
            <w:pPr>
              <w:spacing w:line="240" w:lineRule="exact"/>
              <w:jc w:val="center"/>
              <w:rPr>
                <w:rFonts w:cs="Times New Roman"/>
                <w:color w:val="auto"/>
                <w:sz w:val="18"/>
                <w:szCs w:val="18"/>
              </w:rPr>
            </w:pPr>
            <w:r>
              <w:rPr>
                <w:rFonts w:hint="eastAsia" w:cs="Times New Roman"/>
                <w:color w:val="auto"/>
                <w:sz w:val="18"/>
                <w:szCs w:val="18"/>
              </w:rPr>
              <w:t>按要求设置视频监控系统</w:t>
            </w:r>
          </w:p>
        </w:tc>
        <w:tc>
          <w:tcPr>
            <w:tcW w:w="870" w:type="dxa"/>
            <w:vAlign w:val="center"/>
          </w:tcPr>
          <w:p w14:paraId="01A5AA97">
            <w:pPr>
              <w:spacing w:line="240" w:lineRule="exact"/>
              <w:jc w:val="center"/>
              <w:rPr>
                <w:rFonts w:cs="Times New Roman"/>
                <w:color w:val="auto"/>
                <w:sz w:val="18"/>
                <w:szCs w:val="18"/>
              </w:rPr>
            </w:pPr>
            <w:r>
              <w:rPr>
                <w:rFonts w:hint="eastAsia" w:cs="Times New Roman"/>
                <w:color w:val="auto"/>
                <w:sz w:val="18"/>
                <w:szCs w:val="18"/>
              </w:rPr>
              <w:t>已落实</w:t>
            </w:r>
          </w:p>
        </w:tc>
      </w:tr>
      <w:tr w14:paraId="3312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C1A00C6">
            <w:pPr>
              <w:spacing w:line="240" w:lineRule="exact"/>
              <w:jc w:val="center"/>
              <w:rPr>
                <w:rFonts w:cs="Times New Roman"/>
                <w:b/>
                <w:bCs/>
                <w:color w:val="auto"/>
                <w:sz w:val="18"/>
                <w:szCs w:val="18"/>
              </w:rPr>
            </w:pPr>
          </w:p>
        </w:tc>
        <w:tc>
          <w:tcPr>
            <w:tcW w:w="8380" w:type="dxa"/>
            <w:gridSpan w:val="3"/>
            <w:vAlign w:val="center"/>
          </w:tcPr>
          <w:p w14:paraId="7308C36F">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.6 </w:t>
            </w:r>
            <w:r>
              <w:rPr>
                <w:rFonts w:hint="eastAsia" w:cs="宋体"/>
                <w:b/>
                <w:bCs/>
                <w:color w:val="auto"/>
                <w:sz w:val="18"/>
                <w:szCs w:val="18"/>
              </w:rPr>
              <w:t>建构筑物方面的安全措施</w:t>
            </w:r>
          </w:p>
        </w:tc>
      </w:tr>
      <w:tr w14:paraId="7A7B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3F1E8FF">
            <w:pPr>
              <w:spacing w:line="240" w:lineRule="exact"/>
              <w:jc w:val="center"/>
              <w:rPr>
                <w:color w:val="auto"/>
                <w:sz w:val="18"/>
                <w:szCs w:val="18"/>
              </w:rPr>
            </w:pPr>
            <w:r>
              <w:rPr>
                <w:color w:val="auto"/>
                <w:sz w:val="18"/>
                <w:szCs w:val="18"/>
              </w:rPr>
              <w:t>1</w:t>
            </w:r>
          </w:p>
        </w:tc>
        <w:tc>
          <w:tcPr>
            <w:tcW w:w="5930" w:type="dxa"/>
            <w:vAlign w:val="center"/>
          </w:tcPr>
          <w:p w14:paraId="7FFDDAD5">
            <w:pPr>
              <w:adjustRightInd w:val="0"/>
              <w:snapToGrid w:val="0"/>
              <w:spacing w:line="240" w:lineRule="exact"/>
              <w:rPr>
                <w:rFonts w:cs="Times New Roman"/>
                <w:color w:val="auto"/>
                <w:sz w:val="18"/>
                <w:szCs w:val="18"/>
              </w:rPr>
            </w:pPr>
            <w:r>
              <w:rPr>
                <w:rFonts w:hint="eastAsia" w:cs="宋体"/>
                <w:color w:val="auto"/>
                <w:sz w:val="18"/>
                <w:szCs w:val="18"/>
              </w:rPr>
              <w:t>加油区地面采用不发火花地面。</w:t>
            </w:r>
          </w:p>
        </w:tc>
        <w:tc>
          <w:tcPr>
            <w:tcW w:w="1580" w:type="dxa"/>
            <w:vAlign w:val="center"/>
          </w:tcPr>
          <w:p w14:paraId="1EE45354">
            <w:pPr>
              <w:spacing w:line="240" w:lineRule="exact"/>
              <w:jc w:val="center"/>
              <w:rPr>
                <w:rFonts w:cs="Times New Roman"/>
                <w:color w:val="auto"/>
                <w:sz w:val="18"/>
                <w:szCs w:val="18"/>
              </w:rPr>
            </w:pPr>
            <w:r>
              <w:rPr>
                <w:rFonts w:hint="eastAsia" w:cs="宋体"/>
                <w:color w:val="auto"/>
                <w:sz w:val="18"/>
                <w:szCs w:val="18"/>
              </w:rPr>
              <w:t>站内采用不发火花地面</w:t>
            </w:r>
          </w:p>
        </w:tc>
        <w:tc>
          <w:tcPr>
            <w:tcW w:w="870" w:type="dxa"/>
            <w:vAlign w:val="center"/>
          </w:tcPr>
          <w:p w14:paraId="32BFCB17">
            <w:pPr>
              <w:spacing w:line="240" w:lineRule="exact"/>
              <w:jc w:val="center"/>
              <w:rPr>
                <w:rFonts w:cs="Times New Roman"/>
                <w:color w:val="auto"/>
                <w:sz w:val="18"/>
                <w:szCs w:val="18"/>
              </w:rPr>
            </w:pPr>
            <w:r>
              <w:rPr>
                <w:rFonts w:hint="eastAsia" w:cs="宋体"/>
                <w:color w:val="auto"/>
                <w:sz w:val="18"/>
                <w:szCs w:val="18"/>
              </w:rPr>
              <w:t>已落实</w:t>
            </w:r>
          </w:p>
        </w:tc>
      </w:tr>
      <w:tr w14:paraId="2DB3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2FDC4DB">
            <w:pPr>
              <w:spacing w:line="240" w:lineRule="exact"/>
              <w:jc w:val="center"/>
              <w:rPr>
                <w:color w:val="auto"/>
                <w:sz w:val="18"/>
                <w:szCs w:val="18"/>
              </w:rPr>
            </w:pPr>
            <w:r>
              <w:rPr>
                <w:color w:val="auto"/>
                <w:sz w:val="18"/>
                <w:szCs w:val="18"/>
              </w:rPr>
              <w:t>2</w:t>
            </w:r>
          </w:p>
        </w:tc>
        <w:tc>
          <w:tcPr>
            <w:tcW w:w="5930" w:type="dxa"/>
            <w:vAlign w:val="center"/>
          </w:tcPr>
          <w:p w14:paraId="1E766CA4">
            <w:pPr>
              <w:adjustRightInd w:val="0"/>
              <w:snapToGrid w:val="0"/>
              <w:spacing w:line="240" w:lineRule="exact"/>
              <w:rPr>
                <w:rFonts w:cs="Times New Roman"/>
                <w:color w:val="auto"/>
                <w:sz w:val="18"/>
                <w:szCs w:val="18"/>
              </w:rPr>
            </w:pPr>
            <w:r>
              <w:rPr>
                <w:rFonts w:hint="eastAsia" w:cs="宋体"/>
                <w:color w:val="auto"/>
                <w:sz w:val="18"/>
                <w:szCs w:val="18"/>
              </w:rPr>
              <w:t>站内部分地面可种植耐火植被进行绿化，不得种植油性植物。</w:t>
            </w:r>
          </w:p>
        </w:tc>
        <w:tc>
          <w:tcPr>
            <w:tcW w:w="1580" w:type="dxa"/>
            <w:vAlign w:val="center"/>
          </w:tcPr>
          <w:p w14:paraId="38C8B43E">
            <w:pPr>
              <w:spacing w:line="240" w:lineRule="exact"/>
              <w:jc w:val="center"/>
              <w:rPr>
                <w:rFonts w:cs="Times New Roman"/>
                <w:color w:val="auto"/>
                <w:sz w:val="18"/>
                <w:szCs w:val="18"/>
              </w:rPr>
            </w:pPr>
            <w:r>
              <w:rPr>
                <w:rFonts w:hint="eastAsia" w:cs="Times New Roman"/>
                <w:color w:val="auto"/>
                <w:sz w:val="18"/>
                <w:szCs w:val="18"/>
              </w:rPr>
              <w:t>现场检查未种植油性植物</w:t>
            </w:r>
          </w:p>
        </w:tc>
        <w:tc>
          <w:tcPr>
            <w:tcW w:w="870" w:type="dxa"/>
            <w:vAlign w:val="center"/>
          </w:tcPr>
          <w:p w14:paraId="1FFAA114">
            <w:pPr>
              <w:spacing w:line="240" w:lineRule="exact"/>
              <w:jc w:val="center"/>
              <w:rPr>
                <w:rFonts w:cs="Times New Roman"/>
                <w:color w:val="auto"/>
                <w:sz w:val="18"/>
                <w:szCs w:val="18"/>
              </w:rPr>
            </w:pPr>
            <w:r>
              <w:rPr>
                <w:rFonts w:hint="eastAsia" w:cs="Times New Roman"/>
                <w:color w:val="auto"/>
                <w:sz w:val="18"/>
                <w:szCs w:val="18"/>
              </w:rPr>
              <w:t>已落实</w:t>
            </w:r>
          </w:p>
        </w:tc>
      </w:tr>
      <w:tr w14:paraId="5790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59506AD">
            <w:pPr>
              <w:spacing w:line="240" w:lineRule="exact"/>
              <w:jc w:val="center"/>
              <w:rPr>
                <w:rFonts w:cs="Times New Roman"/>
                <w:b/>
                <w:bCs/>
                <w:color w:val="auto"/>
                <w:sz w:val="18"/>
                <w:szCs w:val="18"/>
              </w:rPr>
            </w:pPr>
          </w:p>
        </w:tc>
        <w:tc>
          <w:tcPr>
            <w:tcW w:w="8380" w:type="dxa"/>
            <w:gridSpan w:val="3"/>
            <w:vAlign w:val="center"/>
          </w:tcPr>
          <w:p w14:paraId="37F96259">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.7</w:t>
            </w:r>
            <w:r>
              <w:rPr>
                <w:rFonts w:hint="eastAsia" w:cs="宋体"/>
                <w:b/>
                <w:bCs/>
                <w:color w:val="auto"/>
                <w:sz w:val="18"/>
                <w:szCs w:val="18"/>
              </w:rPr>
              <w:t>其他防范措施</w:t>
            </w:r>
          </w:p>
        </w:tc>
      </w:tr>
      <w:tr w14:paraId="6693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096CDA0">
            <w:pPr>
              <w:spacing w:line="240" w:lineRule="exact"/>
              <w:jc w:val="center"/>
              <w:rPr>
                <w:rFonts w:cs="Times New Roman"/>
                <w:b/>
                <w:bCs/>
                <w:color w:val="auto"/>
                <w:sz w:val="18"/>
                <w:szCs w:val="18"/>
              </w:rPr>
            </w:pPr>
          </w:p>
        </w:tc>
        <w:tc>
          <w:tcPr>
            <w:tcW w:w="8380" w:type="dxa"/>
            <w:gridSpan w:val="3"/>
            <w:vAlign w:val="center"/>
          </w:tcPr>
          <w:p w14:paraId="3EE3D243">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.7.1</w:t>
            </w:r>
            <w:r>
              <w:rPr>
                <w:rFonts w:hint="eastAsia" w:cs="宋体"/>
                <w:b/>
                <w:bCs/>
                <w:color w:val="auto"/>
                <w:sz w:val="18"/>
                <w:szCs w:val="18"/>
              </w:rPr>
              <w:t>防洪、防台风、防地质灾害、抗震等防范自然灾害的措施</w:t>
            </w:r>
          </w:p>
        </w:tc>
      </w:tr>
      <w:tr w14:paraId="0234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65678075">
            <w:pPr>
              <w:spacing w:line="240" w:lineRule="exact"/>
              <w:jc w:val="center"/>
              <w:rPr>
                <w:color w:val="auto"/>
                <w:sz w:val="18"/>
                <w:szCs w:val="18"/>
              </w:rPr>
            </w:pPr>
            <w:r>
              <w:rPr>
                <w:color w:val="auto"/>
                <w:sz w:val="18"/>
                <w:szCs w:val="18"/>
              </w:rPr>
              <w:t>1</w:t>
            </w:r>
          </w:p>
        </w:tc>
        <w:tc>
          <w:tcPr>
            <w:tcW w:w="5930" w:type="dxa"/>
            <w:vAlign w:val="center"/>
          </w:tcPr>
          <w:p w14:paraId="2D7F899E">
            <w:pPr>
              <w:adjustRightInd w:val="0"/>
              <w:snapToGrid w:val="0"/>
              <w:spacing w:line="240" w:lineRule="exact"/>
              <w:rPr>
                <w:rFonts w:cs="Times New Roman"/>
                <w:color w:val="auto"/>
                <w:sz w:val="18"/>
                <w:szCs w:val="18"/>
              </w:rPr>
            </w:pPr>
            <w:r>
              <w:rPr>
                <w:rFonts w:hint="eastAsia" w:cs="Times New Roman"/>
                <w:color w:val="auto"/>
                <w:sz w:val="18"/>
                <w:szCs w:val="18"/>
              </w:rPr>
              <w:t>防洪：加油站</w:t>
            </w:r>
            <w:r>
              <w:rPr>
                <w:rFonts w:hint="eastAsia" w:cs="Times New Roman"/>
                <w:color w:val="auto"/>
                <w:sz w:val="18"/>
                <w:szCs w:val="18"/>
                <w:lang w:eastAsia="zh-CN"/>
              </w:rPr>
              <w:t>所在</w:t>
            </w:r>
            <w:r>
              <w:rPr>
                <w:rFonts w:hint="eastAsia" w:cs="Times New Roman"/>
                <w:color w:val="auto"/>
                <w:sz w:val="18"/>
                <w:szCs w:val="18"/>
              </w:rPr>
              <w:t>场地受洪水、台风影响较小，在雨季来临之前，派专人对站区周围的流水通道，进行疏通，以防止堵塞流水通道。加油站也设置了排水沟和导流沟，排水顺畅。</w:t>
            </w:r>
          </w:p>
        </w:tc>
        <w:tc>
          <w:tcPr>
            <w:tcW w:w="1580" w:type="dxa"/>
            <w:vAlign w:val="center"/>
          </w:tcPr>
          <w:p w14:paraId="2B42D8E7">
            <w:pPr>
              <w:spacing w:line="240" w:lineRule="exact"/>
              <w:jc w:val="center"/>
              <w:rPr>
                <w:rFonts w:cs="Times New Roman"/>
                <w:color w:val="auto"/>
                <w:sz w:val="18"/>
                <w:szCs w:val="18"/>
              </w:rPr>
            </w:pPr>
            <w:r>
              <w:rPr>
                <w:rFonts w:hint="eastAsia" w:cs="Times New Roman"/>
                <w:color w:val="auto"/>
                <w:sz w:val="18"/>
                <w:szCs w:val="18"/>
              </w:rPr>
              <w:t>设置排水沟和导流沟</w:t>
            </w:r>
          </w:p>
        </w:tc>
        <w:tc>
          <w:tcPr>
            <w:tcW w:w="870" w:type="dxa"/>
            <w:vAlign w:val="center"/>
          </w:tcPr>
          <w:p w14:paraId="4CC51F89">
            <w:pPr>
              <w:spacing w:line="240" w:lineRule="exact"/>
              <w:jc w:val="center"/>
              <w:rPr>
                <w:rFonts w:cs="Times New Roman"/>
                <w:color w:val="auto"/>
                <w:sz w:val="18"/>
                <w:szCs w:val="18"/>
              </w:rPr>
            </w:pPr>
            <w:r>
              <w:rPr>
                <w:rFonts w:hint="eastAsia" w:cs="Times New Roman"/>
                <w:color w:val="auto"/>
                <w:sz w:val="18"/>
                <w:szCs w:val="18"/>
              </w:rPr>
              <w:t>已落实</w:t>
            </w:r>
          </w:p>
        </w:tc>
      </w:tr>
      <w:tr w14:paraId="6179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EC61C55">
            <w:pPr>
              <w:spacing w:line="240" w:lineRule="exact"/>
              <w:jc w:val="center"/>
              <w:rPr>
                <w:color w:val="auto"/>
                <w:sz w:val="18"/>
                <w:szCs w:val="18"/>
              </w:rPr>
            </w:pPr>
            <w:r>
              <w:rPr>
                <w:rFonts w:hint="eastAsia"/>
                <w:color w:val="auto"/>
                <w:sz w:val="18"/>
                <w:szCs w:val="18"/>
              </w:rPr>
              <w:t>2</w:t>
            </w:r>
          </w:p>
        </w:tc>
        <w:tc>
          <w:tcPr>
            <w:tcW w:w="5930" w:type="dxa"/>
            <w:vAlign w:val="center"/>
          </w:tcPr>
          <w:p w14:paraId="37A58967">
            <w:pPr>
              <w:adjustRightInd w:val="0"/>
              <w:snapToGrid w:val="0"/>
              <w:spacing w:line="240" w:lineRule="exact"/>
              <w:rPr>
                <w:rFonts w:cs="宋体"/>
                <w:color w:val="auto"/>
                <w:sz w:val="18"/>
                <w:szCs w:val="18"/>
              </w:rPr>
            </w:pPr>
            <w:r>
              <w:rPr>
                <w:rFonts w:hint="eastAsia" w:cs="宋体"/>
                <w:color w:val="auto"/>
                <w:sz w:val="18"/>
                <w:szCs w:val="18"/>
              </w:rPr>
              <w:t>抗震：根据国家地震局颁布的《中国地震烈度区划图》以及该地域已有工程地质初勘资料，赣州市上犹区的抗震设防烈度为6度，建构筑物设计基本地震动参数加速度值为0.05g。在抗震方面，站房采用砖混结构。所有建筑均采取了6度及以上抗震设计</w:t>
            </w:r>
          </w:p>
        </w:tc>
        <w:tc>
          <w:tcPr>
            <w:tcW w:w="1580" w:type="dxa"/>
            <w:vAlign w:val="center"/>
          </w:tcPr>
          <w:p w14:paraId="3657ABA1">
            <w:pPr>
              <w:spacing w:line="240" w:lineRule="exact"/>
              <w:jc w:val="center"/>
              <w:rPr>
                <w:rFonts w:cs="宋体"/>
                <w:color w:val="auto"/>
                <w:sz w:val="18"/>
                <w:szCs w:val="18"/>
              </w:rPr>
            </w:pPr>
            <w:r>
              <w:rPr>
                <w:rFonts w:hint="eastAsia" w:cs="宋体"/>
                <w:color w:val="auto"/>
                <w:sz w:val="18"/>
                <w:szCs w:val="18"/>
              </w:rPr>
              <w:t>6度抗震</w:t>
            </w:r>
          </w:p>
        </w:tc>
        <w:tc>
          <w:tcPr>
            <w:tcW w:w="870" w:type="dxa"/>
            <w:vAlign w:val="center"/>
          </w:tcPr>
          <w:p w14:paraId="6D6B6C08">
            <w:pPr>
              <w:spacing w:line="240" w:lineRule="exact"/>
              <w:jc w:val="center"/>
              <w:rPr>
                <w:rFonts w:cs="宋体"/>
                <w:color w:val="auto"/>
                <w:sz w:val="18"/>
                <w:szCs w:val="18"/>
              </w:rPr>
            </w:pPr>
            <w:r>
              <w:rPr>
                <w:rFonts w:hint="eastAsia" w:cs="宋体"/>
                <w:color w:val="auto"/>
                <w:sz w:val="18"/>
                <w:szCs w:val="18"/>
              </w:rPr>
              <w:t>已落实</w:t>
            </w:r>
          </w:p>
        </w:tc>
      </w:tr>
      <w:tr w14:paraId="34E8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250BFF0">
            <w:pPr>
              <w:spacing w:line="240" w:lineRule="exact"/>
              <w:jc w:val="center"/>
              <w:rPr>
                <w:rFonts w:cs="Times New Roman"/>
                <w:b/>
                <w:bCs/>
                <w:color w:val="auto"/>
                <w:sz w:val="18"/>
                <w:szCs w:val="18"/>
              </w:rPr>
            </w:pPr>
          </w:p>
        </w:tc>
        <w:tc>
          <w:tcPr>
            <w:tcW w:w="8380" w:type="dxa"/>
            <w:gridSpan w:val="3"/>
            <w:vAlign w:val="center"/>
          </w:tcPr>
          <w:p w14:paraId="07A7A114">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.7.2</w:t>
            </w:r>
            <w:r>
              <w:rPr>
                <w:rFonts w:hint="eastAsia" w:cs="宋体"/>
                <w:b/>
                <w:bCs/>
                <w:color w:val="auto"/>
                <w:sz w:val="18"/>
                <w:szCs w:val="18"/>
              </w:rPr>
              <w:t>防噪音、防护栏、安全标志、风向标的设置</w:t>
            </w:r>
          </w:p>
        </w:tc>
      </w:tr>
      <w:tr w14:paraId="6336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C29978D">
            <w:pPr>
              <w:spacing w:line="240" w:lineRule="exact"/>
              <w:jc w:val="center"/>
              <w:rPr>
                <w:rFonts w:cs="Times New Roman"/>
                <w:color w:val="auto"/>
                <w:sz w:val="18"/>
                <w:szCs w:val="18"/>
              </w:rPr>
            </w:pPr>
            <w:r>
              <w:rPr>
                <w:color w:val="auto"/>
                <w:sz w:val="18"/>
                <w:szCs w:val="18"/>
              </w:rPr>
              <w:t>1</w:t>
            </w:r>
            <w:r>
              <w:rPr>
                <w:rFonts w:hint="eastAsia" w:cs="宋体"/>
                <w:color w:val="auto"/>
                <w:sz w:val="18"/>
                <w:szCs w:val="18"/>
              </w:rPr>
              <w:t>）防噪音设施</w:t>
            </w:r>
          </w:p>
        </w:tc>
        <w:tc>
          <w:tcPr>
            <w:tcW w:w="5930" w:type="dxa"/>
            <w:vAlign w:val="center"/>
          </w:tcPr>
          <w:p w14:paraId="5BE580E4">
            <w:pPr>
              <w:adjustRightInd w:val="0"/>
              <w:snapToGrid w:val="0"/>
              <w:spacing w:line="240" w:lineRule="exact"/>
              <w:rPr>
                <w:rFonts w:cs="Times New Roman"/>
                <w:color w:val="auto"/>
                <w:sz w:val="18"/>
                <w:szCs w:val="18"/>
              </w:rPr>
            </w:pPr>
            <w:r>
              <w:rPr>
                <w:rFonts w:hint="eastAsia" w:cs="宋体"/>
                <w:color w:val="auto"/>
                <w:sz w:val="18"/>
                <w:szCs w:val="18"/>
              </w:rPr>
              <w:t>本加油站中噪音较大的设备为加油机。在设计中选用低噪声低振动的设备，通过基础减振、隔振等措施，同时噪声通过建筑物、树木的吸收隔声后，厂界噪声可满足《工业企业厂界环境噪声排放标准》（GB12348-2008）中3类区标准。</w:t>
            </w:r>
          </w:p>
        </w:tc>
        <w:tc>
          <w:tcPr>
            <w:tcW w:w="1580" w:type="dxa"/>
            <w:vAlign w:val="center"/>
          </w:tcPr>
          <w:p w14:paraId="3BCD5944">
            <w:pPr>
              <w:spacing w:line="240" w:lineRule="exact"/>
              <w:jc w:val="center"/>
              <w:rPr>
                <w:rFonts w:cs="Times New Roman"/>
                <w:color w:val="auto"/>
                <w:sz w:val="18"/>
                <w:szCs w:val="18"/>
              </w:rPr>
            </w:pPr>
            <w:r>
              <w:rPr>
                <w:rFonts w:hint="eastAsia" w:cs="宋体"/>
                <w:color w:val="auto"/>
                <w:sz w:val="18"/>
                <w:szCs w:val="18"/>
              </w:rPr>
              <w:t>站内选用低噪声、振动设备</w:t>
            </w:r>
          </w:p>
        </w:tc>
        <w:tc>
          <w:tcPr>
            <w:tcW w:w="870" w:type="dxa"/>
            <w:vAlign w:val="center"/>
          </w:tcPr>
          <w:p w14:paraId="59C8984D">
            <w:pPr>
              <w:spacing w:line="240" w:lineRule="exact"/>
              <w:jc w:val="center"/>
              <w:rPr>
                <w:rFonts w:cs="Times New Roman"/>
                <w:b/>
                <w:bCs/>
                <w:color w:val="auto"/>
                <w:sz w:val="18"/>
                <w:szCs w:val="18"/>
              </w:rPr>
            </w:pPr>
            <w:r>
              <w:rPr>
                <w:rFonts w:hint="eastAsia" w:cs="宋体"/>
                <w:color w:val="auto"/>
                <w:sz w:val="18"/>
                <w:szCs w:val="18"/>
              </w:rPr>
              <w:t>已落实</w:t>
            </w:r>
          </w:p>
        </w:tc>
      </w:tr>
      <w:tr w14:paraId="75F9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D9BF45B">
            <w:pPr>
              <w:spacing w:line="240" w:lineRule="exact"/>
              <w:jc w:val="center"/>
              <w:rPr>
                <w:rFonts w:cs="Times New Roman"/>
                <w:color w:val="auto"/>
                <w:sz w:val="18"/>
                <w:szCs w:val="18"/>
              </w:rPr>
            </w:pPr>
            <w:r>
              <w:rPr>
                <w:color w:val="auto"/>
                <w:sz w:val="18"/>
                <w:szCs w:val="18"/>
              </w:rPr>
              <w:t>2</w:t>
            </w:r>
            <w:r>
              <w:rPr>
                <w:rFonts w:hint="eastAsia" w:cs="宋体"/>
                <w:color w:val="auto"/>
                <w:sz w:val="18"/>
                <w:szCs w:val="18"/>
              </w:rPr>
              <w:t>）防护栏（网）设施</w:t>
            </w:r>
          </w:p>
        </w:tc>
        <w:tc>
          <w:tcPr>
            <w:tcW w:w="5930" w:type="dxa"/>
            <w:vAlign w:val="center"/>
          </w:tcPr>
          <w:p w14:paraId="27152129">
            <w:pPr>
              <w:adjustRightInd w:val="0"/>
              <w:snapToGrid w:val="0"/>
              <w:spacing w:line="240" w:lineRule="exact"/>
              <w:rPr>
                <w:rFonts w:cs="Times New Roman"/>
                <w:color w:val="auto"/>
                <w:sz w:val="18"/>
                <w:szCs w:val="18"/>
              </w:rPr>
            </w:pPr>
            <w:r>
              <w:rPr>
                <w:rFonts w:hint="eastAsia" w:cs="宋体"/>
                <w:color w:val="auto"/>
                <w:sz w:val="18"/>
                <w:szCs w:val="18"/>
              </w:rPr>
              <w:t>加油岛两端设置防撞柱（DN100钢管，高0.5m）。加油岛高出地面20cm。</w:t>
            </w:r>
          </w:p>
        </w:tc>
        <w:tc>
          <w:tcPr>
            <w:tcW w:w="1580" w:type="dxa"/>
            <w:vAlign w:val="center"/>
          </w:tcPr>
          <w:p w14:paraId="7F01D341">
            <w:pPr>
              <w:spacing w:line="240" w:lineRule="exact"/>
              <w:jc w:val="center"/>
              <w:rPr>
                <w:rFonts w:cs="Times New Roman"/>
                <w:color w:val="auto"/>
                <w:sz w:val="18"/>
                <w:szCs w:val="18"/>
              </w:rPr>
            </w:pPr>
            <w:r>
              <w:rPr>
                <w:rFonts w:hint="eastAsia" w:cs="宋体"/>
                <w:color w:val="auto"/>
                <w:sz w:val="18"/>
                <w:szCs w:val="18"/>
              </w:rPr>
              <w:t>加油机两侧设有</w:t>
            </w:r>
            <w:r>
              <w:rPr>
                <w:color w:val="auto"/>
                <w:sz w:val="18"/>
                <w:szCs w:val="18"/>
              </w:rPr>
              <w:t>DN100</w:t>
            </w:r>
            <w:r>
              <w:rPr>
                <w:rFonts w:hint="eastAsia" w:cs="宋体"/>
                <w:color w:val="auto"/>
                <w:sz w:val="18"/>
                <w:szCs w:val="18"/>
              </w:rPr>
              <w:t>，高</w:t>
            </w:r>
            <w:r>
              <w:rPr>
                <w:color w:val="auto"/>
                <w:sz w:val="18"/>
                <w:szCs w:val="18"/>
              </w:rPr>
              <w:t>0.5m</w:t>
            </w:r>
            <w:r>
              <w:rPr>
                <w:rFonts w:hint="eastAsia" w:cs="宋体"/>
                <w:color w:val="auto"/>
                <w:sz w:val="18"/>
                <w:szCs w:val="18"/>
              </w:rPr>
              <w:t>防撞弯管</w:t>
            </w:r>
          </w:p>
        </w:tc>
        <w:tc>
          <w:tcPr>
            <w:tcW w:w="870" w:type="dxa"/>
            <w:vAlign w:val="center"/>
          </w:tcPr>
          <w:p w14:paraId="6036CB71">
            <w:pPr>
              <w:spacing w:line="240" w:lineRule="exact"/>
              <w:jc w:val="center"/>
              <w:rPr>
                <w:rFonts w:cs="Times New Roman"/>
                <w:b/>
                <w:bCs/>
                <w:color w:val="auto"/>
                <w:sz w:val="18"/>
                <w:szCs w:val="18"/>
              </w:rPr>
            </w:pPr>
            <w:r>
              <w:rPr>
                <w:rFonts w:hint="eastAsia" w:cs="宋体"/>
                <w:color w:val="auto"/>
                <w:sz w:val="18"/>
                <w:szCs w:val="18"/>
              </w:rPr>
              <w:t>已落实</w:t>
            </w:r>
          </w:p>
        </w:tc>
      </w:tr>
      <w:tr w14:paraId="7B53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2439EBD7">
            <w:pPr>
              <w:spacing w:line="240" w:lineRule="exact"/>
              <w:jc w:val="center"/>
              <w:rPr>
                <w:rFonts w:cs="Times New Roman"/>
                <w:color w:val="auto"/>
                <w:sz w:val="18"/>
                <w:szCs w:val="18"/>
              </w:rPr>
            </w:pPr>
            <w:r>
              <w:rPr>
                <w:color w:val="auto"/>
                <w:sz w:val="18"/>
                <w:szCs w:val="18"/>
              </w:rPr>
              <w:t>3</w:t>
            </w:r>
            <w:r>
              <w:rPr>
                <w:rFonts w:hint="eastAsia" w:cs="宋体"/>
                <w:color w:val="auto"/>
                <w:sz w:val="18"/>
                <w:szCs w:val="18"/>
              </w:rPr>
              <w:t>）安全警示标志</w:t>
            </w:r>
          </w:p>
        </w:tc>
        <w:tc>
          <w:tcPr>
            <w:tcW w:w="5930" w:type="dxa"/>
            <w:vAlign w:val="center"/>
          </w:tcPr>
          <w:p w14:paraId="19726B70">
            <w:pPr>
              <w:adjustRightInd w:val="0"/>
              <w:snapToGrid w:val="0"/>
              <w:spacing w:line="240" w:lineRule="exact"/>
              <w:rPr>
                <w:rFonts w:cs="Times New Roman"/>
                <w:color w:val="auto"/>
                <w:sz w:val="18"/>
                <w:szCs w:val="18"/>
              </w:rPr>
            </w:pPr>
            <w:r>
              <w:rPr>
                <w:rFonts w:hint="eastAsia" w:cs="Times New Roman"/>
                <w:color w:val="auto"/>
                <w:sz w:val="18"/>
                <w:szCs w:val="18"/>
              </w:rPr>
              <w:t>设计要求对存在危险、有害因素的生产部位，按照《安全色》（GB2893-2008）、《安全标志及其使用导则》（GB2894-2008）和《工作场所职业病危害警示标识》（GBZ158-2003）的规定</w:t>
            </w:r>
            <w:r>
              <w:rPr>
                <w:rFonts w:hint="eastAsia" w:cs="Times New Roman"/>
                <w:color w:val="auto"/>
                <w:sz w:val="18"/>
                <w:szCs w:val="18"/>
                <w:lang w:eastAsia="zh-CN"/>
              </w:rPr>
              <w:t>悬挂</w:t>
            </w:r>
            <w:r>
              <w:rPr>
                <w:rFonts w:hint="eastAsia" w:cs="Times New Roman"/>
                <w:color w:val="auto"/>
                <w:sz w:val="18"/>
                <w:szCs w:val="18"/>
              </w:rPr>
              <w:t>醒目的标牌。这些标牌保证在夜间仍能起到警示作用。灭火器、火灾报警等消防用具以及严禁人员进入的危险操作区的护栏采用红色。</w:t>
            </w:r>
          </w:p>
        </w:tc>
        <w:tc>
          <w:tcPr>
            <w:tcW w:w="1580" w:type="dxa"/>
            <w:vAlign w:val="center"/>
          </w:tcPr>
          <w:p w14:paraId="5ED368E5">
            <w:pPr>
              <w:spacing w:line="240" w:lineRule="exact"/>
              <w:jc w:val="center"/>
              <w:rPr>
                <w:rFonts w:cs="Times New Roman"/>
                <w:color w:val="auto"/>
                <w:sz w:val="18"/>
                <w:szCs w:val="18"/>
              </w:rPr>
            </w:pPr>
            <w:r>
              <w:rPr>
                <w:rFonts w:hint="eastAsia" w:cs="宋体"/>
                <w:color w:val="auto"/>
                <w:sz w:val="18"/>
                <w:szCs w:val="18"/>
              </w:rPr>
              <w:t>加油站出入口，加油区设有，选用“禁止烟火</w:t>
            </w:r>
            <w:r>
              <w:rPr>
                <w:rFonts w:hint="eastAsia" w:cs="宋体"/>
                <w:color w:val="auto"/>
                <w:sz w:val="18"/>
                <w:szCs w:val="18"/>
                <w:lang w:eastAsia="zh-CN"/>
              </w:rPr>
              <w:t>”“</w:t>
            </w:r>
            <w:r>
              <w:rPr>
                <w:rFonts w:hint="eastAsia" w:cs="宋体"/>
                <w:color w:val="auto"/>
                <w:sz w:val="18"/>
                <w:szCs w:val="18"/>
              </w:rPr>
              <w:t>禁止使用手机</w:t>
            </w:r>
            <w:r>
              <w:rPr>
                <w:rFonts w:hint="eastAsia" w:cs="宋体"/>
                <w:color w:val="auto"/>
                <w:sz w:val="18"/>
                <w:szCs w:val="18"/>
                <w:lang w:eastAsia="zh-CN"/>
              </w:rPr>
              <w:t>”“</w:t>
            </w:r>
            <w:r>
              <w:rPr>
                <w:rFonts w:hint="eastAsia" w:cs="宋体"/>
                <w:color w:val="auto"/>
                <w:sz w:val="18"/>
                <w:szCs w:val="18"/>
              </w:rPr>
              <w:t>禁止鸣笛”等安全标志</w:t>
            </w:r>
          </w:p>
        </w:tc>
        <w:tc>
          <w:tcPr>
            <w:tcW w:w="870" w:type="dxa"/>
            <w:vAlign w:val="center"/>
          </w:tcPr>
          <w:p w14:paraId="6F61BAC2">
            <w:pPr>
              <w:spacing w:line="240" w:lineRule="exact"/>
              <w:jc w:val="center"/>
              <w:rPr>
                <w:rFonts w:cs="Times New Roman"/>
                <w:color w:val="auto"/>
                <w:sz w:val="18"/>
                <w:szCs w:val="18"/>
              </w:rPr>
            </w:pPr>
            <w:r>
              <w:rPr>
                <w:rFonts w:hint="eastAsia" w:cs="宋体"/>
                <w:color w:val="auto"/>
                <w:sz w:val="18"/>
                <w:szCs w:val="18"/>
              </w:rPr>
              <w:t>已落实</w:t>
            </w:r>
          </w:p>
        </w:tc>
      </w:tr>
      <w:tr w14:paraId="0389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D18F123">
            <w:pPr>
              <w:spacing w:line="240" w:lineRule="exact"/>
              <w:jc w:val="center"/>
              <w:rPr>
                <w:color w:val="auto"/>
                <w:sz w:val="18"/>
                <w:szCs w:val="18"/>
              </w:rPr>
            </w:pPr>
          </w:p>
        </w:tc>
        <w:tc>
          <w:tcPr>
            <w:tcW w:w="5930" w:type="dxa"/>
            <w:vAlign w:val="center"/>
          </w:tcPr>
          <w:p w14:paraId="3052729D">
            <w:pPr>
              <w:adjustRightInd w:val="0"/>
              <w:snapToGrid w:val="0"/>
              <w:spacing w:line="240" w:lineRule="exact"/>
              <w:rPr>
                <w:rFonts w:cs="Times New Roman"/>
                <w:color w:val="auto"/>
                <w:sz w:val="18"/>
                <w:szCs w:val="18"/>
              </w:rPr>
            </w:pPr>
            <w:r>
              <w:rPr>
                <w:rFonts w:hint="eastAsia" w:cs="Times New Roman"/>
                <w:color w:val="auto"/>
                <w:sz w:val="18"/>
                <w:szCs w:val="18"/>
              </w:rPr>
              <w:t>以下情况设“禁止标志”：</w:t>
            </w:r>
          </w:p>
          <w:p w14:paraId="04F7107B">
            <w:pPr>
              <w:adjustRightInd w:val="0"/>
              <w:snapToGrid w:val="0"/>
              <w:spacing w:line="240" w:lineRule="exact"/>
              <w:rPr>
                <w:rFonts w:cs="Times New Roman"/>
                <w:color w:val="auto"/>
                <w:sz w:val="18"/>
                <w:szCs w:val="18"/>
              </w:rPr>
            </w:pPr>
            <w:r>
              <w:rPr>
                <w:rFonts w:hint="eastAsia" w:cs="Times New Roman"/>
                <w:color w:val="auto"/>
                <w:sz w:val="18"/>
                <w:szCs w:val="18"/>
              </w:rPr>
              <w:t>①项目出入口，加油区、油罐区等爆炸危险区内，选用“禁止烟火</w:t>
            </w:r>
            <w:r>
              <w:rPr>
                <w:rFonts w:hint="eastAsia" w:cs="Times New Roman"/>
                <w:color w:val="auto"/>
                <w:sz w:val="18"/>
                <w:szCs w:val="18"/>
                <w:lang w:eastAsia="zh-CN"/>
              </w:rPr>
              <w:t>”“</w:t>
            </w:r>
            <w:r>
              <w:rPr>
                <w:rFonts w:hint="eastAsia" w:cs="Times New Roman"/>
                <w:color w:val="auto"/>
                <w:sz w:val="18"/>
                <w:szCs w:val="18"/>
              </w:rPr>
              <w:t>禁止使用手机</w:t>
            </w:r>
            <w:r>
              <w:rPr>
                <w:rFonts w:hint="eastAsia" w:cs="Times New Roman"/>
                <w:color w:val="auto"/>
                <w:sz w:val="18"/>
                <w:szCs w:val="18"/>
                <w:lang w:eastAsia="zh-CN"/>
              </w:rPr>
              <w:t>”“</w:t>
            </w:r>
            <w:r>
              <w:rPr>
                <w:rFonts w:hint="eastAsia" w:cs="Times New Roman"/>
                <w:color w:val="auto"/>
                <w:sz w:val="18"/>
                <w:szCs w:val="18"/>
              </w:rPr>
              <w:t>禁止鸣笛”标志；</w:t>
            </w:r>
          </w:p>
          <w:p w14:paraId="0086F12C">
            <w:pPr>
              <w:adjustRightInd w:val="0"/>
              <w:snapToGrid w:val="0"/>
              <w:spacing w:line="240" w:lineRule="exact"/>
              <w:rPr>
                <w:rFonts w:cs="Times New Roman"/>
                <w:color w:val="auto"/>
                <w:sz w:val="18"/>
                <w:szCs w:val="18"/>
              </w:rPr>
            </w:pPr>
            <w:r>
              <w:rPr>
                <w:rFonts w:hint="eastAsia" w:cs="Times New Roman"/>
                <w:color w:val="auto"/>
                <w:sz w:val="18"/>
                <w:szCs w:val="18"/>
              </w:rPr>
              <w:t>②作业场所选用“禁放易燃品</w:t>
            </w:r>
            <w:r>
              <w:rPr>
                <w:rFonts w:hint="eastAsia" w:cs="Times New Roman"/>
                <w:color w:val="auto"/>
                <w:sz w:val="18"/>
                <w:szCs w:val="18"/>
                <w:lang w:eastAsia="zh-CN"/>
              </w:rPr>
              <w:t>”“</w:t>
            </w:r>
            <w:r>
              <w:rPr>
                <w:rFonts w:hint="eastAsia" w:cs="Times New Roman"/>
                <w:color w:val="auto"/>
                <w:sz w:val="18"/>
                <w:szCs w:val="18"/>
              </w:rPr>
              <w:t>禁止烟火</w:t>
            </w:r>
            <w:r>
              <w:rPr>
                <w:rFonts w:hint="eastAsia" w:cs="Times New Roman"/>
                <w:color w:val="auto"/>
                <w:sz w:val="18"/>
                <w:szCs w:val="18"/>
                <w:lang w:eastAsia="zh-CN"/>
              </w:rPr>
              <w:t>”“</w:t>
            </w:r>
            <w:r>
              <w:rPr>
                <w:rFonts w:hint="eastAsia" w:cs="Times New Roman"/>
                <w:color w:val="auto"/>
                <w:sz w:val="18"/>
                <w:szCs w:val="18"/>
              </w:rPr>
              <w:t>禁止使用手机”标志；</w:t>
            </w:r>
          </w:p>
          <w:p w14:paraId="77514A75">
            <w:pPr>
              <w:adjustRightInd w:val="0"/>
              <w:snapToGrid w:val="0"/>
              <w:spacing w:line="240" w:lineRule="exact"/>
              <w:rPr>
                <w:rFonts w:cs="Times New Roman"/>
                <w:color w:val="auto"/>
                <w:sz w:val="18"/>
                <w:szCs w:val="18"/>
              </w:rPr>
            </w:pPr>
            <w:r>
              <w:rPr>
                <w:rFonts w:hint="eastAsia" w:cs="Times New Roman"/>
                <w:color w:val="auto"/>
                <w:sz w:val="18"/>
                <w:szCs w:val="18"/>
              </w:rPr>
              <w:t>③可能产生静电会导致火灾爆炸危险场所，选用“禁止穿化纤服</w:t>
            </w:r>
            <w:r>
              <w:rPr>
                <w:rFonts w:hint="eastAsia" w:cs="Times New Roman"/>
                <w:color w:val="auto"/>
                <w:sz w:val="18"/>
                <w:szCs w:val="18"/>
                <w:lang w:eastAsia="zh-CN"/>
              </w:rPr>
              <w:t>”“</w:t>
            </w:r>
            <w:r>
              <w:rPr>
                <w:rFonts w:hint="eastAsia" w:cs="Times New Roman"/>
                <w:color w:val="auto"/>
                <w:sz w:val="18"/>
                <w:szCs w:val="18"/>
              </w:rPr>
              <w:t>禁止穿带钉鞋”标志。</w:t>
            </w:r>
          </w:p>
          <w:p w14:paraId="2FF07AA3">
            <w:pPr>
              <w:adjustRightInd w:val="0"/>
              <w:snapToGrid w:val="0"/>
              <w:spacing w:line="240" w:lineRule="exact"/>
              <w:rPr>
                <w:rFonts w:cs="Times New Roman"/>
                <w:color w:val="auto"/>
                <w:sz w:val="18"/>
                <w:szCs w:val="18"/>
              </w:rPr>
            </w:pPr>
            <w:r>
              <w:rPr>
                <w:rFonts w:hint="eastAsia" w:cs="Times New Roman"/>
                <w:color w:val="auto"/>
                <w:sz w:val="18"/>
                <w:szCs w:val="18"/>
              </w:rPr>
              <w:t>④可能产生火灾爆炸危险作业场所，选用“禁止穿带钉鞋”标志；</w:t>
            </w:r>
          </w:p>
        </w:tc>
        <w:tc>
          <w:tcPr>
            <w:tcW w:w="1580" w:type="dxa"/>
            <w:vAlign w:val="center"/>
          </w:tcPr>
          <w:p w14:paraId="6EA29E02">
            <w:pPr>
              <w:spacing w:line="240" w:lineRule="exact"/>
              <w:jc w:val="center"/>
              <w:rPr>
                <w:rFonts w:cs="宋体"/>
                <w:color w:val="auto"/>
                <w:sz w:val="18"/>
                <w:szCs w:val="18"/>
              </w:rPr>
            </w:pPr>
            <w:r>
              <w:rPr>
                <w:rFonts w:hint="eastAsia" w:cs="宋体"/>
                <w:color w:val="auto"/>
                <w:sz w:val="18"/>
                <w:szCs w:val="18"/>
              </w:rPr>
              <w:t>按要求设置</w:t>
            </w:r>
          </w:p>
        </w:tc>
        <w:tc>
          <w:tcPr>
            <w:tcW w:w="870" w:type="dxa"/>
            <w:vAlign w:val="center"/>
          </w:tcPr>
          <w:p w14:paraId="6E2A89D1">
            <w:pPr>
              <w:spacing w:line="240" w:lineRule="exact"/>
              <w:jc w:val="center"/>
              <w:rPr>
                <w:rFonts w:cs="宋体"/>
                <w:color w:val="auto"/>
                <w:sz w:val="18"/>
                <w:szCs w:val="18"/>
              </w:rPr>
            </w:pPr>
            <w:r>
              <w:rPr>
                <w:rFonts w:hint="eastAsia" w:cs="宋体"/>
                <w:color w:val="auto"/>
                <w:sz w:val="18"/>
                <w:szCs w:val="18"/>
              </w:rPr>
              <w:t>已落实</w:t>
            </w:r>
          </w:p>
        </w:tc>
      </w:tr>
      <w:tr w14:paraId="2BF3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37B288F">
            <w:pPr>
              <w:spacing w:line="240" w:lineRule="exact"/>
              <w:jc w:val="center"/>
              <w:rPr>
                <w:color w:val="auto"/>
                <w:sz w:val="18"/>
                <w:szCs w:val="18"/>
              </w:rPr>
            </w:pPr>
          </w:p>
        </w:tc>
        <w:tc>
          <w:tcPr>
            <w:tcW w:w="5930" w:type="dxa"/>
            <w:vAlign w:val="center"/>
          </w:tcPr>
          <w:p w14:paraId="48BEBC84">
            <w:pPr>
              <w:adjustRightInd w:val="0"/>
              <w:snapToGrid w:val="0"/>
              <w:spacing w:line="240" w:lineRule="exact"/>
              <w:rPr>
                <w:rFonts w:cs="Times New Roman"/>
                <w:color w:val="auto"/>
                <w:sz w:val="18"/>
                <w:szCs w:val="18"/>
              </w:rPr>
            </w:pPr>
            <w:r>
              <w:rPr>
                <w:rFonts w:hint="eastAsia" w:cs="Times New Roman"/>
                <w:color w:val="auto"/>
                <w:sz w:val="18"/>
                <w:szCs w:val="18"/>
              </w:rPr>
              <w:t>以下情况设“警告标志”：</w:t>
            </w:r>
          </w:p>
          <w:p w14:paraId="50303341">
            <w:pPr>
              <w:adjustRightInd w:val="0"/>
              <w:snapToGrid w:val="0"/>
              <w:spacing w:line="240" w:lineRule="exact"/>
              <w:rPr>
                <w:rFonts w:cs="Times New Roman"/>
                <w:color w:val="auto"/>
                <w:sz w:val="18"/>
                <w:szCs w:val="18"/>
              </w:rPr>
            </w:pPr>
            <w:r>
              <w:rPr>
                <w:rFonts w:hint="eastAsia" w:cs="Times New Roman"/>
                <w:color w:val="auto"/>
                <w:sz w:val="18"/>
                <w:szCs w:val="18"/>
              </w:rPr>
              <w:t>①加油作业区，选用“注意安全</w:t>
            </w:r>
            <w:r>
              <w:rPr>
                <w:rFonts w:hint="eastAsia" w:cs="Times New Roman"/>
                <w:color w:val="auto"/>
                <w:sz w:val="18"/>
                <w:szCs w:val="18"/>
                <w:lang w:eastAsia="zh-CN"/>
              </w:rPr>
              <w:t>”“</w:t>
            </w:r>
            <w:r>
              <w:rPr>
                <w:rFonts w:hint="eastAsia" w:cs="Times New Roman"/>
                <w:color w:val="auto"/>
                <w:sz w:val="18"/>
                <w:szCs w:val="18"/>
              </w:rPr>
              <w:t>当心爆炸</w:t>
            </w:r>
            <w:r>
              <w:rPr>
                <w:rFonts w:hint="eastAsia" w:cs="Times New Roman"/>
                <w:color w:val="auto"/>
                <w:sz w:val="18"/>
                <w:szCs w:val="18"/>
                <w:lang w:eastAsia="zh-CN"/>
              </w:rPr>
              <w:t>”“</w:t>
            </w:r>
            <w:r>
              <w:rPr>
                <w:rFonts w:hint="eastAsia" w:cs="Times New Roman"/>
                <w:color w:val="auto"/>
                <w:sz w:val="18"/>
                <w:szCs w:val="18"/>
              </w:rPr>
              <w:t>当心火灾</w:t>
            </w:r>
            <w:r>
              <w:rPr>
                <w:rFonts w:hint="eastAsia" w:cs="Times New Roman"/>
                <w:color w:val="auto"/>
                <w:sz w:val="18"/>
                <w:szCs w:val="18"/>
                <w:lang w:eastAsia="zh-CN"/>
              </w:rPr>
              <w:t>”“</w:t>
            </w:r>
            <w:r>
              <w:rPr>
                <w:rFonts w:hint="eastAsia" w:cs="Times New Roman"/>
                <w:color w:val="auto"/>
                <w:sz w:val="18"/>
                <w:szCs w:val="18"/>
              </w:rPr>
              <w:t>当心车辆”标志；</w:t>
            </w:r>
          </w:p>
          <w:p w14:paraId="167F3E6C">
            <w:pPr>
              <w:adjustRightInd w:val="0"/>
              <w:snapToGrid w:val="0"/>
              <w:spacing w:line="240" w:lineRule="exact"/>
              <w:rPr>
                <w:rFonts w:cs="Times New Roman"/>
                <w:color w:val="auto"/>
                <w:sz w:val="18"/>
                <w:szCs w:val="18"/>
              </w:rPr>
            </w:pPr>
            <w:r>
              <w:rPr>
                <w:rFonts w:hint="eastAsia" w:cs="Times New Roman"/>
                <w:color w:val="auto"/>
                <w:sz w:val="18"/>
                <w:szCs w:val="18"/>
              </w:rPr>
              <w:t>②可能产生触电危险的配电间和电器设备，选用“当心触电”标志</w:t>
            </w:r>
          </w:p>
        </w:tc>
        <w:tc>
          <w:tcPr>
            <w:tcW w:w="1580" w:type="dxa"/>
            <w:vAlign w:val="center"/>
          </w:tcPr>
          <w:p w14:paraId="5AAB56DF">
            <w:pPr>
              <w:spacing w:line="240" w:lineRule="exact"/>
              <w:jc w:val="center"/>
              <w:rPr>
                <w:rFonts w:cs="宋体"/>
                <w:color w:val="auto"/>
                <w:sz w:val="18"/>
                <w:szCs w:val="18"/>
              </w:rPr>
            </w:pPr>
            <w:r>
              <w:rPr>
                <w:rFonts w:hint="eastAsia" w:cs="宋体"/>
                <w:color w:val="auto"/>
                <w:sz w:val="18"/>
                <w:szCs w:val="18"/>
              </w:rPr>
              <w:t>按要求设置</w:t>
            </w:r>
          </w:p>
        </w:tc>
        <w:tc>
          <w:tcPr>
            <w:tcW w:w="870" w:type="dxa"/>
            <w:vAlign w:val="center"/>
          </w:tcPr>
          <w:p w14:paraId="01E66CB9">
            <w:pPr>
              <w:spacing w:line="240" w:lineRule="exact"/>
              <w:jc w:val="center"/>
              <w:rPr>
                <w:rFonts w:cs="宋体"/>
                <w:color w:val="auto"/>
                <w:sz w:val="18"/>
                <w:szCs w:val="18"/>
              </w:rPr>
            </w:pPr>
            <w:r>
              <w:rPr>
                <w:rFonts w:hint="eastAsia" w:cs="宋体"/>
                <w:color w:val="auto"/>
                <w:sz w:val="18"/>
                <w:szCs w:val="18"/>
              </w:rPr>
              <w:t>已落实</w:t>
            </w:r>
          </w:p>
        </w:tc>
      </w:tr>
      <w:tr w14:paraId="6FD8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E169B08">
            <w:pPr>
              <w:spacing w:line="240" w:lineRule="exact"/>
              <w:jc w:val="center"/>
              <w:rPr>
                <w:color w:val="auto"/>
                <w:sz w:val="18"/>
                <w:szCs w:val="18"/>
              </w:rPr>
            </w:pPr>
          </w:p>
        </w:tc>
        <w:tc>
          <w:tcPr>
            <w:tcW w:w="5930" w:type="dxa"/>
            <w:vAlign w:val="center"/>
          </w:tcPr>
          <w:p w14:paraId="265C2E17">
            <w:pPr>
              <w:adjustRightInd w:val="0"/>
              <w:snapToGrid w:val="0"/>
              <w:spacing w:line="240" w:lineRule="exact"/>
              <w:rPr>
                <w:rFonts w:cs="Times New Roman"/>
                <w:color w:val="auto"/>
                <w:sz w:val="18"/>
                <w:szCs w:val="18"/>
              </w:rPr>
            </w:pPr>
            <w:r>
              <w:rPr>
                <w:rFonts w:hint="eastAsia" w:cs="Times New Roman"/>
                <w:color w:val="auto"/>
                <w:sz w:val="18"/>
                <w:szCs w:val="18"/>
              </w:rPr>
              <w:t>加油站出入口放置“入口</w:t>
            </w:r>
            <w:r>
              <w:rPr>
                <w:rFonts w:hint="eastAsia" w:cs="Times New Roman"/>
                <w:color w:val="auto"/>
                <w:sz w:val="18"/>
                <w:szCs w:val="18"/>
                <w:lang w:eastAsia="zh-CN"/>
              </w:rPr>
              <w:t>”“</w:t>
            </w:r>
            <w:r>
              <w:rPr>
                <w:rFonts w:hint="eastAsia" w:cs="Times New Roman"/>
                <w:color w:val="auto"/>
                <w:sz w:val="18"/>
                <w:szCs w:val="18"/>
              </w:rPr>
              <w:t>出口” 、“限速”标志；</w:t>
            </w:r>
          </w:p>
        </w:tc>
        <w:tc>
          <w:tcPr>
            <w:tcW w:w="1580" w:type="dxa"/>
            <w:vAlign w:val="center"/>
          </w:tcPr>
          <w:p w14:paraId="686E730A">
            <w:pPr>
              <w:spacing w:line="240" w:lineRule="exact"/>
              <w:jc w:val="center"/>
              <w:rPr>
                <w:rFonts w:cs="宋体"/>
                <w:color w:val="auto"/>
                <w:sz w:val="18"/>
                <w:szCs w:val="18"/>
              </w:rPr>
            </w:pPr>
            <w:r>
              <w:rPr>
                <w:rFonts w:hint="eastAsia" w:cs="宋体"/>
                <w:color w:val="auto"/>
                <w:sz w:val="18"/>
                <w:szCs w:val="18"/>
              </w:rPr>
              <w:t>出入口设置限速标志</w:t>
            </w:r>
          </w:p>
        </w:tc>
        <w:tc>
          <w:tcPr>
            <w:tcW w:w="870" w:type="dxa"/>
            <w:vAlign w:val="center"/>
          </w:tcPr>
          <w:p w14:paraId="77809834">
            <w:pPr>
              <w:spacing w:line="240" w:lineRule="exact"/>
              <w:jc w:val="center"/>
              <w:rPr>
                <w:rFonts w:cs="宋体"/>
                <w:color w:val="auto"/>
                <w:sz w:val="18"/>
                <w:szCs w:val="18"/>
              </w:rPr>
            </w:pPr>
            <w:r>
              <w:rPr>
                <w:rFonts w:hint="eastAsia" w:cs="宋体"/>
                <w:color w:val="auto"/>
                <w:sz w:val="18"/>
                <w:szCs w:val="18"/>
              </w:rPr>
              <w:t>已落实</w:t>
            </w:r>
          </w:p>
        </w:tc>
      </w:tr>
      <w:tr w14:paraId="545E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38BADC9">
            <w:pPr>
              <w:spacing w:line="240" w:lineRule="exact"/>
              <w:jc w:val="center"/>
              <w:rPr>
                <w:color w:val="auto"/>
                <w:sz w:val="18"/>
                <w:szCs w:val="18"/>
              </w:rPr>
            </w:pPr>
          </w:p>
        </w:tc>
        <w:tc>
          <w:tcPr>
            <w:tcW w:w="5930" w:type="dxa"/>
            <w:vAlign w:val="center"/>
          </w:tcPr>
          <w:p w14:paraId="78DA9A80">
            <w:pPr>
              <w:adjustRightInd w:val="0"/>
              <w:snapToGrid w:val="0"/>
              <w:spacing w:line="240" w:lineRule="exact"/>
              <w:rPr>
                <w:rFonts w:cs="Times New Roman"/>
                <w:color w:val="auto"/>
                <w:sz w:val="18"/>
                <w:szCs w:val="18"/>
              </w:rPr>
            </w:pPr>
            <w:r>
              <w:rPr>
                <w:rFonts w:hint="eastAsia" w:cs="Times New Roman"/>
                <w:color w:val="auto"/>
                <w:sz w:val="18"/>
                <w:szCs w:val="18"/>
              </w:rPr>
              <w:t>化工装置的管道刷色和符号执行《工业管路的基本识别色、识别符号和安全标识》（GB7231-2003）的规定。</w:t>
            </w:r>
          </w:p>
        </w:tc>
        <w:tc>
          <w:tcPr>
            <w:tcW w:w="1580" w:type="dxa"/>
            <w:vAlign w:val="center"/>
          </w:tcPr>
          <w:p w14:paraId="06D34575">
            <w:pPr>
              <w:spacing w:line="240" w:lineRule="exact"/>
              <w:jc w:val="center"/>
              <w:rPr>
                <w:rFonts w:cs="宋体"/>
                <w:color w:val="auto"/>
                <w:sz w:val="18"/>
                <w:szCs w:val="18"/>
              </w:rPr>
            </w:pPr>
            <w:r>
              <w:rPr>
                <w:rFonts w:hint="eastAsia" w:cs="宋体"/>
                <w:color w:val="auto"/>
                <w:sz w:val="18"/>
                <w:szCs w:val="18"/>
              </w:rPr>
              <w:t>设置安全标识等</w:t>
            </w:r>
          </w:p>
        </w:tc>
        <w:tc>
          <w:tcPr>
            <w:tcW w:w="870" w:type="dxa"/>
            <w:vAlign w:val="center"/>
          </w:tcPr>
          <w:p w14:paraId="5FDB5BF7">
            <w:pPr>
              <w:spacing w:line="240" w:lineRule="exact"/>
              <w:jc w:val="center"/>
              <w:rPr>
                <w:rFonts w:cs="宋体"/>
                <w:color w:val="auto"/>
                <w:sz w:val="18"/>
                <w:szCs w:val="18"/>
              </w:rPr>
            </w:pPr>
            <w:r>
              <w:rPr>
                <w:rFonts w:hint="eastAsia" w:cs="宋体"/>
                <w:color w:val="auto"/>
                <w:sz w:val="18"/>
                <w:szCs w:val="18"/>
              </w:rPr>
              <w:t>已落实</w:t>
            </w:r>
          </w:p>
        </w:tc>
      </w:tr>
      <w:tr w14:paraId="0778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F826CFC">
            <w:pPr>
              <w:spacing w:line="240" w:lineRule="exact"/>
              <w:jc w:val="center"/>
              <w:rPr>
                <w:color w:val="auto"/>
                <w:sz w:val="18"/>
                <w:szCs w:val="18"/>
              </w:rPr>
            </w:pPr>
          </w:p>
        </w:tc>
        <w:tc>
          <w:tcPr>
            <w:tcW w:w="5930" w:type="dxa"/>
            <w:vAlign w:val="center"/>
          </w:tcPr>
          <w:p w14:paraId="02DD00C7">
            <w:pPr>
              <w:adjustRightInd w:val="0"/>
              <w:snapToGrid w:val="0"/>
              <w:spacing w:line="240" w:lineRule="exact"/>
              <w:rPr>
                <w:rFonts w:cs="Times New Roman"/>
                <w:color w:val="auto"/>
                <w:sz w:val="18"/>
                <w:szCs w:val="18"/>
              </w:rPr>
            </w:pPr>
            <w:r>
              <w:rPr>
                <w:rFonts w:hint="eastAsia" w:cs="Times New Roman"/>
                <w:color w:val="auto"/>
                <w:sz w:val="18"/>
                <w:szCs w:val="18"/>
              </w:rPr>
              <w:t>在加油站各区域设置危害告知牌，提醒工作人员及来加油人员注意事项。</w:t>
            </w:r>
          </w:p>
        </w:tc>
        <w:tc>
          <w:tcPr>
            <w:tcW w:w="1580" w:type="dxa"/>
            <w:vAlign w:val="center"/>
          </w:tcPr>
          <w:p w14:paraId="38DD4F8D">
            <w:pPr>
              <w:spacing w:line="240" w:lineRule="exact"/>
              <w:jc w:val="center"/>
              <w:rPr>
                <w:rFonts w:cs="宋体"/>
                <w:color w:val="auto"/>
                <w:sz w:val="18"/>
                <w:szCs w:val="18"/>
              </w:rPr>
            </w:pPr>
            <w:r>
              <w:rPr>
                <w:rFonts w:hint="eastAsia" w:cs="宋体"/>
                <w:color w:val="auto"/>
                <w:sz w:val="18"/>
                <w:szCs w:val="18"/>
              </w:rPr>
              <w:t>设置危害告知牌</w:t>
            </w:r>
          </w:p>
        </w:tc>
        <w:tc>
          <w:tcPr>
            <w:tcW w:w="870" w:type="dxa"/>
            <w:vAlign w:val="center"/>
          </w:tcPr>
          <w:p w14:paraId="50F1D636">
            <w:pPr>
              <w:spacing w:line="240" w:lineRule="exact"/>
              <w:jc w:val="center"/>
              <w:rPr>
                <w:rFonts w:cs="宋体"/>
                <w:color w:val="auto"/>
                <w:sz w:val="18"/>
                <w:szCs w:val="18"/>
              </w:rPr>
            </w:pPr>
            <w:r>
              <w:rPr>
                <w:rFonts w:hint="eastAsia" w:cs="宋体"/>
                <w:color w:val="auto"/>
                <w:sz w:val="18"/>
                <w:szCs w:val="18"/>
              </w:rPr>
              <w:t>已落实</w:t>
            </w:r>
          </w:p>
        </w:tc>
      </w:tr>
      <w:bookmarkEnd w:id="204"/>
    </w:tbl>
    <w:p w14:paraId="1A1C1945">
      <w:pPr>
        <w:spacing w:line="600" w:lineRule="exact"/>
        <w:ind w:firstLine="560" w:firstLineChars="200"/>
        <w:rPr>
          <w:rFonts w:ascii="Times New Roman" w:hAnsi="Times New Roman" w:cs="宋体"/>
          <w:color w:val="auto"/>
          <w:sz w:val="28"/>
          <w:szCs w:val="28"/>
        </w:rPr>
      </w:pPr>
      <w:bookmarkStart w:id="205" w:name="_Toc18913"/>
      <w:bookmarkStart w:id="206" w:name="_Toc19100"/>
      <w:bookmarkStart w:id="207" w:name="_Toc9371"/>
      <w:bookmarkStart w:id="208" w:name="_Toc16646"/>
      <w:bookmarkStart w:id="209" w:name="_Toc343692275"/>
      <w:r>
        <w:rPr>
          <w:rFonts w:hint="eastAsia" w:ascii="Times New Roman" w:hAnsi="Times New Roman" w:cs="宋体"/>
          <w:color w:val="auto"/>
          <w:sz w:val="28"/>
          <w:szCs w:val="28"/>
        </w:rPr>
        <w:t>综上所述，诊断及整改设计中的安全对策措施</w:t>
      </w:r>
      <w:r>
        <w:rPr>
          <w:rFonts w:hint="eastAsia" w:ascii="Times New Roman" w:hAnsi="Times New Roman" w:cs="宋体"/>
          <w:color w:val="auto"/>
          <w:sz w:val="28"/>
          <w:szCs w:val="28"/>
          <w:lang w:val="en-US" w:eastAsia="zh-CN"/>
        </w:rPr>
        <w:t>均已</w:t>
      </w:r>
      <w:r>
        <w:rPr>
          <w:rFonts w:hint="eastAsia" w:ascii="Times New Roman" w:hAnsi="Times New Roman" w:cs="宋体"/>
          <w:color w:val="auto"/>
          <w:sz w:val="28"/>
          <w:szCs w:val="28"/>
        </w:rPr>
        <w:t>落实。</w:t>
      </w:r>
    </w:p>
    <w:p w14:paraId="6C079258">
      <w:pPr>
        <w:pStyle w:val="3"/>
        <w:spacing w:line="560" w:lineRule="exact"/>
        <w:jc w:val="center"/>
        <w:rPr>
          <w:rFonts w:ascii="宋体" w:hAnsi="宋体"/>
          <w:color w:val="auto"/>
          <w:sz w:val="30"/>
          <w:szCs w:val="30"/>
        </w:rPr>
      </w:pPr>
      <w:bookmarkStart w:id="210" w:name="_Toc19418"/>
      <w:r>
        <w:rPr>
          <w:rFonts w:ascii="宋体" w:hAnsi="宋体"/>
          <w:color w:val="auto"/>
          <w:sz w:val="30"/>
          <w:szCs w:val="30"/>
        </w:rPr>
        <w:t>5.</w:t>
      </w:r>
      <w:r>
        <w:rPr>
          <w:rFonts w:hint="eastAsia" w:ascii="宋体" w:hAnsi="宋体"/>
          <w:color w:val="auto"/>
          <w:sz w:val="30"/>
          <w:szCs w:val="30"/>
        </w:rPr>
        <w:t>16</w:t>
      </w:r>
      <w:r>
        <w:rPr>
          <w:rFonts w:ascii="宋体" w:hAnsi="宋体"/>
          <w:color w:val="auto"/>
          <w:sz w:val="30"/>
          <w:szCs w:val="30"/>
        </w:rPr>
        <w:t xml:space="preserve"> 加油站安全检查表</w:t>
      </w:r>
      <w:bookmarkEnd w:id="210"/>
    </w:p>
    <w:p w14:paraId="0742293B">
      <w:pPr>
        <w:widowControl/>
        <w:spacing w:line="360" w:lineRule="auto"/>
        <w:ind w:firstLine="536" w:firstLineChars="200"/>
        <w:jc w:val="left"/>
        <w:rPr>
          <w:rFonts w:ascii="Times New Roman" w:hAnsi="Times New Roman" w:cs="Times New Roman"/>
          <w:color w:val="auto"/>
          <w:sz w:val="28"/>
          <w:szCs w:val="28"/>
          <w:shd w:val="clear" w:color="auto" w:fill="FFFFFF"/>
        </w:rPr>
      </w:pPr>
      <w:r>
        <w:rPr>
          <w:rFonts w:hint="eastAsia" w:ascii="Times New Roman" w:hAnsi="Times New Roman" w:cs="Times New Roman"/>
          <w:color w:val="auto"/>
          <w:spacing w:val="-6"/>
          <w:sz w:val="28"/>
          <w:szCs w:val="28"/>
          <w:shd w:val="clear" w:color="auto" w:fill="FFFFFF"/>
        </w:rPr>
        <w:t>根据《江西省应急管理厅办公室关于印发</w:t>
      </w:r>
      <w:r>
        <w:rPr>
          <w:rFonts w:hint="eastAsia" w:ascii="Times New Roman" w:hAnsi="Times New Roman" w:cs="Times New Roman"/>
          <w:color w:val="auto"/>
          <w:spacing w:val="-6"/>
          <w:sz w:val="28"/>
          <w:szCs w:val="28"/>
          <w:shd w:val="clear" w:color="auto" w:fill="FFFFFF"/>
          <w:lang w:eastAsia="zh-CN"/>
        </w:rPr>
        <w:t>〈</w:t>
      </w:r>
      <w:r>
        <w:rPr>
          <w:rFonts w:hint="eastAsia" w:ascii="Times New Roman" w:hAnsi="Times New Roman" w:cs="Times New Roman"/>
          <w:color w:val="auto"/>
          <w:spacing w:val="-6"/>
          <w:sz w:val="28"/>
          <w:szCs w:val="28"/>
          <w:shd w:val="clear" w:color="auto" w:fill="FFFFFF"/>
        </w:rPr>
        <w:t>加油站安全检查表</w:t>
      </w:r>
      <w:r>
        <w:rPr>
          <w:rFonts w:hint="eastAsia" w:ascii="Times New Roman" w:hAnsi="Times New Roman" w:cs="Times New Roman"/>
          <w:color w:val="auto"/>
          <w:spacing w:val="-6"/>
          <w:sz w:val="28"/>
          <w:szCs w:val="28"/>
          <w:shd w:val="clear" w:color="auto" w:fill="FFFFFF"/>
          <w:lang w:eastAsia="zh-CN"/>
        </w:rPr>
        <w:t>〉的通知》</w:t>
      </w:r>
      <w:r>
        <w:rPr>
          <w:rFonts w:hint="eastAsia" w:ascii="Times New Roman" w:hAnsi="Times New Roman" w:cs="Times New Roman"/>
          <w:color w:val="auto"/>
          <w:spacing w:val="-6"/>
          <w:sz w:val="28"/>
          <w:szCs w:val="28"/>
          <w:shd w:val="clear" w:color="auto" w:fill="FFFFFF"/>
        </w:rPr>
        <w:t>赣应急办字〔2023〕111号，采用《安全检查表法》进行检查，评价结果见表5.16-1。</w:t>
      </w:r>
    </w:p>
    <w:p w14:paraId="2F0796A6">
      <w:pPr>
        <w:spacing w:line="600" w:lineRule="exact"/>
        <w:jc w:val="center"/>
        <w:rPr>
          <w:rFonts w:ascii="Times New Roman" w:hAnsi="Times New Roman" w:cs="Times New Roman"/>
          <w:b/>
          <w:bCs/>
          <w:color w:val="auto"/>
          <w:sz w:val="24"/>
        </w:rPr>
      </w:pPr>
      <w:r>
        <w:rPr>
          <w:rFonts w:hint="eastAsia" w:ascii="Times New Roman" w:hAnsi="Times New Roman" w:cs="Times New Roman"/>
          <w:b/>
          <w:bCs/>
          <w:color w:val="auto"/>
          <w:sz w:val="24"/>
        </w:rPr>
        <w:t>5.16-1  加油站安全检查表</w:t>
      </w:r>
    </w:p>
    <w:tbl>
      <w:tblPr>
        <w:tblStyle w:val="25"/>
        <w:tblW w:w="48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9"/>
        <w:gridCol w:w="756"/>
        <w:gridCol w:w="5189"/>
        <w:gridCol w:w="843"/>
        <w:gridCol w:w="1700"/>
      </w:tblGrid>
      <w:tr w14:paraId="644F1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tcBorders>
              <w:top w:val="single" w:color="auto" w:sz="12" w:space="0"/>
              <w:left w:val="single" w:color="auto" w:sz="12" w:space="0"/>
              <w:bottom w:val="single" w:color="auto" w:sz="4" w:space="0"/>
              <w:right w:val="single" w:color="auto" w:sz="4" w:space="0"/>
            </w:tcBorders>
            <w:vAlign w:val="center"/>
          </w:tcPr>
          <w:p w14:paraId="73A88FE2">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序号</w:t>
            </w:r>
          </w:p>
        </w:tc>
        <w:tc>
          <w:tcPr>
            <w:tcW w:w="756" w:type="dxa"/>
            <w:tcBorders>
              <w:top w:val="single" w:color="auto" w:sz="12" w:space="0"/>
              <w:left w:val="single" w:color="auto" w:sz="4" w:space="0"/>
              <w:bottom w:val="single" w:color="auto" w:sz="4" w:space="0"/>
              <w:right w:val="single" w:color="auto" w:sz="4" w:space="0"/>
            </w:tcBorders>
            <w:vAlign w:val="center"/>
          </w:tcPr>
          <w:p w14:paraId="17EB3AC9">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检查项目</w:t>
            </w:r>
          </w:p>
        </w:tc>
        <w:tc>
          <w:tcPr>
            <w:tcW w:w="5188" w:type="dxa"/>
            <w:tcBorders>
              <w:top w:val="single" w:color="auto" w:sz="12" w:space="0"/>
              <w:left w:val="single" w:color="auto" w:sz="4" w:space="0"/>
              <w:bottom w:val="single" w:color="auto" w:sz="4" w:space="0"/>
              <w:right w:val="single" w:color="auto" w:sz="4" w:space="0"/>
            </w:tcBorders>
            <w:vAlign w:val="center"/>
          </w:tcPr>
          <w:p w14:paraId="5CB9D595">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检查内容</w:t>
            </w:r>
          </w:p>
        </w:tc>
        <w:tc>
          <w:tcPr>
            <w:tcW w:w="843" w:type="dxa"/>
            <w:tcBorders>
              <w:top w:val="single" w:color="auto" w:sz="12" w:space="0"/>
              <w:left w:val="single" w:color="auto" w:sz="4" w:space="0"/>
              <w:bottom w:val="single" w:color="auto" w:sz="4" w:space="0"/>
              <w:right w:val="single" w:color="auto" w:sz="4" w:space="0"/>
            </w:tcBorders>
            <w:vAlign w:val="center"/>
          </w:tcPr>
          <w:p w14:paraId="2EE6895A">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检查结果</w:t>
            </w:r>
          </w:p>
        </w:tc>
        <w:tc>
          <w:tcPr>
            <w:tcW w:w="1700" w:type="dxa"/>
            <w:tcBorders>
              <w:top w:val="single" w:color="auto" w:sz="12" w:space="0"/>
              <w:left w:val="single" w:color="auto" w:sz="4" w:space="0"/>
              <w:bottom w:val="single" w:color="auto" w:sz="4" w:space="0"/>
              <w:right w:val="single" w:color="auto" w:sz="12" w:space="0"/>
            </w:tcBorders>
            <w:vAlign w:val="center"/>
          </w:tcPr>
          <w:p w14:paraId="39DE555D">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主要问题</w:t>
            </w:r>
          </w:p>
        </w:tc>
      </w:tr>
      <w:tr w14:paraId="41497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6BE0FE4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1</w:t>
            </w:r>
          </w:p>
        </w:tc>
        <w:tc>
          <w:tcPr>
            <w:tcW w:w="756" w:type="dxa"/>
            <w:vMerge w:val="restart"/>
            <w:tcBorders>
              <w:top w:val="single" w:color="auto" w:sz="4" w:space="0"/>
              <w:left w:val="single" w:color="auto" w:sz="4" w:space="0"/>
              <w:right w:val="single" w:color="auto" w:sz="4" w:space="0"/>
            </w:tcBorders>
            <w:vAlign w:val="center"/>
          </w:tcPr>
          <w:p w14:paraId="1D7BCCA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证照文书</w:t>
            </w:r>
          </w:p>
          <w:p w14:paraId="07F1D70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6B631E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（1）营业执照。</w:t>
            </w:r>
          </w:p>
        </w:tc>
        <w:tc>
          <w:tcPr>
            <w:tcW w:w="843" w:type="dxa"/>
            <w:tcBorders>
              <w:top w:val="single" w:color="auto" w:sz="4" w:space="0"/>
              <w:left w:val="single" w:color="auto" w:sz="4" w:space="0"/>
              <w:bottom w:val="single" w:color="auto" w:sz="4" w:space="0"/>
              <w:right w:val="single" w:color="auto" w:sz="4" w:space="0"/>
            </w:tcBorders>
            <w:vAlign w:val="center"/>
          </w:tcPr>
          <w:p w14:paraId="08DCBD2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451FC7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有营业执照</w:t>
            </w:r>
          </w:p>
        </w:tc>
      </w:tr>
      <w:tr w14:paraId="7FAB8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C22E89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DBAAB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A24289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（2）成品油零售经营批准证书，是否在有效期内。</w:t>
            </w:r>
          </w:p>
        </w:tc>
        <w:tc>
          <w:tcPr>
            <w:tcW w:w="843" w:type="dxa"/>
            <w:tcBorders>
              <w:top w:val="single" w:color="auto" w:sz="4" w:space="0"/>
              <w:left w:val="single" w:color="auto" w:sz="4" w:space="0"/>
              <w:bottom w:val="single" w:color="auto" w:sz="4" w:space="0"/>
              <w:right w:val="single" w:color="auto" w:sz="4" w:space="0"/>
            </w:tcBorders>
            <w:vAlign w:val="center"/>
          </w:tcPr>
          <w:p w14:paraId="1FCBC7F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EDA165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在有效期内</w:t>
            </w:r>
          </w:p>
        </w:tc>
      </w:tr>
      <w:tr w14:paraId="78D72F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4F96FB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F2CE9E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A8D1B2D">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（3）危险化学品经营许可证，是否在有效期内。</w:t>
            </w:r>
          </w:p>
        </w:tc>
        <w:tc>
          <w:tcPr>
            <w:tcW w:w="843" w:type="dxa"/>
            <w:tcBorders>
              <w:top w:val="single" w:color="auto" w:sz="4" w:space="0"/>
              <w:left w:val="single" w:color="auto" w:sz="4" w:space="0"/>
              <w:bottom w:val="single" w:color="auto" w:sz="4" w:space="0"/>
              <w:right w:val="single" w:color="auto" w:sz="4" w:space="0"/>
            </w:tcBorders>
            <w:vAlign w:val="center"/>
          </w:tcPr>
          <w:p w14:paraId="391E799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2014F2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正在办理相关许可</w:t>
            </w:r>
          </w:p>
        </w:tc>
      </w:tr>
      <w:tr w14:paraId="457BC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C86CA7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6F5960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2DC8D6D">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（4）合规的立项文件或备案证明，加油站实际建设是否与立项文件一致。</w:t>
            </w:r>
          </w:p>
        </w:tc>
        <w:tc>
          <w:tcPr>
            <w:tcW w:w="843" w:type="dxa"/>
            <w:tcBorders>
              <w:top w:val="single" w:color="auto" w:sz="4" w:space="0"/>
              <w:left w:val="single" w:color="auto" w:sz="4" w:space="0"/>
              <w:bottom w:val="single" w:color="auto" w:sz="4" w:space="0"/>
              <w:right w:val="single" w:color="auto" w:sz="4" w:space="0"/>
            </w:tcBorders>
            <w:vAlign w:val="center"/>
          </w:tcPr>
          <w:p w14:paraId="75A7608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E31823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与立项一致</w:t>
            </w:r>
          </w:p>
        </w:tc>
      </w:tr>
      <w:tr w14:paraId="56C21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558" w:type="dxa"/>
            <w:vMerge w:val="continue"/>
            <w:tcBorders>
              <w:left w:val="single" w:color="auto" w:sz="12" w:space="0"/>
              <w:right w:val="single" w:color="auto" w:sz="4" w:space="0"/>
            </w:tcBorders>
            <w:vAlign w:val="center"/>
          </w:tcPr>
          <w:p w14:paraId="14A1C39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238F58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DDD057C">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（5）加油站用地证明文件、用地红线等，站址建设是否在用地红线范围内。</w:t>
            </w:r>
          </w:p>
        </w:tc>
        <w:tc>
          <w:tcPr>
            <w:tcW w:w="843" w:type="dxa"/>
            <w:tcBorders>
              <w:top w:val="single" w:color="auto" w:sz="4" w:space="0"/>
              <w:left w:val="single" w:color="auto" w:sz="4" w:space="0"/>
              <w:bottom w:val="single" w:color="auto" w:sz="4" w:space="0"/>
              <w:right w:val="single" w:color="auto" w:sz="4" w:space="0"/>
            </w:tcBorders>
            <w:vAlign w:val="center"/>
          </w:tcPr>
          <w:p w14:paraId="39DDE88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935504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在用地红线范围内</w:t>
            </w:r>
          </w:p>
        </w:tc>
      </w:tr>
      <w:tr w14:paraId="0C07B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5ED655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37D54E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B73FB6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（6）新建、改建、扩建加油站是否有审查手续和批复文件。</w:t>
            </w:r>
          </w:p>
        </w:tc>
        <w:tc>
          <w:tcPr>
            <w:tcW w:w="843" w:type="dxa"/>
            <w:tcBorders>
              <w:top w:val="single" w:color="auto" w:sz="4" w:space="0"/>
              <w:left w:val="single" w:color="auto" w:sz="4" w:space="0"/>
              <w:bottom w:val="single" w:color="auto" w:sz="4" w:space="0"/>
              <w:right w:val="single" w:color="auto" w:sz="4" w:space="0"/>
            </w:tcBorders>
            <w:vAlign w:val="center"/>
          </w:tcPr>
          <w:p w14:paraId="2D41377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E61790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不属于新改扩建。</w:t>
            </w:r>
          </w:p>
        </w:tc>
      </w:tr>
      <w:tr w14:paraId="3369D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58" w:type="dxa"/>
            <w:vMerge w:val="continue"/>
            <w:tcBorders>
              <w:left w:val="single" w:color="auto" w:sz="12" w:space="0"/>
              <w:right w:val="single" w:color="auto" w:sz="4" w:space="0"/>
            </w:tcBorders>
            <w:vAlign w:val="center"/>
          </w:tcPr>
          <w:p w14:paraId="373EDB0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8A2319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4A493EC">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（7）是否经过正规设计或诊断设计。</w:t>
            </w:r>
          </w:p>
        </w:tc>
        <w:tc>
          <w:tcPr>
            <w:tcW w:w="843" w:type="dxa"/>
            <w:tcBorders>
              <w:top w:val="single" w:color="auto" w:sz="4" w:space="0"/>
              <w:left w:val="single" w:color="auto" w:sz="4" w:space="0"/>
              <w:bottom w:val="single" w:color="auto" w:sz="4" w:space="0"/>
              <w:right w:val="single" w:color="auto" w:sz="4" w:space="0"/>
            </w:tcBorders>
            <w:vAlign w:val="center"/>
          </w:tcPr>
          <w:p w14:paraId="2B24CA7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5213CA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经正规设计。</w:t>
            </w:r>
          </w:p>
        </w:tc>
      </w:tr>
      <w:tr w14:paraId="1F29D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0D1183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B539FA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510808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（8）设计单位是否具备相应的资质。</w:t>
            </w:r>
          </w:p>
        </w:tc>
        <w:tc>
          <w:tcPr>
            <w:tcW w:w="843" w:type="dxa"/>
            <w:tcBorders>
              <w:top w:val="single" w:color="auto" w:sz="4" w:space="0"/>
              <w:left w:val="single" w:color="auto" w:sz="4" w:space="0"/>
              <w:bottom w:val="single" w:color="auto" w:sz="4" w:space="0"/>
              <w:right w:val="single" w:color="auto" w:sz="4" w:space="0"/>
            </w:tcBorders>
            <w:vAlign w:val="center"/>
          </w:tcPr>
          <w:p w14:paraId="14CAF4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55BC0D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设计单位有相应资质。</w:t>
            </w:r>
          </w:p>
        </w:tc>
      </w:tr>
      <w:tr w14:paraId="7DEA3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58" w:type="dxa"/>
            <w:vMerge w:val="continue"/>
            <w:tcBorders>
              <w:left w:val="single" w:color="auto" w:sz="12" w:space="0"/>
              <w:right w:val="single" w:color="auto" w:sz="4" w:space="0"/>
            </w:tcBorders>
            <w:vAlign w:val="center"/>
          </w:tcPr>
          <w:p w14:paraId="1C17F78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AB5748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23B147D">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（9）是否出具合格的设计图纸，设计图纸是否与现场一致。</w:t>
            </w:r>
          </w:p>
        </w:tc>
        <w:tc>
          <w:tcPr>
            <w:tcW w:w="843" w:type="dxa"/>
            <w:tcBorders>
              <w:top w:val="single" w:color="auto" w:sz="4" w:space="0"/>
              <w:left w:val="single" w:color="auto" w:sz="4" w:space="0"/>
              <w:bottom w:val="single" w:color="auto" w:sz="4" w:space="0"/>
              <w:right w:val="single" w:color="auto" w:sz="4" w:space="0"/>
            </w:tcBorders>
            <w:vAlign w:val="center"/>
          </w:tcPr>
          <w:p w14:paraId="4B0C16F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48E1AE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有合格设计图纸，与现场一致。</w:t>
            </w:r>
          </w:p>
        </w:tc>
      </w:tr>
      <w:tr w14:paraId="3CA48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7DCBEB4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052ECDC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DA8D8C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（10）加油站是否经过消防验收，取得消防验收意见书。</w:t>
            </w:r>
          </w:p>
        </w:tc>
        <w:tc>
          <w:tcPr>
            <w:tcW w:w="843" w:type="dxa"/>
            <w:tcBorders>
              <w:top w:val="single" w:color="auto" w:sz="4" w:space="0"/>
              <w:left w:val="single" w:color="auto" w:sz="4" w:space="0"/>
              <w:bottom w:val="single" w:color="auto" w:sz="4" w:space="0"/>
              <w:right w:val="single" w:color="auto" w:sz="4" w:space="0"/>
            </w:tcBorders>
            <w:vAlign w:val="center"/>
          </w:tcPr>
          <w:p w14:paraId="113B66B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AC0DB9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已取得消防验收，见附件。</w:t>
            </w:r>
          </w:p>
        </w:tc>
      </w:tr>
      <w:tr w14:paraId="07271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58" w:type="dxa"/>
            <w:vMerge w:val="restart"/>
            <w:tcBorders>
              <w:top w:val="single" w:color="auto" w:sz="4" w:space="0"/>
              <w:left w:val="single" w:color="auto" w:sz="12" w:space="0"/>
              <w:right w:val="single" w:color="auto" w:sz="4" w:space="0"/>
            </w:tcBorders>
            <w:vAlign w:val="center"/>
          </w:tcPr>
          <w:p w14:paraId="12D8871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2</w:t>
            </w:r>
          </w:p>
        </w:tc>
        <w:tc>
          <w:tcPr>
            <w:tcW w:w="756" w:type="dxa"/>
            <w:vMerge w:val="restart"/>
            <w:tcBorders>
              <w:top w:val="single" w:color="auto" w:sz="4" w:space="0"/>
              <w:left w:val="single" w:color="auto" w:sz="4" w:space="0"/>
              <w:right w:val="single" w:color="auto" w:sz="4" w:space="0"/>
            </w:tcBorders>
            <w:vAlign w:val="center"/>
          </w:tcPr>
          <w:p w14:paraId="6D84403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安全管理机构</w:t>
            </w:r>
          </w:p>
        </w:tc>
        <w:tc>
          <w:tcPr>
            <w:tcW w:w="5188" w:type="dxa"/>
            <w:tcBorders>
              <w:top w:val="single" w:color="auto" w:sz="4" w:space="0"/>
              <w:left w:val="single" w:color="auto" w:sz="4" w:space="0"/>
              <w:bottom w:val="single" w:color="auto" w:sz="4" w:space="0"/>
              <w:right w:val="single" w:color="auto" w:sz="4" w:space="0"/>
            </w:tcBorders>
            <w:vAlign w:val="center"/>
          </w:tcPr>
          <w:p w14:paraId="3E36E809">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（1）是否成立安全管理机构，配置安全管理人员。</w:t>
            </w:r>
          </w:p>
        </w:tc>
        <w:tc>
          <w:tcPr>
            <w:tcW w:w="843" w:type="dxa"/>
            <w:tcBorders>
              <w:top w:val="single" w:color="auto" w:sz="4" w:space="0"/>
              <w:left w:val="single" w:color="auto" w:sz="4" w:space="0"/>
              <w:bottom w:val="single" w:color="auto" w:sz="4" w:space="0"/>
              <w:right w:val="single" w:color="auto" w:sz="4" w:space="0"/>
            </w:tcBorders>
            <w:vAlign w:val="center"/>
          </w:tcPr>
          <w:p w14:paraId="1539ED9D">
            <w:pPr>
              <w:autoSpaceDN w:val="0"/>
              <w:spacing w:line="260" w:lineRule="exact"/>
              <w:jc w:val="center"/>
              <w:rPr>
                <w:rFonts w:ascii="Times New Roman" w:hAnsi="Times New Roman" w:eastAsia="宋" w:cs="Times New Roman"/>
                <w:bCs/>
                <w:strike/>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3268B5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w:t>
            </w:r>
            <w:r>
              <w:rPr>
                <w:rFonts w:hint="eastAsia" w:ascii="Times New Roman" w:hAnsi="Times New Roman" w:cs="Times New Roman"/>
                <w:color w:val="auto"/>
              </w:rPr>
              <w:t>安全领导小组</w:t>
            </w:r>
            <w:r>
              <w:rPr>
                <w:rFonts w:hint="eastAsia" w:ascii="Times New Roman" w:hAnsi="Times New Roman" w:eastAsia="宋" w:cs="Times New Roman"/>
                <w:bCs/>
                <w:color w:val="auto"/>
              </w:rPr>
              <w:t>，有安全管理人员。</w:t>
            </w:r>
          </w:p>
        </w:tc>
      </w:tr>
      <w:tr w14:paraId="5D3C8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126066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73777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23C03F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（2）专职安全管理人员是否经过正式任命。</w:t>
            </w:r>
          </w:p>
        </w:tc>
        <w:tc>
          <w:tcPr>
            <w:tcW w:w="843" w:type="dxa"/>
            <w:tcBorders>
              <w:top w:val="single" w:color="auto" w:sz="4" w:space="0"/>
              <w:left w:val="single" w:color="auto" w:sz="4" w:space="0"/>
              <w:bottom w:val="single" w:color="auto" w:sz="4" w:space="0"/>
              <w:right w:val="single" w:color="auto" w:sz="4" w:space="0"/>
            </w:tcBorders>
            <w:vAlign w:val="center"/>
          </w:tcPr>
          <w:p w14:paraId="1FD106F6">
            <w:pPr>
              <w:autoSpaceDN w:val="0"/>
              <w:spacing w:line="260" w:lineRule="exact"/>
              <w:jc w:val="center"/>
              <w:rPr>
                <w:rFonts w:ascii="Times New Roman" w:hAnsi="Times New Roman" w:eastAsia="宋" w:cs="Times New Roman"/>
                <w:bCs/>
                <w:strike/>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764ED2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专职安全管理人员经正式任命。</w:t>
            </w:r>
          </w:p>
        </w:tc>
      </w:tr>
      <w:tr w14:paraId="21DDA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747B360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2C5919A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BDB72F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（3）主要负责人、安全生产管理人员是否取得安全资格证书，证书是否在有效期内。</w:t>
            </w:r>
          </w:p>
        </w:tc>
        <w:tc>
          <w:tcPr>
            <w:tcW w:w="843" w:type="dxa"/>
            <w:tcBorders>
              <w:top w:val="single" w:color="auto" w:sz="4" w:space="0"/>
              <w:left w:val="single" w:color="auto" w:sz="4" w:space="0"/>
              <w:bottom w:val="single" w:color="auto" w:sz="4" w:space="0"/>
              <w:right w:val="single" w:color="auto" w:sz="4" w:space="0"/>
            </w:tcBorders>
            <w:vAlign w:val="center"/>
          </w:tcPr>
          <w:p w14:paraId="4525F8CE">
            <w:pPr>
              <w:autoSpaceDN w:val="0"/>
              <w:spacing w:line="260" w:lineRule="exact"/>
              <w:jc w:val="center"/>
              <w:rPr>
                <w:rFonts w:ascii="Times New Roman" w:hAnsi="Times New Roman" w:eastAsia="宋" w:cs="Times New Roman"/>
                <w:bCs/>
                <w:strike/>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6E053A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主要负责人、安全管理人员已取证，证件在有效期内。</w:t>
            </w:r>
          </w:p>
        </w:tc>
      </w:tr>
      <w:tr w14:paraId="37517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6F0831F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3</w:t>
            </w:r>
          </w:p>
        </w:tc>
        <w:tc>
          <w:tcPr>
            <w:tcW w:w="756" w:type="dxa"/>
            <w:vMerge w:val="restart"/>
            <w:tcBorders>
              <w:top w:val="single" w:color="auto" w:sz="4" w:space="0"/>
              <w:left w:val="single" w:color="auto" w:sz="4" w:space="0"/>
              <w:right w:val="single" w:color="auto" w:sz="4" w:space="0"/>
            </w:tcBorders>
            <w:vAlign w:val="center"/>
          </w:tcPr>
          <w:p w14:paraId="4E5D040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安全生产</w:t>
            </w:r>
          </w:p>
          <w:p w14:paraId="58D1B92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责任制</w:t>
            </w:r>
          </w:p>
        </w:tc>
        <w:tc>
          <w:tcPr>
            <w:tcW w:w="5188" w:type="dxa"/>
            <w:tcBorders>
              <w:top w:val="single" w:color="auto" w:sz="4" w:space="0"/>
              <w:left w:val="single" w:color="auto" w:sz="4" w:space="0"/>
              <w:bottom w:val="single" w:color="auto" w:sz="4" w:space="0"/>
              <w:right w:val="single" w:color="auto" w:sz="4" w:space="0"/>
            </w:tcBorders>
            <w:vAlign w:val="center"/>
          </w:tcPr>
          <w:p w14:paraId="3F39B42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（1）是否建立安全生产责任制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明确规定主要负责人、安全管理人员、有关部门等的安全生产职责。</w:t>
            </w:r>
          </w:p>
        </w:tc>
        <w:tc>
          <w:tcPr>
            <w:tcW w:w="843" w:type="dxa"/>
            <w:tcBorders>
              <w:top w:val="single" w:color="auto" w:sz="4" w:space="0"/>
              <w:left w:val="single" w:color="auto" w:sz="4" w:space="0"/>
              <w:bottom w:val="single" w:color="auto" w:sz="4" w:space="0"/>
              <w:right w:val="single" w:color="auto" w:sz="4" w:space="0"/>
            </w:tcBorders>
            <w:vAlign w:val="center"/>
          </w:tcPr>
          <w:p w14:paraId="6DBEA4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3F13DD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lang w:eastAsia="zh-CN"/>
              </w:rPr>
              <w:t>建立</w:t>
            </w:r>
            <w:r>
              <w:rPr>
                <w:rFonts w:hint="eastAsia" w:ascii="Times New Roman" w:hAnsi="Times New Roman" w:eastAsia="宋" w:cs="Times New Roman"/>
                <w:bCs/>
                <w:color w:val="auto"/>
              </w:rPr>
              <w:t>安全生产责任制，明确各人员职责。</w:t>
            </w:r>
          </w:p>
        </w:tc>
      </w:tr>
      <w:tr w14:paraId="4CD0B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5BE1D46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384C3EB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EEE7FB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（2）是否签订安全责任书。</w:t>
            </w:r>
          </w:p>
        </w:tc>
        <w:tc>
          <w:tcPr>
            <w:tcW w:w="843" w:type="dxa"/>
            <w:tcBorders>
              <w:top w:val="single" w:color="auto" w:sz="4" w:space="0"/>
              <w:left w:val="single" w:color="auto" w:sz="4" w:space="0"/>
              <w:bottom w:val="single" w:color="auto" w:sz="4" w:space="0"/>
              <w:right w:val="single" w:color="auto" w:sz="4" w:space="0"/>
            </w:tcBorders>
            <w:vAlign w:val="center"/>
          </w:tcPr>
          <w:p w14:paraId="40B1F6D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0A0162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签订责任书</w:t>
            </w:r>
          </w:p>
        </w:tc>
      </w:tr>
      <w:tr w14:paraId="27653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C728F5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4</w:t>
            </w:r>
          </w:p>
        </w:tc>
        <w:tc>
          <w:tcPr>
            <w:tcW w:w="756" w:type="dxa"/>
            <w:vMerge w:val="restart"/>
            <w:tcBorders>
              <w:top w:val="single" w:color="auto" w:sz="4" w:space="0"/>
              <w:left w:val="single" w:color="auto" w:sz="4" w:space="0"/>
              <w:right w:val="single" w:color="auto" w:sz="4" w:space="0"/>
            </w:tcBorders>
            <w:vAlign w:val="center"/>
          </w:tcPr>
          <w:p w14:paraId="3E39761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安全规章制度和操作规程</w:t>
            </w:r>
          </w:p>
        </w:tc>
        <w:tc>
          <w:tcPr>
            <w:tcW w:w="5188" w:type="dxa"/>
            <w:tcBorders>
              <w:top w:val="single" w:color="auto" w:sz="4" w:space="0"/>
              <w:left w:val="single" w:color="auto" w:sz="4" w:space="0"/>
              <w:bottom w:val="single" w:color="auto" w:sz="4" w:space="0"/>
              <w:right w:val="single" w:color="auto" w:sz="4" w:space="0"/>
            </w:tcBorders>
            <w:vAlign w:val="center"/>
          </w:tcPr>
          <w:p w14:paraId="2FC962E9">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安全教育培训制度、消防/防火安全制度、设备管理制度、用电安全管理制度、交接班制度、巡检制度、设备维护保养制度、安全投入保障制度、安全生产奖惩制度、安全生产教育培训制度、隐患排查治理制度、安全风险管理制度、事故管理制度等。</w:t>
            </w:r>
          </w:p>
        </w:tc>
        <w:tc>
          <w:tcPr>
            <w:tcW w:w="843" w:type="dxa"/>
            <w:tcBorders>
              <w:top w:val="single" w:color="auto" w:sz="4" w:space="0"/>
              <w:left w:val="single" w:color="auto" w:sz="4" w:space="0"/>
              <w:bottom w:val="single" w:color="auto" w:sz="4" w:space="0"/>
              <w:right w:val="single" w:color="auto" w:sz="4" w:space="0"/>
            </w:tcBorders>
            <w:vAlign w:val="center"/>
          </w:tcPr>
          <w:p w14:paraId="6BC9BB3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right w:val="single" w:color="auto" w:sz="12" w:space="0"/>
            </w:tcBorders>
            <w:vAlign w:val="center"/>
          </w:tcPr>
          <w:p w14:paraId="39F613C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有相关管理制度。</w:t>
            </w:r>
          </w:p>
        </w:tc>
      </w:tr>
      <w:tr w14:paraId="09E0B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558" w:type="dxa"/>
            <w:vMerge w:val="continue"/>
            <w:tcBorders>
              <w:left w:val="single" w:color="auto" w:sz="12" w:space="0"/>
              <w:bottom w:val="single" w:color="auto" w:sz="4" w:space="0"/>
              <w:right w:val="single" w:color="auto" w:sz="4" w:space="0"/>
            </w:tcBorders>
            <w:vAlign w:val="center"/>
          </w:tcPr>
          <w:p w14:paraId="4485380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2EA97D4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5E7815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 xml:space="preserve">（2）是否建立制定加油、卸油、计量操作规程等。 </w:t>
            </w:r>
          </w:p>
        </w:tc>
        <w:tc>
          <w:tcPr>
            <w:tcW w:w="843" w:type="dxa"/>
            <w:tcBorders>
              <w:top w:val="single" w:color="auto" w:sz="4" w:space="0"/>
              <w:left w:val="single" w:color="auto" w:sz="4" w:space="0"/>
              <w:bottom w:val="single" w:color="auto" w:sz="4" w:space="0"/>
              <w:right w:val="single" w:color="auto" w:sz="4" w:space="0"/>
            </w:tcBorders>
            <w:vAlign w:val="center"/>
          </w:tcPr>
          <w:p w14:paraId="73349E4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left w:val="single" w:color="auto" w:sz="4" w:space="0"/>
              <w:bottom w:val="single" w:color="auto" w:sz="4" w:space="0"/>
              <w:right w:val="single" w:color="auto" w:sz="12" w:space="0"/>
            </w:tcBorders>
            <w:vAlign w:val="center"/>
          </w:tcPr>
          <w:p w14:paraId="18F674E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有加油、量油、卸油操作规程。</w:t>
            </w:r>
          </w:p>
        </w:tc>
      </w:tr>
      <w:tr w14:paraId="5E454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28FA63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5</w:t>
            </w:r>
          </w:p>
        </w:tc>
        <w:tc>
          <w:tcPr>
            <w:tcW w:w="756" w:type="dxa"/>
            <w:vMerge w:val="restart"/>
            <w:tcBorders>
              <w:top w:val="single" w:color="auto" w:sz="4" w:space="0"/>
              <w:left w:val="single" w:color="auto" w:sz="4" w:space="0"/>
              <w:right w:val="single" w:color="auto" w:sz="4" w:space="0"/>
            </w:tcBorders>
            <w:vAlign w:val="center"/>
          </w:tcPr>
          <w:p w14:paraId="5ED94BD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安全投入</w:t>
            </w:r>
          </w:p>
        </w:tc>
        <w:tc>
          <w:tcPr>
            <w:tcW w:w="5188" w:type="dxa"/>
            <w:tcBorders>
              <w:top w:val="single" w:color="auto" w:sz="4" w:space="0"/>
              <w:left w:val="single" w:color="auto" w:sz="4" w:space="0"/>
              <w:bottom w:val="single" w:color="auto" w:sz="4" w:space="0"/>
              <w:right w:val="single" w:color="auto" w:sz="4" w:space="0"/>
            </w:tcBorders>
            <w:vAlign w:val="center"/>
          </w:tcPr>
          <w:p w14:paraId="51C3C1C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（1）是否按有关安全生产费用提取规定，提取安全生产费用。</w:t>
            </w:r>
          </w:p>
        </w:tc>
        <w:tc>
          <w:tcPr>
            <w:tcW w:w="843" w:type="dxa"/>
            <w:tcBorders>
              <w:top w:val="single" w:color="auto" w:sz="4" w:space="0"/>
              <w:left w:val="single" w:color="auto" w:sz="4" w:space="0"/>
              <w:bottom w:val="single" w:color="auto" w:sz="4" w:space="0"/>
              <w:right w:val="single" w:color="auto" w:sz="4" w:space="0"/>
            </w:tcBorders>
            <w:vAlign w:val="center"/>
          </w:tcPr>
          <w:p w14:paraId="439C6A0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030C6B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按要求提取安全生产费用。</w:t>
            </w:r>
          </w:p>
        </w:tc>
      </w:tr>
      <w:tr w14:paraId="2A049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B052AC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A485F3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6221A15">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（2）安全生产费用使用是否符合要求，专款专用。</w:t>
            </w:r>
          </w:p>
        </w:tc>
        <w:tc>
          <w:tcPr>
            <w:tcW w:w="843" w:type="dxa"/>
            <w:tcBorders>
              <w:top w:val="single" w:color="auto" w:sz="4" w:space="0"/>
              <w:left w:val="single" w:color="auto" w:sz="4" w:space="0"/>
              <w:bottom w:val="single" w:color="auto" w:sz="4" w:space="0"/>
              <w:right w:val="single" w:color="auto" w:sz="4" w:space="0"/>
            </w:tcBorders>
            <w:vAlign w:val="center"/>
          </w:tcPr>
          <w:p w14:paraId="1192BAD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F406EA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符合，专款专用。</w:t>
            </w:r>
          </w:p>
        </w:tc>
      </w:tr>
      <w:tr w14:paraId="35E7F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101A095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75A9C1D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EB0C73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（3）是否依法参加工伤保险或安全责任险，为从业人员缴纳保险费。</w:t>
            </w:r>
          </w:p>
        </w:tc>
        <w:tc>
          <w:tcPr>
            <w:tcW w:w="843" w:type="dxa"/>
            <w:tcBorders>
              <w:top w:val="single" w:color="auto" w:sz="4" w:space="0"/>
              <w:left w:val="single" w:color="auto" w:sz="4" w:space="0"/>
              <w:bottom w:val="single" w:color="auto" w:sz="4" w:space="0"/>
              <w:right w:val="single" w:color="auto" w:sz="4" w:space="0"/>
            </w:tcBorders>
            <w:vAlign w:val="center"/>
          </w:tcPr>
          <w:p w14:paraId="4340C28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19DA6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已缴纳安全责任险。</w:t>
            </w:r>
          </w:p>
        </w:tc>
      </w:tr>
      <w:tr w14:paraId="26B1A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A8ABCF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w:t>
            </w:r>
          </w:p>
        </w:tc>
        <w:tc>
          <w:tcPr>
            <w:tcW w:w="756" w:type="dxa"/>
            <w:vMerge w:val="restart"/>
            <w:tcBorders>
              <w:top w:val="single" w:color="auto" w:sz="4" w:space="0"/>
              <w:left w:val="single" w:color="auto" w:sz="4" w:space="0"/>
              <w:right w:val="single" w:color="auto" w:sz="4" w:space="0"/>
            </w:tcBorders>
            <w:vAlign w:val="center"/>
          </w:tcPr>
          <w:p w14:paraId="6F88273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安全教育培训</w:t>
            </w:r>
          </w:p>
        </w:tc>
        <w:tc>
          <w:tcPr>
            <w:tcW w:w="5188" w:type="dxa"/>
            <w:tcBorders>
              <w:top w:val="single" w:color="auto" w:sz="4" w:space="0"/>
              <w:left w:val="single" w:color="auto" w:sz="4" w:space="0"/>
              <w:bottom w:val="single" w:color="auto" w:sz="4" w:space="0"/>
              <w:right w:val="single" w:color="auto" w:sz="4" w:space="0"/>
            </w:tcBorders>
            <w:vAlign w:val="center"/>
          </w:tcPr>
          <w:p w14:paraId="1C3185E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（1）主要负责人、安全管理人员是否定期参加安全教育培训。</w:t>
            </w:r>
          </w:p>
        </w:tc>
        <w:tc>
          <w:tcPr>
            <w:tcW w:w="843" w:type="dxa"/>
            <w:tcBorders>
              <w:top w:val="single" w:color="auto" w:sz="4" w:space="0"/>
              <w:left w:val="single" w:color="auto" w:sz="4" w:space="0"/>
              <w:bottom w:val="single" w:color="auto" w:sz="4" w:space="0"/>
              <w:right w:val="single" w:color="auto" w:sz="4" w:space="0"/>
            </w:tcBorders>
            <w:vAlign w:val="center"/>
          </w:tcPr>
          <w:p w14:paraId="47D0555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11E039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有安全培训记录。</w:t>
            </w:r>
          </w:p>
        </w:tc>
      </w:tr>
      <w:tr w14:paraId="66E71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6117B2">
            <w:pPr>
              <w:autoSpaceDN w:val="0"/>
              <w:spacing w:line="260" w:lineRule="exact"/>
              <w:ind w:firstLine="210" w:firstLineChars="100"/>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D68FBE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794ED7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（2）加油站人员是否定期参加日常安全教育培训。</w:t>
            </w:r>
          </w:p>
        </w:tc>
        <w:tc>
          <w:tcPr>
            <w:tcW w:w="843" w:type="dxa"/>
            <w:tcBorders>
              <w:top w:val="single" w:color="auto" w:sz="4" w:space="0"/>
              <w:left w:val="single" w:color="auto" w:sz="4" w:space="0"/>
              <w:bottom w:val="single" w:color="auto" w:sz="4" w:space="0"/>
              <w:right w:val="single" w:color="auto" w:sz="4" w:space="0"/>
            </w:tcBorders>
            <w:vAlign w:val="center"/>
          </w:tcPr>
          <w:p w14:paraId="4FF9CC3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A695B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定期组织人员参加教育培训。</w:t>
            </w:r>
          </w:p>
        </w:tc>
      </w:tr>
      <w:tr w14:paraId="2B204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3B6199C1">
            <w:pPr>
              <w:autoSpaceDN w:val="0"/>
              <w:spacing w:line="260" w:lineRule="exact"/>
              <w:ind w:firstLine="210" w:firstLineChars="100"/>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5E7B5A8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A611CA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新入职人员上岗前是否经过安全操作规程及应急处置等有关安全知识的培训，并建立教育培训档案。</w:t>
            </w:r>
          </w:p>
        </w:tc>
        <w:tc>
          <w:tcPr>
            <w:tcW w:w="843" w:type="dxa"/>
            <w:tcBorders>
              <w:top w:val="single" w:color="auto" w:sz="4" w:space="0"/>
              <w:left w:val="single" w:color="auto" w:sz="4" w:space="0"/>
              <w:bottom w:val="single" w:color="auto" w:sz="4" w:space="0"/>
              <w:right w:val="single" w:color="auto" w:sz="4" w:space="0"/>
            </w:tcBorders>
            <w:vAlign w:val="center"/>
          </w:tcPr>
          <w:p w14:paraId="71349C7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97C9F5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新员工经过岗前培训合格后上岗作业。</w:t>
            </w:r>
          </w:p>
        </w:tc>
      </w:tr>
      <w:tr w14:paraId="510C4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0CEA346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w:t>
            </w:r>
          </w:p>
        </w:tc>
        <w:tc>
          <w:tcPr>
            <w:tcW w:w="756" w:type="dxa"/>
            <w:vMerge w:val="restart"/>
            <w:tcBorders>
              <w:top w:val="single" w:color="auto" w:sz="4" w:space="0"/>
              <w:left w:val="single" w:color="auto" w:sz="4" w:space="0"/>
              <w:right w:val="single" w:color="auto" w:sz="4" w:space="0"/>
            </w:tcBorders>
            <w:vAlign w:val="center"/>
          </w:tcPr>
          <w:p w14:paraId="61DF73E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隐患排查治理</w:t>
            </w:r>
          </w:p>
        </w:tc>
        <w:tc>
          <w:tcPr>
            <w:tcW w:w="5188" w:type="dxa"/>
            <w:tcBorders>
              <w:top w:val="single" w:color="auto" w:sz="4" w:space="0"/>
              <w:left w:val="single" w:color="auto" w:sz="4" w:space="0"/>
              <w:bottom w:val="single" w:color="auto" w:sz="4" w:space="0"/>
              <w:right w:val="single" w:color="auto" w:sz="4" w:space="0"/>
            </w:tcBorders>
            <w:vAlign w:val="center"/>
          </w:tcPr>
          <w:p w14:paraId="24497F7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（1）是否建立定期安全检查及隐患排查治理制度。</w:t>
            </w:r>
          </w:p>
        </w:tc>
        <w:tc>
          <w:tcPr>
            <w:tcW w:w="843" w:type="dxa"/>
            <w:tcBorders>
              <w:top w:val="single" w:color="auto" w:sz="4" w:space="0"/>
              <w:left w:val="single" w:color="auto" w:sz="4" w:space="0"/>
              <w:bottom w:val="single" w:color="auto" w:sz="4" w:space="0"/>
              <w:right w:val="single" w:color="auto" w:sz="4" w:space="0"/>
            </w:tcBorders>
            <w:vAlign w:val="center"/>
          </w:tcPr>
          <w:p w14:paraId="365920A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5F9F3E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有隐患排查治理制度。</w:t>
            </w:r>
          </w:p>
        </w:tc>
      </w:tr>
      <w:tr w14:paraId="63030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F7340FF">
            <w:pPr>
              <w:autoSpaceDN w:val="0"/>
              <w:spacing w:line="260" w:lineRule="exact"/>
              <w:ind w:firstLine="210" w:firstLineChars="100"/>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E1D80E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5BF178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（2）是否按照计划和要求进行相应的安全检查并保存记录。</w:t>
            </w:r>
          </w:p>
        </w:tc>
        <w:tc>
          <w:tcPr>
            <w:tcW w:w="843" w:type="dxa"/>
            <w:tcBorders>
              <w:top w:val="single" w:color="auto" w:sz="4" w:space="0"/>
              <w:left w:val="single" w:color="auto" w:sz="4" w:space="0"/>
              <w:bottom w:val="single" w:color="auto" w:sz="4" w:space="0"/>
              <w:right w:val="single" w:color="auto" w:sz="4" w:space="0"/>
            </w:tcBorders>
            <w:vAlign w:val="center"/>
          </w:tcPr>
          <w:p w14:paraId="527F9FB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BE816F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按要求定期进行检查</w:t>
            </w:r>
          </w:p>
        </w:tc>
      </w:tr>
      <w:tr w14:paraId="5AA089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5F67D0D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421DFEA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F2A159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（3）安全检查出的事故隐患是否闭合。</w:t>
            </w:r>
          </w:p>
        </w:tc>
        <w:tc>
          <w:tcPr>
            <w:tcW w:w="843" w:type="dxa"/>
            <w:tcBorders>
              <w:top w:val="single" w:color="auto" w:sz="4" w:space="0"/>
              <w:left w:val="single" w:color="auto" w:sz="4" w:space="0"/>
              <w:bottom w:val="single" w:color="auto" w:sz="4" w:space="0"/>
              <w:right w:val="single" w:color="auto" w:sz="4" w:space="0"/>
            </w:tcBorders>
            <w:vAlign w:val="center"/>
          </w:tcPr>
          <w:p w14:paraId="510F2BA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CED049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隐患排查有闭环</w:t>
            </w:r>
          </w:p>
        </w:tc>
      </w:tr>
      <w:tr w14:paraId="213EA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1E5530E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8</w:t>
            </w:r>
          </w:p>
        </w:tc>
        <w:tc>
          <w:tcPr>
            <w:tcW w:w="756" w:type="dxa"/>
            <w:vMerge w:val="restart"/>
            <w:tcBorders>
              <w:top w:val="single" w:color="auto" w:sz="4" w:space="0"/>
              <w:left w:val="single" w:color="auto" w:sz="4" w:space="0"/>
              <w:right w:val="single" w:color="auto" w:sz="4" w:space="0"/>
            </w:tcBorders>
            <w:vAlign w:val="center"/>
          </w:tcPr>
          <w:p w14:paraId="2656778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风险分级及管控措施</w:t>
            </w:r>
          </w:p>
        </w:tc>
        <w:tc>
          <w:tcPr>
            <w:tcW w:w="5188" w:type="dxa"/>
            <w:tcBorders>
              <w:top w:val="single" w:color="auto" w:sz="4" w:space="0"/>
              <w:left w:val="single" w:color="auto" w:sz="4" w:space="0"/>
              <w:bottom w:val="single" w:color="auto" w:sz="4" w:space="0"/>
              <w:right w:val="single" w:color="auto" w:sz="4" w:space="0"/>
            </w:tcBorders>
            <w:vAlign w:val="center"/>
          </w:tcPr>
          <w:p w14:paraId="41024BB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（1）是否建立健全安全风险分级管控管理制度。</w:t>
            </w:r>
          </w:p>
        </w:tc>
        <w:tc>
          <w:tcPr>
            <w:tcW w:w="843" w:type="dxa"/>
            <w:tcBorders>
              <w:top w:val="single" w:color="auto" w:sz="4" w:space="0"/>
              <w:left w:val="single" w:color="auto" w:sz="4" w:space="0"/>
              <w:bottom w:val="single" w:color="auto" w:sz="4" w:space="0"/>
              <w:right w:val="single" w:color="auto" w:sz="4" w:space="0"/>
            </w:tcBorders>
            <w:vAlign w:val="center"/>
          </w:tcPr>
          <w:p w14:paraId="704D97F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56AFBB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有安全风险分级管控制度</w:t>
            </w:r>
          </w:p>
        </w:tc>
      </w:tr>
      <w:tr w14:paraId="225E5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3B5216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F804C14">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76B31B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（2）是否组织全员参与风险分级辨识。</w:t>
            </w:r>
          </w:p>
        </w:tc>
        <w:tc>
          <w:tcPr>
            <w:tcW w:w="843" w:type="dxa"/>
            <w:tcBorders>
              <w:top w:val="single" w:color="auto" w:sz="4" w:space="0"/>
              <w:left w:val="single" w:color="auto" w:sz="4" w:space="0"/>
              <w:bottom w:val="single" w:color="auto" w:sz="4" w:space="0"/>
              <w:right w:val="single" w:color="auto" w:sz="4" w:space="0"/>
            </w:tcBorders>
            <w:vAlign w:val="center"/>
          </w:tcPr>
          <w:p w14:paraId="08F0F6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1ABC7C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全员参与</w:t>
            </w:r>
          </w:p>
        </w:tc>
      </w:tr>
      <w:tr w14:paraId="74F37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5962704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1ECD6EB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76F9CE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（3）是否制定安全风险分布图、风险识别管控及应急措施，即“一图一牌三清单”。</w:t>
            </w:r>
          </w:p>
        </w:tc>
        <w:tc>
          <w:tcPr>
            <w:tcW w:w="843" w:type="dxa"/>
            <w:tcBorders>
              <w:top w:val="single" w:color="auto" w:sz="4" w:space="0"/>
              <w:left w:val="single" w:color="auto" w:sz="4" w:space="0"/>
              <w:bottom w:val="single" w:color="auto" w:sz="4" w:space="0"/>
              <w:right w:val="single" w:color="auto" w:sz="4" w:space="0"/>
            </w:tcBorders>
            <w:vAlign w:val="center"/>
          </w:tcPr>
          <w:p w14:paraId="2D451C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C2002FA">
            <w:pPr>
              <w:autoSpaceDN w:val="0"/>
              <w:spacing w:line="260" w:lineRule="exact"/>
              <w:jc w:val="center"/>
              <w:rPr>
                <w:rFonts w:ascii="Times New Roman" w:hAnsi="Times New Roman" w:eastAsia="宋" w:cs="Times New Roman"/>
                <w:bCs/>
                <w:color w:val="auto"/>
              </w:rPr>
            </w:pPr>
            <w:r>
              <w:rPr>
                <w:rFonts w:hint="eastAsia" w:ascii="宋体" w:hAnsi="宋体" w:cs="宋体"/>
                <w:color w:val="auto"/>
                <w:kern w:val="0"/>
                <w:lang w:bidi="ar"/>
              </w:rPr>
              <w:t>一图一牌三清单上墙</w:t>
            </w:r>
          </w:p>
        </w:tc>
      </w:tr>
      <w:tr w14:paraId="1E045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1C3EBD4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9</w:t>
            </w:r>
          </w:p>
        </w:tc>
        <w:tc>
          <w:tcPr>
            <w:tcW w:w="756" w:type="dxa"/>
            <w:vMerge w:val="restart"/>
            <w:tcBorders>
              <w:top w:val="single" w:color="auto" w:sz="4" w:space="0"/>
              <w:left w:val="single" w:color="auto" w:sz="4" w:space="0"/>
              <w:right w:val="single" w:color="auto" w:sz="4" w:space="0"/>
            </w:tcBorders>
            <w:vAlign w:val="center"/>
          </w:tcPr>
          <w:p w14:paraId="70AE629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应急管理</w:t>
            </w:r>
          </w:p>
        </w:tc>
        <w:tc>
          <w:tcPr>
            <w:tcW w:w="5188" w:type="dxa"/>
            <w:tcBorders>
              <w:top w:val="single" w:color="auto" w:sz="4" w:space="0"/>
              <w:left w:val="single" w:color="auto" w:sz="4" w:space="0"/>
              <w:bottom w:val="single" w:color="auto" w:sz="4" w:space="0"/>
              <w:right w:val="single" w:color="auto" w:sz="4" w:space="0"/>
            </w:tcBorders>
            <w:vAlign w:val="center"/>
          </w:tcPr>
          <w:p w14:paraId="6CC51A8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是否制定加油站事故应急救援预案，应急预案是否按要求进行备案。</w:t>
            </w:r>
          </w:p>
        </w:tc>
        <w:tc>
          <w:tcPr>
            <w:tcW w:w="843" w:type="dxa"/>
            <w:tcBorders>
              <w:top w:val="single" w:color="auto" w:sz="4" w:space="0"/>
              <w:left w:val="single" w:color="auto" w:sz="4" w:space="0"/>
              <w:bottom w:val="single" w:color="auto" w:sz="4" w:space="0"/>
              <w:right w:val="single" w:color="auto" w:sz="4" w:space="0"/>
            </w:tcBorders>
            <w:vAlign w:val="center"/>
          </w:tcPr>
          <w:p w14:paraId="62ED707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AEF178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有应急预案，预案已备案</w:t>
            </w:r>
          </w:p>
        </w:tc>
      </w:tr>
      <w:tr w14:paraId="460BB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13CEC4A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57C849D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D20B7D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（2）是否组织应急演练，并保存演练记录材料。</w:t>
            </w:r>
          </w:p>
        </w:tc>
        <w:tc>
          <w:tcPr>
            <w:tcW w:w="843" w:type="dxa"/>
            <w:tcBorders>
              <w:top w:val="single" w:color="auto" w:sz="4" w:space="0"/>
              <w:left w:val="single" w:color="auto" w:sz="4" w:space="0"/>
              <w:bottom w:val="single" w:color="auto" w:sz="4" w:space="0"/>
              <w:right w:val="single" w:color="auto" w:sz="4" w:space="0"/>
            </w:tcBorders>
            <w:vAlign w:val="center"/>
          </w:tcPr>
          <w:p w14:paraId="364BA04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2581C3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有应急演练记录</w:t>
            </w:r>
          </w:p>
        </w:tc>
      </w:tr>
      <w:tr w14:paraId="121EB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196155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10</w:t>
            </w:r>
          </w:p>
        </w:tc>
        <w:tc>
          <w:tcPr>
            <w:tcW w:w="756" w:type="dxa"/>
            <w:vMerge w:val="restart"/>
            <w:tcBorders>
              <w:top w:val="single" w:color="auto" w:sz="4" w:space="0"/>
              <w:left w:val="single" w:color="auto" w:sz="4" w:space="0"/>
              <w:right w:val="single" w:color="auto" w:sz="4" w:space="0"/>
            </w:tcBorders>
            <w:vAlign w:val="center"/>
          </w:tcPr>
          <w:p w14:paraId="6D53040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检维修作业、危险作业</w:t>
            </w:r>
          </w:p>
        </w:tc>
        <w:tc>
          <w:tcPr>
            <w:tcW w:w="5188" w:type="dxa"/>
            <w:tcBorders>
              <w:top w:val="single" w:color="auto" w:sz="4" w:space="0"/>
              <w:left w:val="single" w:color="auto" w:sz="4" w:space="0"/>
              <w:bottom w:val="single" w:color="auto" w:sz="4" w:space="0"/>
              <w:right w:val="single" w:color="auto" w:sz="4" w:space="0"/>
            </w:tcBorders>
            <w:vAlign w:val="center"/>
          </w:tcPr>
          <w:p w14:paraId="7475C6B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（1）是否制定检维修管理制度。</w:t>
            </w:r>
          </w:p>
        </w:tc>
        <w:tc>
          <w:tcPr>
            <w:tcW w:w="843" w:type="dxa"/>
            <w:tcBorders>
              <w:top w:val="single" w:color="auto" w:sz="4" w:space="0"/>
              <w:left w:val="single" w:color="auto" w:sz="4" w:space="0"/>
              <w:bottom w:val="single" w:color="auto" w:sz="4" w:space="0"/>
              <w:right w:val="single" w:color="auto" w:sz="4" w:space="0"/>
            </w:tcBorders>
            <w:vAlign w:val="center"/>
          </w:tcPr>
          <w:p w14:paraId="2A847C1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8544F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有检维修制度</w:t>
            </w:r>
          </w:p>
        </w:tc>
      </w:tr>
      <w:tr w14:paraId="47D1E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783526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9A7E91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4772A0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是否制定动火作业、受限空间作业等危险作业管理制度。</w:t>
            </w:r>
          </w:p>
        </w:tc>
        <w:tc>
          <w:tcPr>
            <w:tcW w:w="843" w:type="dxa"/>
            <w:tcBorders>
              <w:top w:val="single" w:color="auto" w:sz="4" w:space="0"/>
              <w:left w:val="single" w:color="auto" w:sz="4" w:space="0"/>
              <w:bottom w:val="single" w:color="auto" w:sz="4" w:space="0"/>
              <w:right w:val="single" w:color="auto" w:sz="4" w:space="0"/>
            </w:tcBorders>
            <w:vAlign w:val="center"/>
          </w:tcPr>
          <w:p w14:paraId="01C1E5C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FD110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有动火、受限空间作业管理制度</w:t>
            </w:r>
          </w:p>
        </w:tc>
      </w:tr>
      <w:tr w14:paraId="4838E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558" w:type="dxa"/>
            <w:vMerge w:val="continue"/>
            <w:tcBorders>
              <w:left w:val="single" w:color="auto" w:sz="12" w:space="0"/>
              <w:right w:val="single" w:color="auto" w:sz="4" w:space="0"/>
            </w:tcBorders>
            <w:vAlign w:val="center"/>
          </w:tcPr>
          <w:p w14:paraId="61F12E5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FA737C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124143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（3）危险作业是否按要求履行审批手续，危险作业是否按要求执行作业票管理。</w:t>
            </w:r>
          </w:p>
        </w:tc>
        <w:tc>
          <w:tcPr>
            <w:tcW w:w="843" w:type="dxa"/>
            <w:tcBorders>
              <w:top w:val="single" w:color="auto" w:sz="4" w:space="0"/>
              <w:left w:val="single" w:color="auto" w:sz="4" w:space="0"/>
              <w:bottom w:val="single" w:color="auto" w:sz="4" w:space="0"/>
              <w:right w:val="single" w:color="auto" w:sz="4" w:space="0"/>
            </w:tcBorders>
            <w:vAlign w:val="center"/>
          </w:tcPr>
          <w:p w14:paraId="73C2839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32EC54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危险作业严格执行审批手续</w:t>
            </w:r>
          </w:p>
        </w:tc>
      </w:tr>
      <w:tr w14:paraId="684BB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58" w:type="dxa"/>
            <w:vMerge w:val="continue"/>
            <w:tcBorders>
              <w:left w:val="single" w:color="auto" w:sz="12" w:space="0"/>
              <w:bottom w:val="single" w:color="auto" w:sz="4" w:space="0"/>
              <w:right w:val="single" w:color="auto" w:sz="4" w:space="0"/>
            </w:tcBorders>
            <w:vAlign w:val="center"/>
          </w:tcPr>
          <w:p w14:paraId="6D1BF26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69C01A1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2C2B69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（4）危险作业现场管理是否按要求执行。</w:t>
            </w:r>
          </w:p>
        </w:tc>
        <w:tc>
          <w:tcPr>
            <w:tcW w:w="843" w:type="dxa"/>
            <w:tcBorders>
              <w:top w:val="single" w:color="auto" w:sz="4" w:space="0"/>
              <w:left w:val="single" w:color="auto" w:sz="4" w:space="0"/>
              <w:bottom w:val="single" w:color="auto" w:sz="4" w:space="0"/>
              <w:right w:val="single" w:color="auto" w:sz="4" w:space="0"/>
            </w:tcBorders>
            <w:vAlign w:val="center"/>
          </w:tcPr>
          <w:p w14:paraId="3FADC5D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857903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按要求执行</w:t>
            </w:r>
          </w:p>
        </w:tc>
      </w:tr>
      <w:tr w14:paraId="5A7D8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45" w:type="dxa"/>
            <w:gridSpan w:val="5"/>
            <w:tcBorders>
              <w:top w:val="single" w:color="auto" w:sz="4" w:space="0"/>
              <w:left w:val="single" w:color="auto" w:sz="12" w:space="0"/>
              <w:bottom w:val="single" w:color="auto" w:sz="4" w:space="0"/>
              <w:right w:val="single" w:color="auto" w:sz="12" w:space="0"/>
            </w:tcBorders>
            <w:shd w:val="clear" w:color="auto" w:fill="C0C0C0"/>
            <w:vAlign w:val="center"/>
          </w:tcPr>
          <w:p w14:paraId="02E148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
                <w:color w:val="auto"/>
              </w:rPr>
              <w:t>现 场 安 全 检 查 内 容</w:t>
            </w:r>
          </w:p>
        </w:tc>
      </w:tr>
      <w:tr w14:paraId="3B0D7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tcBorders>
              <w:top w:val="single" w:color="auto" w:sz="4" w:space="0"/>
              <w:left w:val="single" w:color="auto" w:sz="12" w:space="0"/>
              <w:bottom w:val="single" w:color="auto" w:sz="4" w:space="0"/>
              <w:right w:val="single" w:color="auto" w:sz="4" w:space="0"/>
            </w:tcBorders>
            <w:vAlign w:val="center"/>
          </w:tcPr>
          <w:p w14:paraId="7C6D47B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序号</w:t>
            </w:r>
          </w:p>
        </w:tc>
        <w:tc>
          <w:tcPr>
            <w:tcW w:w="756" w:type="dxa"/>
            <w:tcBorders>
              <w:top w:val="single" w:color="auto" w:sz="4" w:space="0"/>
              <w:left w:val="single" w:color="auto" w:sz="4" w:space="0"/>
              <w:bottom w:val="single" w:color="auto" w:sz="4" w:space="0"/>
              <w:right w:val="single" w:color="auto" w:sz="4" w:space="0"/>
            </w:tcBorders>
            <w:vAlign w:val="center"/>
          </w:tcPr>
          <w:p w14:paraId="6358CDD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检查项目</w:t>
            </w:r>
          </w:p>
        </w:tc>
        <w:tc>
          <w:tcPr>
            <w:tcW w:w="5188" w:type="dxa"/>
            <w:tcBorders>
              <w:top w:val="single" w:color="auto" w:sz="4" w:space="0"/>
              <w:left w:val="single" w:color="auto" w:sz="4" w:space="0"/>
              <w:bottom w:val="single" w:color="auto" w:sz="4" w:space="0"/>
              <w:right w:val="single" w:color="auto" w:sz="4" w:space="0"/>
            </w:tcBorders>
            <w:vAlign w:val="center"/>
          </w:tcPr>
          <w:p w14:paraId="3BEFE4F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检查内容</w:t>
            </w:r>
          </w:p>
        </w:tc>
        <w:tc>
          <w:tcPr>
            <w:tcW w:w="843" w:type="dxa"/>
            <w:tcBorders>
              <w:top w:val="single" w:color="auto" w:sz="4" w:space="0"/>
              <w:left w:val="single" w:color="auto" w:sz="4" w:space="0"/>
              <w:bottom w:val="single" w:color="auto" w:sz="4" w:space="0"/>
              <w:right w:val="single" w:color="auto" w:sz="4" w:space="0"/>
            </w:tcBorders>
            <w:vAlign w:val="center"/>
          </w:tcPr>
          <w:p w14:paraId="1CC7F81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检查</w:t>
            </w:r>
          </w:p>
          <w:p w14:paraId="5186869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结果</w:t>
            </w:r>
          </w:p>
        </w:tc>
        <w:tc>
          <w:tcPr>
            <w:tcW w:w="1700" w:type="dxa"/>
            <w:tcBorders>
              <w:top w:val="single" w:color="auto" w:sz="4" w:space="0"/>
              <w:left w:val="single" w:color="auto" w:sz="4" w:space="0"/>
              <w:bottom w:val="single" w:color="auto" w:sz="4" w:space="0"/>
              <w:right w:val="single" w:color="auto" w:sz="12" w:space="0"/>
            </w:tcBorders>
            <w:vAlign w:val="center"/>
          </w:tcPr>
          <w:p w14:paraId="5303D27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主要问题</w:t>
            </w:r>
          </w:p>
        </w:tc>
      </w:tr>
      <w:tr w14:paraId="5E037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03B5EF7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1</w:t>
            </w:r>
          </w:p>
        </w:tc>
        <w:tc>
          <w:tcPr>
            <w:tcW w:w="756" w:type="dxa"/>
            <w:vMerge w:val="restart"/>
            <w:tcBorders>
              <w:top w:val="single" w:color="auto" w:sz="4" w:space="0"/>
              <w:left w:val="single" w:color="auto" w:sz="4" w:space="0"/>
              <w:right w:val="single" w:color="auto" w:sz="4" w:space="0"/>
            </w:tcBorders>
            <w:vAlign w:val="center"/>
          </w:tcPr>
          <w:p w14:paraId="2C6F1ED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加油加气站选址与总平面布置</w:t>
            </w:r>
          </w:p>
        </w:tc>
        <w:tc>
          <w:tcPr>
            <w:tcW w:w="5188" w:type="dxa"/>
            <w:tcBorders>
              <w:top w:val="single" w:color="auto" w:sz="4" w:space="0"/>
              <w:left w:val="single" w:color="auto" w:sz="4" w:space="0"/>
              <w:bottom w:val="single" w:color="auto" w:sz="4" w:space="0"/>
              <w:right w:val="single" w:color="auto" w:sz="4" w:space="0"/>
            </w:tcBorders>
            <w:vAlign w:val="center"/>
          </w:tcPr>
          <w:p w14:paraId="01E4F25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（1）站址选择应符合有关规划、环境保护和防火安全的要求，并应选在交通便利、用户使用方便的地点。</w:t>
            </w:r>
          </w:p>
        </w:tc>
        <w:tc>
          <w:tcPr>
            <w:tcW w:w="843" w:type="dxa"/>
            <w:tcBorders>
              <w:top w:val="single" w:color="auto" w:sz="4" w:space="0"/>
              <w:left w:val="single" w:color="auto" w:sz="4" w:space="0"/>
              <w:bottom w:val="single" w:color="auto" w:sz="4" w:space="0"/>
              <w:right w:val="single" w:color="auto" w:sz="4" w:space="0"/>
            </w:tcBorders>
            <w:vAlign w:val="center"/>
          </w:tcPr>
          <w:p w14:paraId="2163C3E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8443A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交通便利</w:t>
            </w:r>
          </w:p>
        </w:tc>
      </w:tr>
      <w:tr w14:paraId="4ED4F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322487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76113C2">
            <w:pPr>
              <w:autoSpaceDN w:val="0"/>
              <w:spacing w:line="260" w:lineRule="exact"/>
              <w:jc w:val="center"/>
              <w:rPr>
                <w:rFonts w:ascii="Times New Roman" w:hAnsi="Times New Roman" w:eastAsia="宋" w:cs="Times New Roman"/>
                <w:bCs/>
                <w:color w:val="auto"/>
                <w:szCs w:val="32"/>
              </w:rPr>
            </w:pPr>
          </w:p>
        </w:tc>
        <w:tc>
          <w:tcPr>
            <w:tcW w:w="5188" w:type="dxa"/>
            <w:tcBorders>
              <w:top w:val="single" w:color="auto" w:sz="4" w:space="0"/>
              <w:left w:val="single" w:color="auto" w:sz="4" w:space="0"/>
              <w:bottom w:val="single" w:color="auto" w:sz="4" w:space="0"/>
              <w:right w:val="single" w:color="auto" w:sz="4" w:space="0"/>
            </w:tcBorders>
            <w:vAlign w:val="center"/>
          </w:tcPr>
          <w:p w14:paraId="7B98941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（2）在城市建成区不应建一级加油站。</w:t>
            </w:r>
          </w:p>
        </w:tc>
        <w:tc>
          <w:tcPr>
            <w:tcW w:w="843" w:type="dxa"/>
            <w:tcBorders>
              <w:top w:val="single" w:color="auto" w:sz="4" w:space="0"/>
              <w:left w:val="single" w:color="auto" w:sz="4" w:space="0"/>
              <w:bottom w:val="single" w:color="auto" w:sz="4" w:space="0"/>
              <w:right w:val="single" w:color="auto" w:sz="4" w:space="0"/>
            </w:tcBorders>
            <w:vAlign w:val="center"/>
          </w:tcPr>
          <w:p w14:paraId="175BC92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CB03E4E">
            <w:pPr>
              <w:autoSpaceDN w:val="0"/>
              <w:spacing w:line="260" w:lineRule="exact"/>
              <w:jc w:val="center"/>
              <w:rPr>
                <w:rFonts w:ascii="Times New Roman" w:hAnsi="Times New Roman" w:eastAsia="宋" w:cs="Times New Roman"/>
                <w:bCs/>
                <w:color w:val="auto"/>
              </w:rPr>
            </w:pPr>
            <w:r>
              <w:rPr>
                <w:rFonts w:ascii="Times New Roman" w:hAnsi="Times New Roman" w:eastAsia="宋" w:cs="Times New Roman"/>
                <w:bCs/>
                <w:color w:val="auto"/>
              </w:rPr>
              <w:t>属</w:t>
            </w:r>
            <w:r>
              <w:rPr>
                <w:rFonts w:hint="eastAsia" w:ascii="Times New Roman" w:hAnsi="Times New Roman" w:eastAsia="宋" w:cs="Times New Roman"/>
                <w:bCs/>
                <w:color w:val="auto"/>
              </w:rPr>
              <w:t>于</w:t>
            </w:r>
            <w:r>
              <w:rPr>
                <w:rFonts w:hint="eastAsia" w:ascii="Times New Roman" w:hAnsi="Times New Roman" w:eastAsia="宋" w:cs="Times New Roman"/>
                <w:bCs/>
                <w:color w:val="auto"/>
                <w:lang w:val="en-US" w:eastAsia="zh-CN"/>
              </w:rPr>
              <w:t>三</w:t>
            </w:r>
            <w:r>
              <w:rPr>
                <w:rFonts w:ascii="Times New Roman" w:hAnsi="Times New Roman" w:eastAsia="宋" w:cs="Times New Roman"/>
                <w:bCs/>
                <w:color w:val="auto"/>
              </w:rPr>
              <w:t>级加油站</w:t>
            </w:r>
          </w:p>
        </w:tc>
      </w:tr>
      <w:tr w14:paraId="1710B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268A77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91C3CF3">
            <w:pPr>
              <w:autoSpaceDN w:val="0"/>
              <w:spacing w:line="260" w:lineRule="exact"/>
              <w:jc w:val="center"/>
              <w:rPr>
                <w:rFonts w:ascii="Times New Roman" w:hAnsi="Times New Roman" w:eastAsia="宋" w:cs="Times New Roman"/>
                <w:bCs/>
                <w:color w:val="auto"/>
                <w:szCs w:val="32"/>
              </w:rPr>
            </w:pPr>
          </w:p>
        </w:tc>
        <w:tc>
          <w:tcPr>
            <w:tcW w:w="5188" w:type="dxa"/>
            <w:tcBorders>
              <w:top w:val="single" w:color="auto" w:sz="4" w:space="0"/>
              <w:left w:val="single" w:color="auto" w:sz="4" w:space="0"/>
              <w:bottom w:val="single" w:color="auto" w:sz="4" w:space="0"/>
              <w:right w:val="single" w:color="auto" w:sz="4" w:space="0"/>
            </w:tcBorders>
            <w:vAlign w:val="center"/>
          </w:tcPr>
          <w:p w14:paraId="5CBEE89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（3）城市建成区内的加油站宜靠近城市道路，但不宜选在城市干道的交叉路口附近。</w:t>
            </w:r>
          </w:p>
        </w:tc>
        <w:tc>
          <w:tcPr>
            <w:tcW w:w="843" w:type="dxa"/>
            <w:tcBorders>
              <w:top w:val="single" w:color="auto" w:sz="4" w:space="0"/>
              <w:left w:val="single" w:color="auto" w:sz="4" w:space="0"/>
              <w:bottom w:val="single" w:color="auto" w:sz="4" w:space="0"/>
              <w:right w:val="single" w:color="auto" w:sz="4" w:space="0"/>
            </w:tcBorders>
            <w:vAlign w:val="center"/>
          </w:tcPr>
          <w:p w14:paraId="78ACB6D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DE7335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不在城市干道交叉路口</w:t>
            </w:r>
          </w:p>
        </w:tc>
      </w:tr>
      <w:tr w14:paraId="35085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4A67E9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860708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DFEE05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（4）加油站的油罐、加油机和通气管管口与站外建、构筑物的防火距离，不应小于《汽车加油加气站设计与施工规范》表4.0.4和表4.0.5的规定。</w:t>
            </w:r>
          </w:p>
        </w:tc>
        <w:tc>
          <w:tcPr>
            <w:tcW w:w="843" w:type="dxa"/>
            <w:tcBorders>
              <w:top w:val="single" w:color="auto" w:sz="4" w:space="0"/>
              <w:left w:val="single" w:color="auto" w:sz="4" w:space="0"/>
              <w:bottom w:val="single" w:color="auto" w:sz="4" w:space="0"/>
              <w:right w:val="single" w:color="auto" w:sz="4" w:space="0"/>
            </w:tcBorders>
            <w:vAlign w:val="center"/>
          </w:tcPr>
          <w:p w14:paraId="57B2DE7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A350B5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w:t>
            </w:r>
          </w:p>
        </w:tc>
      </w:tr>
      <w:tr w14:paraId="70E9B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AD17FD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656AE9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65185A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（5）架空电力线路是否跨越加油站的作业区。</w:t>
            </w:r>
          </w:p>
        </w:tc>
        <w:tc>
          <w:tcPr>
            <w:tcW w:w="843" w:type="dxa"/>
            <w:tcBorders>
              <w:top w:val="single" w:color="auto" w:sz="4" w:space="0"/>
              <w:left w:val="single" w:color="auto" w:sz="4" w:space="0"/>
              <w:bottom w:val="single" w:color="auto" w:sz="4" w:space="0"/>
              <w:right w:val="single" w:color="auto" w:sz="4" w:space="0"/>
            </w:tcBorders>
            <w:vAlign w:val="center"/>
          </w:tcPr>
          <w:p w14:paraId="0D5AA1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w:t>
            </w:r>
          </w:p>
        </w:tc>
        <w:tc>
          <w:tcPr>
            <w:tcW w:w="1700" w:type="dxa"/>
            <w:tcBorders>
              <w:top w:val="single" w:color="auto" w:sz="4" w:space="0"/>
              <w:left w:val="single" w:color="auto" w:sz="4" w:space="0"/>
              <w:bottom w:val="single" w:color="auto" w:sz="4" w:space="0"/>
              <w:right w:val="single" w:color="auto" w:sz="12" w:space="0"/>
            </w:tcBorders>
            <w:vAlign w:val="center"/>
          </w:tcPr>
          <w:p w14:paraId="0DF3944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不涉及架空电力线路跨越加油站</w:t>
            </w:r>
          </w:p>
        </w:tc>
      </w:tr>
      <w:tr w14:paraId="1E088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2BA6D4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8646E0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CA7904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（6）与加油站无关的可燃介质管道是否</w:t>
            </w:r>
            <w:r>
              <w:rPr>
                <w:rFonts w:hint="eastAsia" w:ascii="Times New Roman" w:hAnsi="Times New Roman" w:eastAsia="宋" w:cs="Times New Roman"/>
                <w:bCs/>
                <w:color w:val="auto"/>
                <w:lang w:eastAsia="zh-CN"/>
              </w:rPr>
              <w:t>穿越</w:t>
            </w:r>
            <w:r>
              <w:rPr>
                <w:rFonts w:hint="eastAsia" w:ascii="Times New Roman" w:hAnsi="Times New Roman" w:eastAsia="宋" w:cs="Times New Roman"/>
                <w:bCs/>
                <w:color w:val="auto"/>
              </w:rPr>
              <w:t>加油站用地范围。</w:t>
            </w:r>
          </w:p>
        </w:tc>
        <w:tc>
          <w:tcPr>
            <w:tcW w:w="843" w:type="dxa"/>
            <w:tcBorders>
              <w:top w:val="single" w:color="auto" w:sz="4" w:space="0"/>
              <w:left w:val="single" w:color="auto" w:sz="4" w:space="0"/>
              <w:bottom w:val="single" w:color="auto" w:sz="4" w:space="0"/>
              <w:right w:val="single" w:color="auto" w:sz="4" w:space="0"/>
            </w:tcBorders>
            <w:vAlign w:val="center"/>
          </w:tcPr>
          <w:p w14:paraId="041F661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w:t>
            </w:r>
          </w:p>
        </w:tc>
        <w:tc>
          <w:tcPr>
            <w:tcW w:w="1700" w:type="dxa"/>
            <w:tcBorders>
              <w:top w:val="single" w:color="auto" w:sz="4" w:space="0"/>
              <w:left w:val="single" w:color="auto" w:sz="4" w:space="0"/>
              <w:bottom w:val="single" w:color="auto" w:sz="4" w:space="0"/>
              <w:right w:val="single" w:color="auto" w:sz="12" w:space="0"/>
            </w:tcBorders>
            <w:vAlign w:val="center"/>
          </w:tcPr>
          <w:p w14:paraId="3C540D1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不涉及无关的可燃介质管道穿越加油站</w:t>
            </w:r>
          </w:p>
        </w:tc>
      </w:tr>
      <w:tr w14:paraId="79039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E629B9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469646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6F3279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（7）加油站内设施、装置之间的防火距离，不应小于《汽车加油加气站设计与施工规范》表5.0.13规定。</w:t>
            </w:r>
          </w:p>
        </w:tc>
        <w:tc>
          <w:tcPr>
            <w:tcW w:w="843" w:type="dxa"/>
            <w:tcBorders>
              <w:top w:val="single" w:color="auto" w:sz="4" w:space="0"/>
              <w:left w:val="single" w:color="auto" w:sz="4" w:space="0"/>
              <w:bottom w:val="single" w:color="auto" w:sz="4" w:space="0"/>
              <w:right w:val="single" w:color="auto" w:sz="4" w:space="0"/>
            </w:tcBorders>
            <w:vAlign w:val="center"/>
          </w:tcPr>
          <w:p w14:paraId="2FD597E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09415D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w:t>
            </w:r>
          </w:p>
        </w:tc>
      </w:tr>
      <w:tr w14:paraId="56FE7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25B5B6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D0FABC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7C1438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（8）加油工艺设施与站外建、构筑物之间</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宜设置高度不低于2.2m的不燃烧实体围墙。当加油站的工艺设备与站外建、构筑物之间的距离大于《汽车加油加气站设计与施工规范》中表4.0.4</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-表4.0.9中安全间距的1.5倍</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,且大于25m时，可设置非实体围墙。面向车</w:t>
            </w:r>
            <w:r>
              <w:rPr>
                <w:rFonts w:hint="eastAsia" w:ascii="Times New Roman" w:hAnsi="Times New Roman" w:eastAsia="宋" w:cs="Times New Roman"/>
                <w:bCs/>
                <w:color w:val="auto"/>
                <w:lang w:eastAsia="zh-CN"/>
              </w:rPr>
              <w:t>入口</w:t>
            </w:r>
            <w:r>
              <w:rPr>
                <w:rFonts w:hint="eastAsia" w:ascii="Times New Roman" w:hAnsi="Times New Roman" w:eastAsia="宋" w:cs="Times New Roman"/>
                <w:bCs/>
                <w:color w:val="auto"/>
              </w:rPr>
              <w:t>口和出口道路的一侧可设非实体围墙或不设围墙。</w:t>
            </w:r>
          </w:p>
        </w:tc>
        <w:tc>
          <w:tcPr>
            <w:tcW w:w="843" w:type="dxa"/>
            <w:tcBorders>
              <w:top w:val="single" w:color="auto" w:sz="4" w:space="0"/>
              <w:left w:val="single" w:color="auto" w:sz="4" w:space="0"/>
              <w:bottom w:val="single" w:color="auto" w:sz="4" w:space="0"/>
              <w:right w:val="single" w:color="auto" w:sz="4" w:space="0"/>
            </w:tcBorders>
            <w:vAlign w:val="center"/>
          </w:tcPr>
          <w:p w14:paraId="709CBBE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AB097A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加油站设有围墙。</w:t>
            </w:r>
          </w:p>
        </w:tc>
      </w:tr>
      <w:tr w14:paraId="0A96F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FBC683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2AD4E94">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BC6FC29">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（9）加油站现场总平面布置是否与设计总图一致</w:t>
            </w:r>
          </w:p>
        </w:tc>
        <w:tc>
          <w:tcPr>
            <w:tcW w:w="843" w:type="dxa"/>
            <w:tcBorders>
              <w:top w:val="single" w:color="auto" w:sz="4" w:space="0"/>
              <w:left w:val="single" w:color="auto" w:sz="4" w:space="0"/>
              <w:bottom w:val="single" w:color="auto" w:sz="4" w:space="0"/>
              <w:right w:val="single" w:color="auto" w:sz="4" w:space="0"/>
            </w:tcBorders>
            <w:vAlign w:val="center"/>
          </w:tcPr>
          <w:p w14:paraId="042F9DE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1A9E8D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现场与图纸相符</w:t>
            </w:r>
          </w:p>
        </w:tc>
      </w:tr>
      <w:tr w14:paraId="59EC9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9555518">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4B59E58">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439EE6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（10）车辆入口和出口应分开设置。</w:t>
            </w:r>
          </w:p>
        </w:tc>
        <w:tc>
          <w:tcPr>
            <w:tcW w:w="843" w:type="dxa"/>
            <w:tcBorders>
              <w:top w:val="single" w:color="auto" w:sz="4" w:space="0"/>
              <w:left w:val="single" w:color="auto" w:sz="4" w:space="0"/>
              <w:bottom w:val="single" w:color="auto" w:sz="4" w:space="0"/>
              <w:right w:val="single" w:color="auto" w:sz="4" w:space="0"/>
            </w:tcBorders>
            <w:vAlign w:val="center"/>
          </w:tcPr>
          <w:p w14:paraId="564F803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B4498E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出入口分开设置</w:t>
            </w:r>
          </w:p>
        </w:tc>
      </w:tr>
      <w:tr w14:paraId="0CD71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8EA7D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0B9250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789564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（11） 站区内停车位和道路应符合下列规定：</w:t>
            </w:r>
          </w:p>
          <w:p w14:paraId="4C89C6D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站内车道或停车位宽度应按车辆类型确定。CNG加气母站内单车道或单车停车位宽度不应小于4.5m，双车道或双车停车位宽度不应小于9m；其他类型汽车加油加气加氢站的车道或停车位，单车道或单车停车位宽度不应小于4m，双车道或双车停车位宽度不应小于6m。</w:t>
            </w:r>
          </w:p>
          <w:p w14:paraId="75CB441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2.站内的道路转弯半径应按行驶车型确定，且不宜小于9m。</w:t>
            </w:r>
          </w:p>
          <w:p w14:paraId="5A9A839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3.站内停车位应为平坡，道路坡度不应大于8%，且宜坡向站外。</w:t>
            </w:r>
          </w:p>
          <w:p w14:paraId="5BDD76D6">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4.作业区内的停车场和道路路面不应采用沥青路面。</w:t>
            </w:r>
          </w:p>
        </w:tc>
        <w:tc>
          <w:tcPr>
            <w:tcW w:w="843" w:type="dxa"/>
            <w:tcBorders>
              <w:top w:val="single" w:color="auto" w:sz="4" w:space="0"/>
              <w:left w:val="single" w:color="auto" w:sz="4" w:space="0"/>
              <w:bottom w:val="single" w:color="auto" w:sz="4" w:space="0"/>
              <w:right w:val="single" w:color="auto" w:sz="4" w:space="0"/>
            </w:tcBorders>
            <w:vAlign w:val="center"/>
          </w:tcPr>
          <w:p w14:paraId="7839F94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EE7F6D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单车道宽度不小于4m，站内道路为砼路面；站内的道路转弯半径不小于9m。</w:t>
            </w:r>
          </w:p>
        </w:tc>
      </w:tr>
      <w:tr w14:paraId="33B5E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F65134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7100F7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857107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（12）电动汽车充电设施应布置在辅助服务区内。</w:t>
            </w:r>
          </w:p>
        </w:tc>
        <w:tc>
          <w:tcPr>
            <w:tcW w:w="843" w:type="dxa"/>
            <w:tcBorders>
              <w:top w:val="single" w:color="auto" w:sz="4" w:space="0"/>
              <w:left w:val="single" w:color="auto" w:sz="4" w:space="0"/>
              <w:bottom w:val="single" w:color="auto" w:sz="4" w:space="0"/>
              <w:right w:val="single" w:color="auto" w:sz="4" w:space="0"/>
            </w:tcBorders>
            <w:vAlign w:val="center"/>
          </w:tcPr>
          <w:p w14:paraId="3E259F3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9DB13D8">
            <w:pPr>
              <w:autoSpaceDN w:val="0"/>
              <w:spacing w:line="260" w:lineRule="exact"/>
              <w:jc w:val="center"/>
              <w:rPr>
                <w:rFonts w:hint="default" w:ascii="Times New Roman" w:hAnsi="Times New Roman" w:eastAsia="宋" w:cs="Times New Roman"/>
                <w:bCs/>
                <w:color w:val="auto"/>
                <w:lang w:val="en-US" w:eastAsia="zh-CN"/>
              </w:rPr>
            </w:pPr>
            <w:r>
              <w:rPr>
                <w:rFonts w:hint="eastAsia" w:ascii="Times New Roman" w:hAnsi="Times New Roman" w:eastAsia="宋" w:cs="Times New Roman"/>
                <w:bCs/>
                <w:color w:val="auto"/>
                <w:lang w:val="en-US" w:eastAsia="zh-CN"/>
              </w:rPr>
              <w:t>不涉及</w:t>
            </w:r>
            <w:r>
              <w:rPr>
                <w:rFonts w:hint="eastAsia" w:ascii="Times New Roman" w:hAnsi="Times New Roman" w:eastAsia="宋" w:cs="Times New Roman"/>
                <w:bCs/>
                <w:color w:val="auto"/>
              </w:rPr>
              <w:t>汽车充电桩</w:t>
            </w:r>
          </w:p>
        </w:tc>
      </w:tr>
      <w:tr w14:paraId="26707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36C659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9494D1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BCFA68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（13）加油站的变配电间或室外变压器应布置在作业区之外。</w:t>
            </w:r>
          </w:p>
        </w:tc>
        <w:tc>
          <w:tcPr>
            <w:tcW w:w="843" w:type="dxa"/>
            <w:tcBorders>
              <w:top w:val="single" w:color="auto" w:sz="4" w:space="0"/>
              <w:left w:val="single" w:color="auto" w:sz="4" w:space="0"/>
              <w:bottom w:val="single" w:color="auto" w:sz="4" w:space="0"/>
              <w:right w:val="single" w:color="auto" w:sz="4" w:space="0"/>
            </w:tcBorders>
            <w:vAlign w:val="center"/>
          </w:tcPr>
          <w:p w14:paraId="0683DA7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983CF6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配电室在作业区外，位于</w:t>
            </w:r>
            <w:r>
              <w:rPr>
                <w:rFonts w:hint="eastAsia" w:ascii="Times New Roman" w:hAnsi="Times New Roman" w:eastAsia="宋" w:cs="Times New Roman"/>
                <w:bCs/>
                <w:color w:val="auto"/>
                <w:lang w:val="en-US" w:eastAsia="zh-CN"/>
              </w:rPr>
              <w:t>站房</w:t>
            </w:r>
            <w:r>
              <w:rPr>
                <w:rFonts w:hint="eastAsia" w:ascii="Times New Roman" w:hAnsi="Times New Roman" w:eastAsia="宋" w:cs="Times New Roman"/>
                <w:bCs/>
                <w:color w:val="auto"/>
              </w:rPr>
              <w:t>内。</w:t>
            </w:r>
          </w:p>
        </w:tc>
      </w:tr>
      <w:tr w14:paraId="6FB2F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8" w:type="dxa"/>
            <w:vMerge w:val="continue"/>
            <w:tcBorders>
              <w:left w:val="single" w:color="auto" w:sz="12" w:space="0"/>
              <w:right w:val="single" w:color="auto" w:sz="4" w:space="0"/>
            </w:tcBorders>
            <w:vAlign w:val="center"/>
          </w:tcPr>
          <w:p w14:paraId="4B976B6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39055B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A0126A6">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（14）加油作业区内不得有“明火地点”或“散发火花地点</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w:t>
            </w:r>
          </w:p>
        </w:tc>
        <w:tc>
          <w:tcPr>
            <w:tcW w:w="843" w:type="dxa"/>
            <w:tcBorders>
              <w:top w:val="single" w:color="auto" w:sz="4" w:space="0"/>
              <w:left w:val="single" w:color="auto" w:sz="4" w:space="0"/>
              <w:bottom w:val="single" w:color="auto" w:sz="4" w:space="0"/>
              <w:right w:val="single" w:color="auto" w:sz="4" w:space="0"/>
            </w:tcBorders>
            <w:vAlign w:val="center"/>
          </w:tcPr>
          <w:p w14:paraId="2C9F2A8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053366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加油作业区无明火</w:t>
            </w:r>
          </w:p>
        </w:tc>
      </w:tr>
      <w:tr w14:paraId="6F9C7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970DF7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440660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B1895B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（15）站房不应布置在爆炸危险区域。站房部分位于作业区内时，建筑面积等应符合《汽车加油加气站设计与施工规范》第14.2.10条的规定</w:t>
            </w:r>
            <w:r>
              <w:rPr>
                <w:rFonts w:hint="eastAsia" w:ascii="Times New Roman" w:hAnsi="Times New Roman" w:eastAsia="宋" w:cs="Times New Roman"/>
                <w:bCs/>
                <w:color w:val="auto"/>
                <w:lang w:eastAsia="zh-CN"/>
              </w:rPr>
              <w:t>。</w:t>
            </w:r>
          </w:p>
        </w:tc>
        <w:tc>
          <w:tcPr>
            <w:tcW w:w="843" w:type="dxa"/>
            <w:tcBorders>
              <w:top w:val="single" w:color="auto" w:sz="4" w:space="0"/>
              <w:left w:val="single" w:color="auto" w:sz="4" w:space="0"/>
              <w:bottom w:val="single" w:color="auto" w:sz="4" w:space="0"/>
              <w:right w:val="single" w:color="auto" w:sz="4" w:space="0"/>
            </w:tcBorders>
            <w:vAlign w:val="center"/>
          </w:tcPr>
          <w:p w14:paraId="1CF35E6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338AA5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站房不在爆炸危险区域内</w:t>
            </w:r>
          </w:p>
        </w:tc>
      </w:tr>
      <w:tr w14:paraId="68E5D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622E04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DD5081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B3A09E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（16）当加油站内设置非油品业务建筑物或设施时，不应布置在作业区内，与站内可燃液体或可燃气体设备的防火间距应符合《汽车加油加气站设计与施工规范》第4.0.4条</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第4.0.8条有关三类保护物的规定。当站内经营性餐饮、汽车服务、司机休息室等设施内设置明火设备时，应等同于“明火地点”或“散发火花地点”。</w:t>
            </w:r>
          </w:p>
        </w:tc>
        <w:tc>
          <w:tcPr>
            <w:tcW w:w="843" w:type="dxa"/>
            <w:tcBorders>
              <w:top w:val="single" w:color="auto" w:sz="4" w:space="0"/>
              <w:left w:val="single" w:color="auto" w:sz="4" w:space="0"/>
              <w:bottom w:val="single" w:color="auto" w:sz="4" w:space="0"/>
              <w:right w:val="single" w:color="auto" w:sz="4" w:space="0"/>
            </w:tcBorders>
            <w:vAlign w:val="center"/>
          </w:tcPr>
          <w:p w14:paraId="6CFF744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469C66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05DB7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BCA64F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D53144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6F22B6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（17）汽车加油加气加氢站内的爆炸危险区域，不应超出站区围墙和可用地界线。</w:t>
            </w:r>
          </w:p>
        </w:tc>
        <w:tc>
          <w:tcPr>
            <w:tcW w:w="843" w:type="dxa"/>
            <w:tcBorders>
              <w:top w:val="single" w:color="auto" w:sz="4" w:space="0"/>
              <w:left w:val="single" w:color="auto" w:sz="4" w:space="0"/>
              <w:bottom w:val="single" w:color="auto" w:sz="4" w:space="0"/>
              <w:right w:val="single" w:color="auto" w:sz="4" w:space="0"/>
            </w:tcBorders>
            <w:vAlign w:val="center"/>
          </w:tcPr>
          <w:p w14:paraId="3DF659B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4AD622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未超出站区围墙和可用地界线</w:t>
            </w:r>
          </w:p>
        </w:tc>
      </w:tr>
      <w:tr w14:paraId="76190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1A90938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3F112CB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46F3EB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（18）架空电力线路不应跨越加油站的加油作业区。</w:t>
            </w:r>
          </w:p>
        </w:tc>
        <w:tc>
          <w:tcPr>
            <w:tcW w:w="843" w:type="dxa"/>
            <w:tcBorders>
              <w:top w:val="single" w:color="auto" w:sz="4" w:space="0"/>
              <w:left w:val="single" w:color="auto" w:sz="4" w:space="0"/>
              <w:bottom w:val="single" w:color="auto" w:sz="4" w:space="0"/>
              <w:right w:val="single" w:color="auto" w:sz="4" w:space="0"/>
            </w:tcBorders>
            <w:vAlign w:val="center"/>
          </w:tcPr>
          <w:p w14:paraId="6FE4726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8BB33D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无架空电力线跨越加油站加油作业区</w:t>
            </w:r>
          </w:p>
        </w:tc>
      </w:tr>
      <w:tr w14:paraId="7D581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985121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2</w:t>
            </w:r>
          </w:p>
        </w:tc>
        <w:tc>
          <w:tcPr>
            <w:tcW w:w="756" w:type="dxa"/>
            <w:vMerge w:val="restart"/>
            <w:tcBorders>
              <w:top w:val="single" w:color="auto" w:sz="4" w:space="0"/>
              <w:left w:val="single" w:color="auto" w:sz="4" w:space="0"/>
              <w:right w:val="single" w:color="auto" w:sz="4" w:space="0"/>
            </w:tcBorders>
            <w:vAlign w:val="center"/>
          </w:tcPr>
          <w:p w14:paraId="7D3273F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建筑与</w:t>
            </w:r>
          </w:p>
          <w:p w14:paraId="145B577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设施</w:t>
            </w:r>
          </w:p>
        </w:tc>
        <w:tc>
          <w:tcPr>
            <w:tcW w:w="5188" w:type="dxa"/>
            <w:tcBorders>
              <w:top w:val="single" w:color="auto" w:sz="4" w:space="0"/>
              <w:left w:val="single" w:color="auto" w:sz="4" w:space="0"/>
              <w:bottom w:val="single" w:color="auto" w:sz="4" w:space="0"/>
              <w:right w:val="single" w:color="auto" w:sz="4" w:space="0"/>
            </w:tcBorders>
            <w:vAlign w:val="center"/>
          </w:tcPr>
          <w:p w14:paraId="068A4E5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加油作业区内的站房及其它附属建筑物的耐火等级不应低于二级。</w:t>
            </w:r>
          </w:p>
        </w:tc>
        <w:tc>
          <w:tcPr>
            <w:tcW w:w="843" w:type="dxa"/>
            <w:tcBorders>
              <w:top w:val="single" w:color="auto" w:sz="4" w:space="0"/>
              <w:left w:val="single" w:color="auto" w:sz="4" w:space="0"/>
              <w:bottom w:val="single" w:color="auto" w:sz="4" w:space="0"/>
              <w:right w:val="single" w:color="auto" w:sz="4" w:space="0"/>
            </w:tcBorders>
            <w:vAlign w:val="center"/>
          </w:tcPr>
          <w:p w14:paraId="5FC1D29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DADACB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站房为二级耐火等级</w:t>
            </w:r>
          </w:p>
        </w:tc>
      </w:tr>
      <w:tr w14:paraId="7A33B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919BBB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B622782">
            <w:pPr>
              <w:autoSpaceDN w:val="0"/>
              <w:spacing w:line="260" w:lineRule="exact"/>
              <w:jc w:val="center"/>
              <w:rPr>
                <w:rFonts w:ascii="Times New Roman" w:hAnsi="Times New Roman" w:eastAsia="宋" w:cs="Times New Roman"/>
                <w:bCs/>
                <w:color w:val="auto"/>
                <w:szCs w:val="32"/>
              </w:rPr>
            </w:pPr>
          </w:p>
        </w:tc>
        <w:tc>
          <w:tcPr>
            <w:tcW w:w="5188" w:type="dxa"/>
            <w:tcBorders>
              <w:top w:val="single" w:color="auto" w:sz="4" w:space="0"/>
              <w:left w:val="single" w:color="auto" w:sz="4" w:space="0"/>
              <w:bottom w:val="single" w:color="auto" w:sz="4" w:space="0"/>
              <w:right w:val="single" w:color="auto" w:sz="4" w:space="0"/>
            </w:tcBorders>
            <w:vAlign w:val="center"/>
          </w:tcPr>
          <w:p w14:paraId="1D2370A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（2）站内建筑防雷防静电设施是否按要求设置，是否经过定期防雷检测，并出具了检测合格报告。</w:t>
            </w:r>
          </w:p>
        </w:tc>
        <w:tc>
          <w:tcPr>
            <w:tcW w:w="843" w:type="dxa"/>
            <w:tcBorders>
              <w:top w:val="single" w:color="auto" w:sz="4" w:space="0"/>
              <w:left w:val="single" w:color="auto" w:sz="4" w:space="0"/>
              <w:bottom w:val="single" w:color="auto" w:sz="4" w:space="0"/>
              <w:right w:val="single" w:color="auto" w:sz="4" w:space="0"/>
            </w:tcBorders>
            <w:vAlign w:val="center"/>
          </w:tcPr>
          <w:p w14:paraId="459779A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1C2BAF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经过防雷检测，有检测报告，见附件。</w:t>
            </w:r>
          </w:p>
        </w:tc>
      </w:tr>
      <w:tr w14:paraId="0B28D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2FC887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5D1A8D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619377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加油站内设置的经营性餐饮、汽车服务等非站房所属建筑物和设施不应布置在加油作业区内。</w:t>
            </w:r>
          </w:p>
        </w:tc>
        <w:tc>
          <w:tcPr>
            <w:tcW w:w="843" w:type="dxa"/>
            <w:tcBorders>
              <w:top w:val="single" w:color="auto" w:sz="4" w:space="0"/>
              <w:left w:val="single" w:color="auto" w:sz="4" w:space="0"/>
              <w:bottom w:val="single" w:color="auto" w:sz="4" w:space="0"/>
              <w:right w:val="single" w:color="auto" w:sz="4" w:space="0"/>
            </w:tcBorders>
            <w:vAlign w:val="center"/>
          </w:tcPr>
          <w:p w14:paraId="6DD38AE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77C066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站内无经营性餐饮、汽车服务等设施。</w:t>
            </w:r>
          </w:p>
        </w:tc>
      </w:tr>
      <w:tr w14:paraId="6FD77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DDC5E6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84D57D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2471C3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（4）加油站内厨房等有明火设备的房间与工艺设备之间的距离符合《汽车加油加气站设计与施工规范》表5.0.13的规定但小于或等于25m时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其朝向加油作业区的外墙应为无门窗洞口且耐火极限不低于3h的实体墙。</w:t>
            </w:r>
          </w:p>
        </w:tc>
        <w:tc>
          <w:tcPr>
            <w:tcW w:w="843" w:type="dxa"/>
            <w:tcBorders>
              <w:top w:val="single" w:color="auto" w:sz="4" w:space="0"/>
              <w:left w:val="single" w:color="auto" w:sz="4" w:space="0"/>
              <w:bottom w:val="single" w:color="auto" w:sz="4" w:space="0"/>
              <w:right w:val="single" w:color="auto" w:sz="4" w:space="0"/>
            </w:tcBorders>
            <w:vAlign w:val="center"/>
          </w:tcPr>
          <w:p w14:paraId="3B2E6D0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0D6FAB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无明火设施</w:t>
            </w:r>
          </w:p>
        </w:tc>
      </w:tr>
      <w:tr w14:paraId="4308B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52F6B7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BA96FB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FEF76A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（5）加油站内不应建地下室和半地下室。</w:t>
            </w:r>
          </w:p>
        </w:tc>
        <w:tc>
          <w:tcPr>
            <w:tcW w:w="843" w:type="dxa"/>
            <w:tcBorders>
              <w:top w:val="single" w:color="auto" w:sz="4" w:space="0"/>
              <w:left w:val="single" w:color="auto" w:sz="4" w:space="0"/>
              <w:bottom w:val="single" w:color="auto" w:sz="4" w:space="0"/>
              <w:right w:val="single" w:color="auto" w:sz="4" w:space="0"/>
            </w:tcBorders>
            <w:vAlign w:val="center"/>
          </w:tcPr>
          <w:p w14:paraId="50B8E9C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A568DC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位于地上</w:t>
            </w:r>
          </w:p>
        </w:tc>
      </w:tr>
      <w:tr w14:paraId="364C3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282879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E59E3B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0B5D14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kern w:val="0"/>
              </w:rPr>
              <w:t>（6）</w:t>
            </w:r>
            <w:r>
              <w:rPr>
                <w:rFonts w:hint="eastAsia" w:ascii="Times New Roman" w:hAnsi="Times New Roman" w:eastAsia="宋" w:cs="Times New Roman"/>
                <w:bCs/>
                <w:color w:val="auto"/>
              </w:rPr>
              <w:t>加油站作业区内不得种植油性植物。</w:t>
            </w:r>
          </w:p>
        </w:tc>
        <w:tc>
          <w:tcPr>
            <w:tcW w:w="843" w:type="dxa"/>
            <w:tcBorders>
              <w:top w:val="single" w:color="auto" w:sz="4" w:space="0"/>
              <w:left w:val="single" w:color="auto" w:sz="4" w:space="0"/>
              <w:bottom w:val="single" w:color="auto" w:sz="4" w:space="0"/>
              <w:right w:val="single" w:color="auto" w:sz="4" w:space="0"/>
            </w:tcBorders>
            <w:vAlign w:val="center"/>
          </w:tcPr>
          <w:p w14:paraId="6839EAF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ED7C8F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作业区无油性植物</w:t>
            </w:r>
          </w:p>
        </w:tc>
      </w:tr>
      <w:tr w14:paraId="5CD3D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2CED438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4E30A9F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50A1375">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kern w:val="0"/>
              </w:rPr>
              <w:t>（7</w:t>
            </w:r>
            <w:r>
              <w:rPr>
                <w:rFonts w:hint="eastAsia" w:ascii="Times New Roman" w:hAnsi="Times New Roman" w:eastAsia="宋" w:cs="Times New Roman"/>
                <w:bCs/>
                <w:color w:val="auto"/>
                <w:kern w:val="0"/>
                <w:lang w:eastAsia="zh-CN"/>
              </w:rPr>
              <w:t>）</w:t>
            </w:r>
            <w:r>
              <w:rPr>
                <w:rFonts w:hint="eastAsia" w:ascii="Times New Roman" w:hAnsi="Times New Roman" w:eastAsia="宋" w:cs="Times New Roman"/>
                <w:bCs/>
                <w:color w:val="auto"/>
                <w:kern w:val="0"/>
              </w:rPr>
              <w:t>加油场地</w:t>
            </w:r>
            <w:r>
              <w:rPr>
                <w:rFonts w:hint="eastAsia" w:ascii="Times New Roman" w:hAnsi="Times New Roman" w:eastAsia="宋" w:cs="Times New Roman"/>
                <w:bCs/>
                <w:color w:val="auto"/>
              </w:rPr>
              <w:t>宜设罩棚</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罩棚应采用非燃烧材料建造</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其有效高度不应小于4.5m，罩棚遮盖加油机的平面投影距离不宜小于2m。</w:t>
            </w:r>
          </w:p>
        </w:tc>
        <w:tc>
          <w:tcPr>
            <w:tcW w:w="843" w:type="dxa"/>
            <w:tcBorders>
              <w:top w:val="single" w:color="auto" w:sz="4" w:space="0"/>
              <w:left w:val="single" w:color="auto" w:sz="4" w:space="0"/>
              <w:bottom w:val="single" w:color="auto" w:sz="4" w:space="0"/>
              <w:right w:val="single" w:color="auto" w:sz="4" w:space="0"/>
            </w:tcBorders>
            <w:vAlign w:val="center"/>
          </w:tcPr>
          <w:p w14:paraId="0355A30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2BD0AB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加油站罩棚遮盖加油机平面投影距离大于2m</w:t>
            </w:r>
          </w:p>
        </w:tc>
      </w:tr>
      <w:tr w14:paraId="05762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5020022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3</w:t>
            </w:r>
          </w:p>
        </w:tc>
        <w:tc>
          <w:tcPr>
            <w:tcW w:w="756" w:type="dxa"/>
            <w:vMerge w:val="restart"/>
            <w:tcBorders>
              <w:top w:val="single" w:color="auto" w:sz="4" w:space="0"/>
              <w:left w:val="single" w:color="auto" w:sz="4" w:space="0"/>
              <w:right w:val="single" w:color="auto" w:sz="4" w:space="0"/>
            </w:tcBorders>
            <w:vAlign w:val="center"/>
          </w:tcPr>
          <w:p w14:paraId="213561A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加油工艺与设施</w:t>
            </w:r>
          </w:p>
        </w:tc>
        <w:tc>
          <w:tcPr>
            <w:tcW w:w="5188" w:type="dxa"/>
            <w:tcBorders>
              <w:top w:val="single" w:color="auto" w:sz="4" w:space="0"/>
              <w:left w:val="single" w:color="auto" w:sz="4" w:space="0"/>
              <w:bottom w:val="single" w:color="auto" w:sz="4" w:space="0"/>
              <w:right w:val="single" w:color="auto" w:sz="4" w:space="0"/>
            </w:tcBorders>
            <w:vAlign w:val="center"/>
          </w:tcPr>
          <w:p w14:paraId="45EFA68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（1）除</w:t>
            </w:r>
            <w:r>
              <w:rPr>
                <w:rFonts w:hint="eastAsia" w:ascii="Times New Roman" w:hAnsi="Times New Roman" w:eastAsia="宋" w:cs="Times New Roman"/>
                <w:bCs/>
                <w:color w:val="auto"/>
                <w:lang w:eastAsia="zh-CN"/>
              </w:rPr>
              <w:t>撬装式</w:t>
            </w:r>
            <w:r>
              <w:rPr>
                <w:rFonts w:hint="eastAsia" w:ascii="Times New Roman" w:hAnsi="Times New Roman" w:eastAsia="宋" w:cs="Times New Roman"/>
                <w:bCs/>
                <w:color w:val="auto"/>
              </w:rPr>
              <w:t>加油装置所配置的防火防爆油罐外，加油站的汽油罐和柴油罐应埋地设置，严禁设在室内或地下室内。</w:t>
            </w:r>
          </w:p>
        </w:tc>
        <w:tc>
          <w:tcPr>
            <w:tcW w:w="843" w:type="dxa"/>
            <w:tcBorders>
              <w:top w:val="single" w:color="auto" w:sz="4" w:space="0"/>
              <w:left w:val="single" w:color="auto" w:sz="4" w:space="0"/>
              <w:bottom w:val="single" w:color="auto" w:sz="4" w:space="0"/>
              <w:right w:val="single" w:color="auto" w:sz="4" w:space="0"/>
            </w:tcBorders>
            <w:vAlign w:val="center"/>
          </w:tcPr>
          <w:p w14:paraId="5EC7788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904237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油罐采用埋地</w:t>
            </w:r>
          </w:p>
        </w:tc>
      </w:tr>
      <w:tr w14:paraId="6C4D6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F05E15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BEC7483">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BD4AAD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（2）埋地油罐是否采用双层罐，埋地油罐是否为合格产品，是否有生产厂商出具的合格证书或技术说明书等</w:t>
            </w:r>
          </w:p>
        </w:tc>
        <w:tc>
          <w:tcPr>
            <w:tcW w:w="843" w:type="dxa"/>
            <w:tcBorders>
              <w:top w:val="single" w:color="auto" w:sz="4" w:space="0"/>
              <w:left w:val="single" w:color="auto" w:sz="4" w:space="0"/>
              <w:bottom w:val="single" w:color="auto" w:sz="4" w:space="0"/>
              <w:right w:val="single" w:color="auto" w:sz="4" w:space="0"/>
            </w:tcBorders>
            <w:vAlign w:val="center"/>
          </w:tcPr>
          <w:p w14:paraId="7E72513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1D9271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采用SF双层储罐</w:t>
            </w:r>
          </w:p>
        </w:tc>
      </w:tr>
      <w:tr w14:paraId="5B0D9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C90B20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BEB44F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DB692F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（3）安装在罐内的静电消除物体是否有接地，接地电阻应符合《汽车加油加气站设计与施工规范》第11.2节的有关规定。</w:t>
            </w:r>
          </w:p>
        </w:tc>
        <w:tc>
          <w:tcPr>
            <w:tcW w:w="843" w:type="dxa"/>
            <w:tcBorders>
              <w:top w:val="single" w:color="auto" w:sz="4" w:space="0"/>
              <w:left w:val="single" w:color="auto" w:sz="4" w:space="0"/>
              <w:bottom w:val="single" w:color="auto" w:sz="4" w:space="0"/>
              <w:right w:val="single" w:color="auto" w:sz="4" w:space="0"/>
            </w:tcBorders>
            <w:vAlign w:val="center"/>
          </w:tcPr>
          <w:p w14:paraId="1CE2306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CDCA4E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静电消除物体已接地</w:t>
            </w:r>
          </w:p>
        </w:tc>
      </w:tr>
      <w:tr w14:paraId="31385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1AC81D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6703D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0FFFF5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（4）双层油罐内壁与外壁之间是否有满足渗漏检测要求的贯通间隙。是否设渗漏检测装置。</w:t>
            </w:r>
          </w:p>
        </w:tc>
        <w:tc>
          <w:tcPr>
            <w:tcW w:w="843" w:type="dxa"/>
            <w:tcBorders>
              <w:top w:val="single" w:color="auto" w:sz="4" w:space="0"/>
              <w:left w:val="single" w:color="auto" w:sz="4" w:space="0"/>
              <w:bottom w:val="single" w:color="auto" w:sz="4" w:space="0"/>
              <w:right w:val="single" w:color="auto" w:sz="4" w:space="0"/>
            </w:tcBorders>
            <w:vAlign w:val="center"/>
          </w:tcPr>
          <w:p w14:paraId="2C802FC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AD7A44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SF双层储罐</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lang w:val="en-US" w:eastAsia="zh-CN"/>
              </w:rPr>
              <w:t>有泄漏检测仪</w:t>
            </w:r>
            <w:r>
              <w:rPr>
                <w:rFonts w:hint="eastAsia" w:ascii="Times New Roman" w:hAnsi="Times New Roman" w:eastAsia="宋" w:cs="Times New Roman"/>
                <w:bCs/>
                <w:color w:val="auto"/>
              </w:rPr>
              <w:t>。</w:t>
            </w:r>
          </w:p>
        </w:tc>
      </w:tr>
      <w:tr w14:paraId="4948D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58" w:type="dxa"/>
            <w:vMerge w:val="continue"/>
            <w:tcBorders>
              <w:left w:val="single" w:color="auto" w:sz="12" w:space="0"/>
              <w:right w:val="single" w:color="auto" w:sz="4" w:space="0"/>
            </w:tcBorders>
            <w:vAlign w:val="center"/>
          </w:tcPr>
          <w:p w14:paraId="33AEB57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898A51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6498595">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（5）油罐底部应配置积水排除设备。</w:t>
            </w:r>
          </w:p>
        </w:tc>
        <w:tc>
          <w:tcPr>
            <w:tcW w:w="843" w:type="dxa"/>
            <w:tcBorders>
              <w:top w:val="single" w:color="auto" w:sz="4" w:space="0"/>
              <w:left w:val="single" w:color="auto" w:sz="4" w:space="0"/>
              <w:bottom w:val="single" w:color="auto" w:sz="4" w:space="0"/>
              <w:right w:val="single" w:color="auto" w:sz="4" w:space="0"/>
            </w:tcBorders>
            <w:vAlign w:val="center"/>
          </w:tcPr>
          <w:p w14:paraId="3D22170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CA1FF7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有积水排出设施</w:t>
            </w:r>
          </w:p>
        </w:tc>
      </w:tr>
      <w:tr w14:paraId="58654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554F0B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32FFE3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78BB796">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（6）油罐的人孔，应设操作井</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油罐操作井口应有防雨盖板</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储罐人孔、量油孔、卸油快速接头、管线法兰等处应密封良好，不得造成水汽侵入。</w:t>
            </w:r>
          </w:p>
        </w:tc>
        <w:tc>
          <w:tcPr>
            <w:tcW w:w="843" w:type="dxa"/>
            <w:tcBorders>
              <w:top w:val="single" w:color="auto" w:sz="4" w:space="0"/>
              <w:left w:val="single" w:color="auto" w:sz="4" w:space="0"/>
              <w:bottom w:val="single" w:color="auto" w:sz="4" w:space="0"/>
              <w:right w:val="single" w:color="auto" w:sz="4" w:space="0"/>
            </w:tcBorders>
            <w:vAlign w:val="center"/>
          </w:tcPr>
          <w:p w14:paraId="00118AA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EC726B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油罐有操作井</w:t>
            </w:r>
          </w:p>
        </w:tc>
      </w:tr>
      <w:tr w14:paraId="62754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2194F6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0170E5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BCF4D6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（7）加油机不得设置在室内。</w:t>
            </w:r>
          </w:p>
        </w:tc>
        <w:tc>
          <w:tcPr>
            <w:tcW w:w="843" w:type="dxa"/>
            <w:tcBorders>
              <w:top w:val="single" w:color="auto" w:sz="4" w:space="0"/>
              <w:left w:val="single" w:color="auto" w:sz="4" w:space="0"/>
              <w:bottom w:val="single" w:color="auto" w:sz="4" w:space="0"/>
              <w:right w:val="single" w:color="auto" w:sz="4" w:space="0"/>
            </w:tcBorders>
            <w:vAlign w:val="center"/>
          </w:tcPr>
          <w:p w14:paraId="7187815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D706D7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加油机位于站房外</w:t>
            </w:r>
          </w:p>
        </w:tc>
      </w:tr>
      <w:tr w14:paraId="01E47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DF011C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3DF876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AF9291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（8）以潜油泵供油的加油机</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其底部的供油管道上应设剪切阀。</w:t>
            </w:r>
          </w:p>
        </w:tc>
        <w:tc>
          <w:tcPr>
            <w:tcW w:w="843" w:type="dxa"/>
            <w:tcBorders>
              <w:top w:val="single" w:color="auto" w:sz="4" w:space="0"/>
              <w:left w:val="single" w:color="auto" w:sz="4" w:space="0"/>
              <w:bottom w:val="single" w:color="auto" w:sz="4" w:space="0"/>
              <w:right w:val="single" w:color="auto" w:sz="4" w:space="0"/>
            </w:tcBorders>
            <w:vAlign w:val="center"/>
          </w:tcPr>
          <w:p w14:paraId="4870288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278C9F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供油管道上有剪切阀</w:t>
            </w:r>
          </w:p>
        </w:tc>
      </w:tr>
      <w:tr w14:paraId="6CE505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03958A7">
            <w:pPr>
              <w:autoSpaceDE w:val="0"/>
              <w:spacing w:line="260" w:lineRule="exact"/>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CCA1D9C">
            <w:pPr>
              <w:autoSpaceDE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E65F90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（9）加油枪应采用自封式加油枪，汽油加油枪的流量不应大于50L/min。</w:t>
            </w:r>
          </w:p>
        </w:tc>
        <w:tc>
          <w:tcPr>
            <w:tcW w:w="843" w:type="dxa"/>
            <w:tcBorders>
              <w:top w:val="single" w:color="auto" w:sz="4" w:space="0"/>
              <w:left w:val="single" w:color="auto" w:sz="4" w:space="0"/>
              <w:bottom w:val="single" w:color="auto" w:sz="4" w:space="0"/>
              <w:right w:val="single" w:color="auto" w:sz="4" w:space="0"/>
            </w:tcBorders>
            <w:vAlign w:val="center"/>
          </w:tcPr>
          <w:p w14:paraId="6463BC2F">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98E19D5">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加油枪流量5-50 L/min</w:t>
            </w:r>
          </w:p>
        </w:tc>
      </w:tr>
      <w:tr w14:paraId="0E6D2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15536AE">
            <w:pPr>
              <w:autoSpaceDE w:val="0"/>
              <w:spacing w:line="260" w:lineRule="exact"/>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634D6AF">
            <w:pPr>
              <w:autoSpaceDE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71EB38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（10）加油软管上宜设安全拉断阀。</w:t>
            </w:r>
          </w:p>
        </w:tc>
        <w:tc>
          <w:tcPr>
            <w:tcW w:w="843" w:type="dxa"/>
            <w:tcBorders>
              <w:top w:val="single" w:color="auto" w:sz="4" w:space="0"/>
              <w:left w:val="single" w:color="auto" w:sz="4" w:space="0"/>
              <w:bottom w:val="single" w:color="auto" w:sz="4" w:space="0"/>
              <w:right w:val="single" w:color="auto" w:sz="4" w:space="0"/>
            </w:tcBorders>
            <w:vAlign w:val="center"/>
          </w:tcPr>
          <w:p w14:paraId="6E0B1C6A">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612B175">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加油软管有拉断阀</w:t>
            </w:r>
          </w:p>
        </w:tc>
      </w:tr>
      <w:tr w14:paraId="53201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12CD5E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C6FAD5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D2FFAA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（11）油罐车卸油须采用密闭卸油方式。各油罐应各自设置卸油管道和卸油口。各卸油口应有明显标识。</w:t>
            </w:r>
          </w:p>
        </w:tc>
        <w:tc>
          <w:tcPr>
            <w:tcW w:w="843" w:type="dxa"/>
            <w:tcBorders>
              <w:top w:val="single" w:color="auto" w:sz="4" w:space="0"/>
              <w:left w:val="single" w:color="auto" w:sz="4" w:space="0"/>
              <w:bottom w:val="single" w:color="auto" w:sz="4" w:space="0"/>
              <w:right w:val="single" w:color="auto" w:sz="4" w:space="0"/>
            </w:tcBorders>
            <w:vAlign w:val="center"/>
          </w:tcPr>
          <w:p w14:paraId="1CE9D5F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hint="eastAsia" w:ascii="Times New Roman" w:hAnsi="Times New Roman" w:eastAsia="宋" w:cs="Segoe UI Symbol"/>
                <w:bCs/>
                <w:color w:val="auto"/>
              </w:rPr>
              <w:t>□</w:t>
            </w:r>
          </w:p>
        </w:tc>
        <w:tc>
          <w:tcPr>
            <w:tcW w:w="1700" w:type="dxa"/>
            <w:tcBorders>
              <w:top w:val="single" w:color="auto" w:sz="4" w:space="0"/>
              <w:left w:val="single" w:color="auto" w:sz="4" w:space="0"/>
              <w:bottom w:val="single" w:color="auto" w:sz="4" w:space="0"/>
              <w:right w:val="single" w:color="auto" w:sz="12" w:space="0"/>
            </w:tcBorders>
            <w:vAlign w:val="center"/>
          </w:tcPr>
          <w:p w14:paraId="2D11F40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采用密闭卸油，卸油口设有油品标识。</w:t>
            </w:r>
          </w:p>
        </w:tc>
      </w:tr>
      <w:tr w14:paraId="034B3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B04FDB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B6783D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072931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（12）汽油油罐车应具有卸油油气回收系统。</w:t>
            </w:r>
          </w:p>
        </w:tc>
        <w:tc>
          <w:tcPr>
            <w:tcW w:w="843" w:type="dxa"/>
            <w:tcBorders>
              <w:top w:val="single" w:color="auto" w:sz="4" w:space="0"/>
              <w:left w:val="single" w:color="auto" w:sz="4" w:space="0"/>
              <w:bottom w:val="single" w:color="auto" w:sz="4" w:space="0"/>
              <w:right w:val="single" w:color="auto" w:sz="4" w:space="0"/>
            </w:tcBorders>
            <w:vAlign w:val="center"/>
          </w:tcPr>
          <w:p w14:paraId="4BE313C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747F44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有油气回收系统</w:t>
            </w:r>
          </w:p>
        </w:tc>
      </w:tr>
      <w:tr w14:paraId="174DC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44653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9E1A56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1A0865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（13）卸油接口应装快速接头及密封盖。</w:t>
            </w:r>
          </w:p>
        </w:tc>
        <w:tc>
          <w:tcPr>
            <w:tcW w:w="843" w:type="dxa"/>
            <w:tcBorders>
              <w:top w:val="single" w:color="auto" w:sz="4" w:space="0"/>
              <w:left w:val="single" w:color="auto" w:sz="4" w:space="0"/>
              <w:bottom w:val="single" w:color="auto" w:sz="4" w:space="0"/>
              <w:right w:val="single" w:color="auto" w:sz="4" w:space="0"/>
            </w:tcBorders>
            <w:vAlign w:val="center"/>
          </w:tcPr>
          <w:p w14:paraId="543D4EB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7A9606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卸油口有快速接头及密封盖</w:t>
            </w:r>
          </w:p>
        </w:tc>
      </w:tr>
      <w:tr w14:paraId="3020C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A019FB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1B14E4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9A7D5B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 （14）油罐卸油是否采取防满溢措施，是否设置液位超高报警、高高联锁装置。油料达到油罐容量的90%时，应能触动高液位报警装置；油料达到油罐容量的95%时，应能自动停止油料继续进罐。高液位报警装置应位于工作人员便于觉察的地点。</w:t>
            </w:r>
          </w:p>
        </w:tc>
        <w:tc>
          <w:tcPr>
            <w:tcW w:w="843" w:type="dxa"/>
            <w:tcBorders>
              <w:top w:val="single" w:color="auto" w:sz="4" w:space="0"/>
              <w:left w:val="single" w:color="auto" w:sz="4" w:space="0"/>
              <w:bottom w:val="single" w:color="auto" w:sz="4" w:space="0"/>
              <w:right w:val="single" w:color="auto" w:sz="4" w:space="0"/>
            </w:tcBorders>
            <w:vAlign w:val="center"/>
          </w:tcPr>
          <w:p w14:paraId="13EC642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12D8D3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有油罐液位监测和报警装置</w:t>
            </w:r>
          </w:p>
        </w:tc>
      </w:tr>
      <w:tr w14:paraId="6F7D2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7AB78B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05CF12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789C5E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（15）汽油罐与柴油罐的通气管</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应分开设置，管口应高出地面4m及以上。</w:t>
            </w:r>
          </w:p>
        </w:tc>
        <w:tc>
          <w:tcPr>
            <w:tcW w:w="843" w:type="dxa"/>
            <w:tcBorders>
              <w:top w:val="single" w:color="auto" w:sz="4" w:space="0"/>
              <w:left w:val="single" w:color="auto" w:sz="4" w:space="0"/>
              <w:bottom w:val="single" w:color="auto" w:sz="4" w:space="0"/>
              <w:right w:val="single" w:color="auto" w:sz="4" w:space="0"/>
            </w:tcBorders>
            <w:vAlign w:val="center"/>
          </w:tcPr>
          <w:p w14:paraId="2354B67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697D1A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柴油、汽油罐通气管分开设置</w:t>
            </w:r>
          </w:p>
        </w:tc>
      </w:tr>
      <w:tr w14:paraId="07179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E74787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834BB3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C25F0F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（16）通气管的公称直径不应小于50mm；通气管管口应安装阻火器。</w:t>
            </w:r>
          </w:p>
        </w:tc>
        <w:tc>
          <w:tcPr>
            <w:tcW w:w="843" w:type="dxa"/>
            <w:tcBorders>
              <w:top w:val="single" w:color="auto" w:sz="4" w:space="0"/>
              <w:left w:val="single" w:color="auto" w:sz="4" w:space="0"/>
              <w:bottom w:val="single" w:color="auto" w:sz="4" w:space="0"/>
              <w:right w:val="single" w:color="auto" w:sz="4" w:space="0"/>
            </w:tcBorders>
            <w:vAlign w:val="center"/>
          </w:tcPr>
          <w:p w14:paraId="7F35552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E76B78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通气管直径50mm</w:t>
            </w:r>
          </w:p>
        </w:tc>
      </w:tr>
      <w:tr w14:paraId="6F301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91733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80169C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CBA3C8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（17）加油站应采用加油油气回收系统。当加油站采用油气回收系统时，汽油罐的通气管管口除应装设阻火器外，尚应装设呼吸阀。呼吸阀的工作正压宜为2kPa～3kPa，工作负压宜为1.5kPa~2kPa。</w:t>
            </w:r>
          </w:p>
        </w:tc>
        <w:tc>
          <w:tcPr>
            <w:tcW w:w="843" w:type="dxa"/>
            <w:tcBorders>
              <w:top w:val="single" w:color="auto" w:sz="4" w:space="0"/>
              <w:left w:val="single" w:color="auto" w:sz="4" w:space="0"/>
              <w:bottom w:val="single" w:color="auto" w:sz="4" w:space="0"/>
              <w:right w:val="single" w:color="auto" w:sz="4" w:space="0"/>
            </w:tcBorders>
            <w:vAlign w:val="center"/>
          </w:tcPr>
          <w:p w14:paraId="027DE6A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7676BE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通气管装设有阻火器，汽油通气管还设置呼吸阀</w:t>
            </w:r>
          </w:p>
        </w:tc>
      </w:tr>
      <w:tr w14:paraId="4E6DD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936A288">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96EE0D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D7E12A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（18）加油站内的工艺管道除必须露出地面的以外，均应埋地敷设。当采用管沟敷设时，管沟必须用中性沙子或细土填满，填实。</w:t>
            </w:r>
          </w:p>
        </w:tc>
        <w:tc>
          <w:tcPr>
            <w:tcW w:w="843" w:type="dxa"/>
            <w:tcBorders>
              <w:top w:val="single" w:color="auto" w:sz="4" w:space="0"/>
              <w:left w:val="single" w:color="auto" w:sz="4" w:space="0"/>
              <w:bottom w:val="single" w:color="auto" w:sz="4" w:space="0"/>
              <w:right w:val="single" w:color="auto" w:sz="4" w:space="0"/>
            </w:tcBorders>
            <w:vAlign w:val="center"/>
          </w:tcPr>
          <w:p w14:paraId="27D7D23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4CD01C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采用埋地敷设</w:t>
            </w:r>
          </w:p>
        </w:tc>
      </w:tr>
      <w:tr w14:paraId="230DF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59FB68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B97D96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C44965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（19）工艺管道不应穿过或跨越站房等与其无直接关系的建（构）筑物；与管沟、电缆沟和排水沟相交叉时，应采取相应的防护措施。</w:t>
            </w:r>
          </w:p>
        </w:tc>
        <w:tc>
          <w:tcPr>
            <w:tcW w:w="843" w:type="dxa"/>
            <w:tcBorders>
              <w:top w:val="single" w:color="auto" w:sz="4" w:space="0"/>
              <w:left w:val="single" w:color="auto" w:sz="4" w:space="0"/>
              <w:bottom w:val="single" w:color="auto" w:sz="4" w:space="0"/>
              <w:right w:val="single" w:color="auto" w:sz="4" w:space="0"/>
            </w:tcBorders>
            <w:vAlign w:val="center"/>
          </w:tcPr>
          <w:p w14:paraId="40456B1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E3C5C6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未穿过无关建构筑物</w:t>
            </w:r>
          </w:p>
        </w:tc>
      </w:tr>
      <w:tr w14:paraId="5FD0D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4235329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6C4A374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839180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（20）</w:t>
            </w:r>
            <w:r>
              <w:rPr>
                <w:rFonts w:hint="eastAsia" w:ascii="Times New Roman" w:hAnsi="Times New Roman" w:eastAsia="宋" w:cs="Times New Roman"/>
                <w:bCs/>
                <w:color w:val="auto"/>
                <w:lang w:eastAsia="zh-CN"/>
              </w:rPr>
              <w:t>撬装式</w:t>
            </w:r>
            <w:r>
              <w:rPr>
                <w:rFonts w:hint="eastAsia" w:ascii="Times New Roman" w:hAnsi="Times New Roman" w:eastAsia="宋" w:cs="Times New Roman"/>
                <w:bCs/>
                <w:color w:val="auto"/>
              </w:rPr>
              <w:t>加油装置不得用于企业自用、临时或特定场所之外的场所，并应单独建站。采用橇装式加油装置的加油站，其设计与安装应符合现行行业标准《采用橇装式加油装置的汽车加油站技术规范》SH/T3134和《汽车加油加气站设计与施工规范》第6.4节的有关规定。</w:t>
            </w:r>
          </w:p>
        </w:tc>
        <w:tc>
          <w:tcPr>
            <w:tcW w:w="843" w:type="dxa"/>
            <w:tcBorders>
              <w:top w:val="single" w:color="auto" w:sz="4" w:space="0"/>
              <w:left w:val="single" w:color="auto" w:sz="4" w:space="0"/>
              <w:bottom w:val="single" w:color="auto" w:sz="4" w:space="0"/>
              <w:right w:val="single" w:color="auto" w:sz="4" w:space="0"/>
            </w:tcBorders>
            <w:vAlign w:val="center"/>
          </w:tcPr>
          <w:p w14:paraId="7D3C969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AE8583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76CCD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0E38D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4</w:t>
            </w:r>
          </w:p>
        </w:tc>
        <w:tc>
          <w:tcPr>
            <w:tcW w:w="756" w:type="dxa"/>
            <w:vMerge w:val="restart"/>
            <w:tcBorders>
              <w:top w:val="single" w:color="auto" w:sz="4" w:space="0"/>
              <w:left w:val="single" w:color="auto" w:sz="4" w:space="0"/>
              <w:right w:val="single" w:color="auto" w:sz="4" w:space="0"/>
            </w:tcBorders>
            <w:vAlign w:val="center"/>
          </w:tcPr>
          <w:p w14:paraId="5529889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电气安全</w:t>
            </w:r>
          </w:p>
        </w:tc>
        <w:tc>
          <w:tcPr>
            <w:tcW w:w="5188" w:type="dxa"/>
            <w:tcBorders>
              <w:top w:val="single" w:color="auto" w:sz="4" w:space="0"/>
              <w:left w:val="single" w:color="auto" w:sz="4" w:space="0"/>
              <w:bottom w:val="single" w:color="auto" w:sz="4" w:space="0"/>
              <w:right w:val="single" w:color="auto" w:sz="4" w:space="0"/>
            </w:tcBorders>
            <w:vAlign w:val="center"/>
          </w:tcPr>
          <w:p w14:paraId="17785F3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spacing w:val="-11"/>
              </w:rPr>
              <w:t>（1）加油站的消防泵房、罩棚、营业室、LPG泵房、压缩机间等处均应设应急照明，连续供电时间不应少于90min。</w:t>
            </w:r>
          </w:p>
        </w:tc>
        <w:tc>
          <w:tcPr>
            <w:tcW w:w="843" w:type="dxa"/>
            <w:tcBorders>
              <w:top w:val="single" w:color="auto" w:sz="4" w:space="0"/>
              <w:left w:val="single" w:color="auto" w:sz="4" w:space="0"/>
              <w:bottom w:val="single" w:color="auto" w:sz="4" w:space="0"/>
              <w:right w:val="single" w:color="auto" w:sz="4" w:space="0"/>
            </w:tcBorders>
            <w:vAlign w:val="center"/>
          </w:tcPr>
          <w:p w14:paraId="7735E49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98CDE7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按要求设置应急照明</w:t>
            </w:r>
          </w:p>
        </w:tc>
      </w:tr>
      <w:tr w14:paraId="0AACA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69D2C4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4B633C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9D1F0E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w:t>
            </w:r>
            <w:r>
              <w:rPr>
                <w:rFonts w:hint="eastAsia" w:ascii="Times New Roman" w:hAnsi="Times New Roman" w:eastAsia="宋" w:cs="Times New Roman"/>
                <w:bCs/>
                <w:color w:val="auto"/>
                <w:spacing w:val="-2"/>
              </w:rPr>
              <w:t>用外电源有困难时，加油站可设置小型内燃发电机组，内燃机的排烟管口</w:t>
            </w:r>
            <w:r>
              <w:rPr>
                <w:rFonts w:hint="eastAsia" w:ascii="Times New Roman" w:hAnsi="Times New Roman" w:eastAsia="宋" w:cs="Times New Roman"/>
                <w:bCs/>
                <w:color w:val="auto"/>
                <w:spacing w:val="-2"/>
                <w:lang w:eastAsia="zh-CN"/>
              </w:rPr>
              <w:t>，</w:t>
            </w:r>
            <w:r>
              <w:rPr>
                <w:rFonts w:hint="eastAsia" w:ascii="Times New Roman" w:hAnsi="Times New Roman" w:eastAsia="宋" w:cs="Times New Roman"/>
                <w:bCs/>
                <w:color w:val="auto"/>
                <w:spacing w:val="-2"/>
              </w:rPr>
              <w:t>应安装阻火器。</w:t>
            </w:r>
          </w:p>
        </w:tc>
        <w:tc>
          <w:tcPr>
            <w:tcW w:w="843" w:type="dxa"/>
            <w:tcBorders>
              <w:top w:val="single" w:color="auto" w:sz="4" w:space="0"/>
              <w:left w:val="single" w:color="auto" w:sz="4" w:space="0"/>
              <w:bottom w:val="single" w:color="auto" w:sz="4" w:space="0"/>
              <w:right w:val="single" w:color="auto" w:sz="4" w:space="0"/>
            </w:tcBorders>
            <w:vAlign w:val="center"/>
          </w:tcPr>
          <w:p w14:paraId="42CC0FC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2093E6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未设置发电机</w:t>
            </w:r>
          </w:p>
        </w:tc>
      </w:tr>
      <w:tr w14:paraId="12B29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468B8F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BF76BA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6C67E5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（3）内燃机的排烟口高出地面4.5m以下时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排烟管口到各爆炸危险区域边界的水平距离不应小于5m；排烟口高出地面4.5m及以上时不应小于3m。</w:t>
            </w:r>
          </w:p>
        </w:tc>
        <w:tc>
          <w:tcPr>
            <w:tcW w:w="843" w:type="dxa"/>
            <w:tcBorders>
              <w:top w:val="single" w:color="auto" w:sz="4" w:space="0"/>
              <w:left w:val="single" w:color="auto" w:sz="4" w:space="0"/>
              <w:bottom w:val="single" w:color="auto" w:sz="4" w:space="0"/>
              <w:right w:val="single" w:color="auto" w:sz="4" w:space="0"/>
            </w:tcBorders>
          </w:tcPr>
          <w:p w14:paraId="5B2E7F1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39BCF4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66259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D8A710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A70768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1928DE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（4）汽油罐车卸车场地，应设罐车卸车时用的防静电接地装置。</w:t>
            </w:r>
          </w:p>
        </w:tc>
        <w:tc>
          <w:tcPr>
            <w:tcW w:w="843" w:type="dxa"/>
            <w:tcBorders>
              <w:top w:val="single" w:color="auto" w:sz="4" w:space="0"/>
              <w:left w:val="single" w:color="auto" w:sz="4" w:space="0"/>
              <w:bottom w:val="single" w:color="auto" w:sz="4" w:space="0"/>
              <w:right w:val="single" w:color="auto" w:sz="4" w:space="0"/>
            </w:tcBorders>
          </w:tcPr>
          <w:p w14:paraId="640D14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0542C4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卸车区有静电夹</w:t>
            </w:r>
          </w:p>
        </w:tc>
      </w:tr>
      <w:tr w14:paraId="3C607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96C7D3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7FA582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9A6103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（5）在爆炸危险区域工艺管道上的法兰、胶管两端等连接处，应用金属线跨接。当法兰的连接螺栓不少于5根时，在非腐蚀环境下可不跨接。</w:t>
            </w:r>
          </w:p>
        </w:tc>
        <w:tc>
          <w:tcPr>
            <w:tcW w:w="843" w:type="dxa"/>
            <w:tcBorders>
              <w:top w:val="single" w:color="auto" w:sz="4" w:space="0"/>
              <w:left w:val="single" w:color="auto" w:sz="4" w:space="0"/>
              <w:bottom w:val="single" w:color="auto" w:sz="4" w:space="0"/>
              <w:right w:val="single" w:color="auto" w:sz="4" w:space="0"/>
            </w:tcBorders>
            <w:vAlign w:val="center"/>
          </w:tcPr>
          <w:p w14:paraId="0B39BC5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C49CA5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卸油口管道法兰有静电跨接线</w:t>
            </w:r>
          </w:p>
        </w:tc>
      </w:tr>
      <w:tr w14:paraId="5A9C8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3100A78">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AD1C223">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6AA829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（6）爆炸危险区域内的电气设备选型、安装、电力线路敷设应符合现行国家标准《爆炸危险环境电力装置设计规范》GB50058的有关规定。</w:t>
            </w:r>
          </w:p>
        </w:tc>
        <w:tc>
          <w:tcPr>
            <w:tcW w:w="843" w:type="dxa"/>
            <w:tcBorders>
              <w:top w:val="single" w:color="auto" w:sz="4" w:space="0"/>
              <w:left w:val="single" w:color="auto" w:sz="4" w:space="0"/>
              <w:bottom w:val="single" w:color="auto" w:sz="4" w:space="0"/>
              <w:right w:val="single" w:color="auto" w:sz="4" w:space="0"/>
            </w:tcBorders>
            <w:vAlign w:val="center"/>
          </w:tcPr>
          <w:p w14:paraId="6FEA552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DC13CF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w:t>
            </w:r>
          </w:p>
        </w:tc>
      </w:tr>
      <w:tr w14:paraId="042DD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983A13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453F133">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FF98C5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（7）加油站内爆炸危险区域以外的照明灯具可选用非防爆型。罩棚下处于非爆炸危险区域的灯具应选用防护等级不低于IP44级的照明灯具。</w:t>
            </w:r>
          </w:p>
        </w:tc>
        <w:tc>
          <w:tcPr>
            <w:tcW w:w="843" w:type="dxa"/>
            <w:tcBorders>
              <w:top w:val="single" w:color="auto" w:sz="4" w:space="0"/>
              <w:left w:val="single" w:color="auto" w:sz="4" w:space="0"/>
              <w:bottom w:val="single" w:color="auto" w:sz="4" w:space="0"/>
              <w:right w:val="single" w:color="auto" w:sz="4" w:space="0"/>
            </w:tcBorders>
            <w:vAlign w:val="center"/>
          </w:tcPr>
          <w:p w14:paraId="11D916E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EB7776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按要求选用灯具</w:t>
            </w:r>
          </w:p>
        </w:tc>
      </w:tr>
      <w:tr w14:paraId="09146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E545F3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6C3CBA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2513D7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（8）当采用电缆沟敷设电缆时，加油作业区内的电缆沟内必须充沙填实，电缆不得与油品管道及热力管道敷设在同一沟内。</w:t>
            </w:r>
          </w:p>
        </w:tc>
        <w:tc>
          <w:tcPr>
            <w:tcW w:w="843" w:type="dxa"/>
            <w:tcBorders>
              <w:top w:val="single" w:color="auto" w:sz="4" w:space="0"/>
              <w:left w:val="single" w:color="auto" w:sz="4" w:space="0"/>
              <w:bottom w:val="single" w:color="auto" w:sz="4" w:space="0"/>
              <w:right w:val="single" w:color="auto" w:sz="4" w:space="0"/>
            </w:tcBorders>
            <w:vAlign w:val="center"/>
          </w:tcPr>
          <w:p w14:paraId="4043307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313064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电缆沟填充沙子</w:t>
            </w:r>
          </w:p>
        </w:tc>
      </w:tr>
      <w:tr w14:paraId="79746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682803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060C65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DC4242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（9）钢制油罐必须进行防雷接地，接地点不应少于两处。</w:t>
            </w:r>
          </w:p>
        </w:tc>
        <w:tc>
          <w:tcPr>
            <w:tcW w:w="843" w:type="dxa"/>
            <w:tcBorders>
              <w:top w:val="single" w:color="auto" w:sz="4" w:space="0"/>
              <w:left w:val="single" w:color="auto" w:sz="4" w:space="0"/>
              <w:bottom w:val="single" w:color="auto" w:sz="4" w:space="0"/>
              <w:right w:val="single" w:color="auto" w:sz="4" w:space="0"/>
            </w:tcBorders>
            <w:vAlign w:val="center"/>
          </w:tcPr>
          <w:p w14:paraId="6A4A235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461A98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油罐有防雷接地</w:t>
            </w:r>
          </w:p>
        </w:tc>
      </w:tr>
      <w:tr w14:paraId="4A6A6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0ACAC6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450B23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BC3E78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（10）加油站的防雷接地、防静电接地、电气设备的工作接地、保护接地及信息系统的接地等宜共用接地装置，接地电阻不应大于4Ω。</w:t>
            </w:r>
          </w:p>
        </w:tc>
        <w:tc>
          <w:tcPr>
            <w:tcW w:w="843" w:type="dxa"/>
            <w:tcBorders>
              <w:top w:val="single" w:color="auto" w:sz="4" w:space="0"/>
              <w:left w:val="single" w:color="auto" w:sz="4" w:space="0"/>
              <w:bottom w:val="single" w:color="auto" w:sz="4" w:space="0"/>
              <w:right w:val="single" w:color="auto" w:sz="4" w:space="0"/>
            </w:tcBorders>
            <w:vAlign w:val="center"/>
          </w:tcPr>
          <w:p w14:paraId="2F4E0F5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0F97EC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有防雷检测报告，符合</w:t>
            </w:r>
          </w:p>
        </w:tc>
      </w:tr>
      <w:tr w14:paraId="5BED0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462DE2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9EDF70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80B460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（11）埋地钢制油罐的金属部件和罐内的各金属部件，必须与非埋地部分的工艺金属管道相互做电气连接并接地。</w:t>
            </w:r>
          </w:p>
        </w:tc>
        <w:tc>
          <w:tcPr>
            <w:tcW w:w="843" w:type="dxa"/>
            <w:tcBorders>
              <w:top w:val="single" w:color="auto" w:sz="4" w:space="0"/>
              <w:left w:val="single" w:color="auto" w:sz="4" w:space="0"/>
              <w:bottom w:val="single" w:color="auto" w:sz="4" w:space="0"/>
              <w:right w:val="single" w:color="auto" w:sz="4" w:space="0"/>
            </w:tcBorders>
            <w:vAlign w:val="center"/>
          </w:tcPr>
          <w:p w14:paraId="7639DB1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C174C1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均可靠接地</w:t>
            </w:r>
          </w:p>
        </w:tc>
      </w:tr>
      <w:tr w14:paraId="6111F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4BE5AB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32467F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FFBCA9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（12）当加油站内的站房和罩棚等建筑物需要防直击雷时，应采用接闪带（网）保护。当罩棚采用金属屋面时，宜利用屋面作为接闪器，但应符合下列规定：</w:t>
            </w:r>
          </w:p>
          <w:p w14:paraId="13EB47C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1.板间的连接应是持久的电气贯通，可采用铜锌合金焊、熔焊、卷边压接、缝接、螺钉或螺栓连接；</w:t>
            </w:r>
          </w:p>
          <w:p w14:paraId="5C8AA67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2.金属板下面不应有易燃物品，热镀锌钢板的厚度不应小于0.5mm，铝板的厚度不应小于0.65mm，锌板的厚度不应小于0.7mm；3.金属板应无绝缘被覆层。</w:t>
            </w:r>
          </w:p>
        </w:tc>
        <w:tc>
          <w:tcPr>
            <w:tcW w:w="843" w:type="dxa"/>
            <w:tcBorders>
              <w:top w:val="single" w:color="auto" w:sz="4" w:space="0"/>
              <w:left w:val="single" w:color="auto" w:sz="4" w:space="0"/>
              <w:bottom w:val="single" w:color="auto" w:sz="4" w:space="0"/>
              <w:right w:val="single" w:color="auto" w:sz="4" w:space="0"/>
            </w:tcBorders>
            <w:vAlign w:val="center"/>
          </w:tcPr>
          <w:p w14:paraId="4308F89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0DFF17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罩棚采用金属面作为接闪带。</w:t>
            </w:r>
          </w:p>
        </w:tc>
      </w:tr>
      <w:tr w14:paraId="5BFCC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558" w:type="dxa"/>
            <w:vMerge w:val="continue"/>
            <w:tcBorders>
              <w:left w:val="single" w:color="auto" w:sz="12" w:space="0"/>
              <w:right w:val="single" w:color="auto" w:sz="4" w:space="0"/>
            </w:tcBorders>
            <w:vAlign w:val="center"/>
          </w:tcPr>
          <w:p w14:paraId="3045F5F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91874C8">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9A65ED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spacing w:val="-6"/>
              </w:rPr>
              <w:t>（13）加油站的信息系统应采用铠装电缆或导线穿钢管配线。配线电缆铠装金属层两端、保护钢管两端均应接地。该信息系统的配电线路首、末端与电子器件连接时，应装设与电子器件耐压水平相适应的过电压（电涌）保护器。</w:t>
            </w:r>
          </w:p>
        </w:tc>
        <w:tc>
          <w:tcPr>
            <w:tcW w:w="843" w:type="dxa"/>
            <w:tcBorders>
              <w:top w:val="single" w:color="auto" w:sz="4" w:space="0"/>
              <w:left w:val="single" w:color="auto" w:sz="4" w:space="0"/>
              <w:bottom w:val="single" w:color="auto" w:sz="4" w:space="0"/>
              <w:right w:val="single" w:color="auto" w:sz="4" w:space="0"/>
            </w:tcBorders>
            <w:vAlign w:val="center"/>
          </w:tcPr>
          <w:p w14:paraId="09AEC97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730E78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7FCB65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1C89EB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5BE8A1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FDA2C0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14）380/220V供配电系统宜采用TN-S系统，当外供电源为380V时，可采用TN-C-S系统。供电系统的电缆金属外皮或电缆金属保护管两端均应接地，在供配电系统的电源端应安装与设备耐压水平相适应的过电压（电涌）保护器。</w:t>
            </w:r>
          </w:p>
        </w:tc>
        <w:tc>
          <w:tcPr>
            <w:tcW w:w="843" w:type="dxa"/>
            <w:tcBorders>
              <w:top w:val="single" w:color="auto" w:sz="4" w:space="0"/>
              <w:left w:val="single" w:color="auto" w:sz="4" w:space="0"/>
              <w:bottom w:val="single" w:color="auto" w:sz="4" w:space="0"/>
              <w:right w:val="single" w:color="auto" w:sz="4" w:space="0"/>
            </w:tcBorders>
            <w:vAlign w:val="center"/>
          </w:tcPr>
          <w:p w14:paraId="233D212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54AD16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设置合适的过电压保护器</w:t>
            </w:r>
          </w:p>
        </w:tc>
      </w:tr>
      <w:tr w14:paraId="48F93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2E1577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C8676F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E6C6C89">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（15）加油站应设置紧急切断系统，该系统应能在事故状态下实现紧急停车和关闭紧急切断阀的保护功能。</w:t>
            </w:r>
          </w:p>
        </w:tc>
        <w:tc>
          <w:tcPr>
            <w:tcW w:w="843" w:type="dxa"/>
            <w:tcBorders>
              <w:top w:val="single" w:color="auto" w:sz="4" w:space="0"/>
              <w:left w:val="single" w:color="auto" w:sz="4" w:space="0"/>
              <w:bottom w:val="single" w:color="auto" w:sz="4" w:space="0"/>
              <w:right w:val="single" w:color="auto" w:sz="4" w:space="0"/>
            </w:tcBorders>
            <w:vAlign w:val="center"/>
          </w:tcPr>
          <w:p w14:paraId="419516F3">
            <w:pPr>
              <w:autoSpaceDN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是</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 xml:space="preserve"> 否</w:t>
            </w:r>
            <w:r>
              <w:rPr>
                <w:rFonts w:hint="eastAsia" w:ascii="Times New Roman" w:hAnsi="Times New Roman" w:eastAsia="宋" w:cs="Segoe UI Symbol"/>
                <w:bCs/>
                <w:color w:val="auto"/>
                <w:lang w:eastAsia="zh-CN"/>
              </w:rPr>
              <w:t>□</w:t>
            </w:r>
          </w:p>
        </w:tc>
        <w:tc>
          <w:tcPr>
            <w:tcW w:w="1700" w:type="dxa"/>
            <w:tcBorders>
              <w:top w:val="single" w:color="auto" w:sz="4" w:space="0"/>
              <w:left w:val="single" w:color="auto" w:sz="4" w:space="0"/>
              <w:bottom w:val="single" w:color="auto" w:sz="4" w:space="0"/>
              <w:right w:val="single" w:color="auto" w:sz="12" w:space="0"/>
            </w:tcBorders>
            <w:vAlign w:val="center"/>
          </w:tcPr>
          <w:p w14:paraId="2B196C79">
            <w:pPr>
              <w:autoSpaceDN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有紧急停车按钮</w:t>
            </w:r>
          </w:p>
        </w:tc>
      </w:tr>
      <w:tr w14:paraId="5607D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7E566F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F0F8C0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4F57F85">
            <w:pPr>
              <w:autoSpaceDE w:val="0"/>
              <w:spacing w:line="260" w:lineRule="exact"/>
              <w:rPr>
                <w:rFonts w:ascii="Times New Roman" w:hAnsi="Times New Roman" w:eastAsia="宋" w:cs="Times New Roman"/>
                <w:bCs/>
                <w:color w:val="auto"/>
                <w:spacing w:val="-6"/>
              </w:rPr>
            </w:pPr>
            <w:r>
              <w:rPr>
                <w:rFonts w:hint="eastAsia" w:ascii="Times New Roman" w:hAnsi="Times New Roman" w:eastAsia="宋" w:cs="Times New Roman"/>
                <w:bCs/>
                <w:color w:val="auto"/>
                <w:spacing w:val="-6"/>
              </w:rPr>
              <w:t>（16）紧急切断系统应至少在下列位置设置紧急切断开关：</w:t>
            </w:r>
          </w:p>
          <w:p w14:paraId="1BE874B9">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spacing w:val="-6"/>
              </w:rPr>
              <w:t>1.在加油站现场工作人员容易接近且较为安全的位置；2.在控制室、值班室内或站房收银台等有人员值守的位置。</w:t>
            </w:r>
          </w:p>
        </w:tc>
        <w:tc>
          <w:tcPr>
            <w:tcW w:w="843" w:type="dxa"/>
            <w:tcBorders>
              <w:top w:val="single" w:color="auto" w:sz="4" w:space="0"/>
              <w:left w:val="single" w:color="auto" w:sz="4" w:space="0"/>
              <w:bottom w:val="single" w:color="auto" w:sz="4" w:space="0"/>
              <w:right w:val="single" w:color="auto" w:sz="4" w:space="0"/>
            </w:tcBorders>
            <w:vAlign w:val="center"/>
          </w:tcPr>
          <w:p w14:paraId="7731ADC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0F2CDE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站房内安装紧急切断按钮</w:t>
            </w:r>
          </w:p>
        </w:tc>
      </w:tr>
      <w:tr w14:paraId="57B81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7143643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571DE1F4">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D2D2D25">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（17）工艺设备的电源和工艺管道上的紧急切断阀</w:t>
            </w:r>
            <w:r>
              <w:rPr>
                <w:rFonts w:hint="eastAsia" w:ascii="Times New Roman" w:hAnsi="Times New Roman" w:eastAsia="宋" w:cs="Times New Roman"/>
                <w:bCs/>
                <w:color w:val="auto"/>
                <w:lang w:eastAsia="zh-CN"/>
              </w:rPr>
              <w:t>应</w:t>
            </w:r>
            <w:r>
              <w:rPr>
                <w:rFonts w:hint="eastAsia" w:ascii="Times New Roman" w:hAnsi="Times New Roman" w:eastAsia="宋" w:cs="Times New Roman"/>
                <w:bCs/>
                <w:color w:val="auto"/>
              </w:rPr>
              <w:t>由手动启动的远程控制切断系统操纵关闭。</w:t>
            </w:r>
          </w:p>
        </w:tc>
        <w:tc>
          <w:tcPr>
            <w:tcW w:w="843" w:type="dxa"/>
            <w:tcBorders>
              <w:top w:val="single" w:color="auto" w:sz="4" w:space="0"/>
              <w:left w:val="single" w:color="auto" w:sz="4" w:space="0"/>
              <w:bottom w:val="single" w:color="auto" w:sz="4" w:space="0"/>
              <w:right w:val="single" w:color="auto" w:sz="4" w:space="0"/>
            </w:tcBorders>
            <w:vAlign w:val="center"/>
          </w:tcPr>
          <w:p w14:paraId="38F24C8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71A502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可以由手动启动</w:t>
            </w:r>
          </w:p>
        </w:tc>
      </w:tr>
      <w:tr w14:paraId="17FEA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54A9BC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5</w:t>
            </w:r>
          </w:p>
        </w:tc>
        <w:tc>
          <w:tcPr>
            <w:tcW w:w="756" w:type="dxa"/>
            <w:vMerge w:val="restart"/>
            <w:tcBorders>
              <w:top w:val="single" w:color="auto" w:sz="4" w:space="0"/>
              <w:left w:val="single" w:color="auto" w:sz="4" w:space="0"/>
              <w:right w:val="single" w:color="auto" w:sz="4" w:space="0"/>
            </w:tcBorders>
            <w:vAlign w:val="center"/>
          </w:tcPr>
          <w:p w14:paraId="58E7782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消防设施</w:t>
            </w:r>
          </w:p>
        </w:tc>
        <w:tc>
          <w:tcPr>
            <w:tcW w:w="5188" w:type="dxa"/>
            <w:tcBorders>
              <w:top w:val="single" w:color="auto" w:sz="4" w:space="0"/>
              <w:left w:val="single" w:color="auto" w:sz="4" w:space="0"/>
              <w:bottom w:val="single" w:color="auto" w:sz="4" w:space="0"/>
              <w:right w:val="single" w:color="auto" w:sz="4" w:space="0"/>
            </w:tcBorders>
            <w:vAlign w:val="center"/>
          </w:tcPr>
          <w:p w14:paraId="564BBFA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（1）加油站每2台加油机设置不少于2只4kg手提式干粉灭火器或1只4kg手提式干粉灭火器和1只6L泡沫灭火器。加油机不足2台按2台计算。</w:t>
            </w:r>
          </w:p>
        </w:tc>
        <w:tc>
          <w:tcPr>
            <w:tcW w:w="843" w:type="dxa"/>
            <w:tcBorders>
              <w:top w:val="single" w:color="auto" w:sz="4" w:space="0"/>
              <w:left w:val="single" w:color="auto" w:sz="4" w:space="0"/>
              <w:bottom w:val="single" w:color="auto" w:sz="4" w:space="0"/>
              <w:right w:val="single" w:color="auto" w:sz="4" w:space="0"/>
            </w:tcBorders>
            <w:vAlign w:val="center"/>
          </w:tcPr>
          <w:p w14:paraId="1A44C9E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D205806">
            <w:pPr>
              <w:autoSpaceDN w:val="0"/>
              <w:spacing w:line="260" w:lineRule="exact"/>
              <w:jc w:val="center"/>
              <w:rPr>
                <w:rFonts w:hint="default" w:ascii="Times New Roman" w:hAnsi="Times New Roman" w:eastAsia="宋" w:cs="Times New Roman"/>
                <w:bCs/>
                <w:color w:val="auto"/>
                <w:lang w:val="en-US" w:eastAsia="zh-CN"/>
              </w:rPr>
            </w:pPr>
            <w:r>
              <w:rPr>
                <w:rFonts w:hint="eastAsia" w:ascii="Times New Roman" w:hAnsi="Times New Roman" w:eastAsia="宋" w:cs="Times New Roman"/>
                <w:bCs/>
                <w:color w:val="auto"/>
              </w:rPr>
              <w:t>按要求设置</w:t>
            </w:r>
          </w:p>
        </w:tc>
      </w:tr>
      <w:tr w14:paraId="33769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A38F7E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6C26BA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9BF7FD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（2）地下储罐应设不小于35kg推车式干粉灭火器1个。当两种介质储罐之间的距离超过15m时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应分别设置。</w:t>
            </w:r>
          </w:p>
        </w:tc>
        <w:tc>
          <w:tcPr>
            <w:tcW w:w="843" w:type="dxa"/>
            <w:tcBorders>
              <w:top w:val="single" w:color="auto" w:sz="4" w:space="0"/>
              <w:left w:val="single" w:color="auto" w:sz="4" w:space="0"/>
              <w:bottom w:val="single" w:color="auto" w:sz="4" w:space="0"/>
              <w:right w:val="single" w:color="auto" w:sz="4" w:space="0"/>
            </w:tcBorders>
            <w:vAlign w:val="center"/>
          </w:tcPr>
          <w:p w14:paraId="653FA5C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E2A4CD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407B6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3B00E9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7475C2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5B41C4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（3）一、二级加油站应配置灭火毯5块，沙子2m</w:t>
            </w:r>
            <w:r>
              <w:rPr>
                <w:rFonts w:hint="eastAsia" w:ascii="Times New Roman" w:hAnsi="Times New Roman" w:eastAsia="宋" w:cs="Times New Roman"/>
                <w:bCs/>
                <w:color w:val="auto"/>
                <w:vertAlign w:val="superscript"/>
              </w:rPr>
              <w:t>3</w:t>
            </w:r>
            <w:r>
              <w:rPr>
                <w:rFonts w:hint="eastAsia" w:ascii="Times New Roman" w:hAnsi="Times New Roman" w:eastAsia="宋" w:cs="Times New Roman"/>
                <w:bCs/>
                <w:color w:val="auto"/>
              </w:rPr>
              <w:t>。三级加油站应配置灭火毯不少于2块</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沙子2m</w:t>
            </w:r>
            <w:r>
              <w:rPr>
                <w:rFonts w:hint="eastAsia" w:ascii="Times New Roman" w:hAnsi="Times New Roman" w:eastAsia="宋" w:cs="Times New Roman"/>
                <w:bCs/>
                <w:color w:val="auto"/>
                <w:vertAlign w:val="superscript"/>
              </w:rPr>
              <w:t>3</w:t>
            </w:r>
            <w:r>
              <w:rPr>
                <w:rFonts w:hint="eastAsia" w:ascii="Times New Roman" w:hAnsi="Times New Roman" w:eastAsia="宋" w:cs="Times New Roman"/>
                <w:bCs/>
                <w:color w:val="auto"/>
              </w:rPr>
              <w:t>。</w:t>
            </w:r>
          </w:p>
        </w:tc>
        <w:tc>
          <w:tcPr>
            <w:tcW w:w="843" w:type="dxa"/>
            <w:tcBorders>
              <w:top w:val="single" w:color="auto" w:sz="4" w:space="0"/>
              <w:left w:val="single" w:color="auto" w:sz="4" w:space="0"/>
              <w:bottom w:val="single" w:color="auto" w:sz="4" w:space="0"/>
              <w:right w:val="single" w:color="auto" w:sz="4" w:space="0"/>
            </w:tcBorders>
            <w:vAlign w:val="center"/>
          </w:tcPr>
          <w:p w14:paraId="6AD244F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7F74D4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592B73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5ADFD2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8B9947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5F0A53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发、配电室应设置磷酸铵盐干粉灭火器或碳酸氢钠干粉灭火器或卤代烷灭火器或二氧化碳灭火器，数量不少于2具。</w:t>
            </w:r>
          </w:p>
        </w:tc>
        <w:tc>
          <w:tcPr>
            <w:tcW w:w="843" w:type="dxa"/>
            <w:tcBorders>
              <w:top w:val="single" w:color="auto" w:sz="4" w:space="0"/>
              <w:left w:val="single" w:color="auto" w:sz="4" w:space="0"/>
              <w:bottom w:val="single" w:color="auto" w:sz="4" w:space="0"/>
              <w:right w:val="single" w:color="auto" w:sz="4" w:space="0"/>
            </w:tcBorders>
            <w:vAlign w:val="center"/>
          </w:tcPr>
          <w:p w14:paraId="001757C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FE90D4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配电室设置有二氧化碳灭火器</w:t>
            </w:r>
          </w:p>
        </w:tc>
      </w:tr>
      <w:tr w14:paraId="213DE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DAEB05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1CC42F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C69AA0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加油站应制定以下消防安全制度：a）防火检查、巡查制度；b）消防安全教育、培训制度；c）用火、用电安全管理制度；d）电气设备、电气线路的检查和管理制度：e）输油、输气线路的检查和管理制度；f）灭火和应急疏散预案演练制度；g）火灾隐患整改制度；h）其他必要的消防安全制度。</w:t>
            </w:r>
          </w:p>
        </w:tc>
        <w:tc>
          <w:tcPr>
            <w:tcW w:w="843" w:type="dxa"/>
            <w:tcBorders>
              <w:top w:val="single" w:color="auto" w:sz="4" w:space="0"/>
              <w:left w:val="single" w:color="auto" w:sz="4" w:space="0"/>
              <w:bottom w:val="single" w:color="auto" w:sz="4" w:space="0"/>
              <w:right w:val="single" w:color="auto" w:sz="4" w:space="0"/>
            </w:tcBorders>
            <w:vAlign w:val="center"/>
          </w:tcPr>
          <w:p w14:paraId="469C597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11E313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符合，有相关制度</w:t>
            </w:r>
          </w:p>
        </w:tc>
      </w:tr>
      <w:tr w14:paraId="69036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F38205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F646A1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276FCC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（6）加油加气站罩棚顶棚的承重构件为钢结构时，其耐火极限可为0.25h。</w:t>
            </w:r>
          </w:p>
        </w:tc>
        <w:tc>
          <w:tcPr>
            <w:tcW w:w="843" w:type="dxa"/>
            <w:tcBorders>
              <w:top w:val="single" w:color="auto" w:sz="4" w:space="0"/>
              <w:left w:val="single" w:color="auto" w:sz="4" w:space="0"/>
              <w:bottom w:val="single" w:color="auto" w:sz="4" w:space="0"/>
              <w:right w:val="single" w:color="auto" w:sz="4" w:space="0"/>
            </w:tcBorders>
            <w:vAlign w:val="center"/>
          </w:tcPr>
          <w:p w14:paraId="0D748EE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C34028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罩棚为钢框架结构</w:t>
            </w:r>
          </w:p>
        </w:tc>
      </w:tr>
      <w:tr w14:paraId="27154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173990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AD12B2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A781A7C">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（7）站内不应设置住宿、餐饮和娱乐等场所（设施）。</w:t>
            </w:r>
          </w:p>
        </w:tc>
        <w:tc>
          <w:tcPr>
            <w:tcW w:w="843" w:type="dxa"/>
            <w:tcBorders>
              <w:top w:val="single" w:color="auto" w:sz="4" w:space="0"/>
              <w:left w:val="single" w:color="auto" w:sz="4" w:space="0"/>
              <w:bottom w:val="single" w:color="auto" w:sz="4" w:space="0"/>
              <w:right w:val="single" w:color="auto" w:sz="4" w:space="0"/>
            </w:tcBorders>
            <w:vAlign w:val="center"/>
          </w:tcPr>
          <w:p w14:paraId="12B2AF5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BC0A0B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无住宿、餐饮和娱乐场所</w:t>
            </w:r>
          </w:p>
        </w:tc>
      </w:tr>
      <w:tr w14:paraId="21410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3EA877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2B9DE4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D97D58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（8）站内不应设置建筑面积大于50㎡的商店。商店内不应经营易燃易爆危险品。</w:t>
            </w:r>
          </w:p>
        </w:tc>
        <w:tc>
          <w:tcPr>
            <w:tcW w:w="843" w:type="dxa"/>
            <w:tcBorders>
              <w:top w:val="single" w:color="auto" w:sz="4" w:space="0"/>
              <w:left w:val="single" w:color="auto" w:sz="4" w:space="0"/>
              <w:bottom w:val="single" w:color="auto" w:sz="4" w:space="0"/>
              <w:right w:val="single" w:color="auto" w:sz="4" w:space="0"/>
            </w:tcBorders>
            <w:vAlign w:val="center"/>
          </w:tcPr>
          <w:p w14:paraId="236D39D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976E6E6">
            <w:pPr>
              <w:autoSpaceDN w:val="0"/>
              <w:spacing w:line="260" w:lineRule="exact"/>
              <w:jc w:val="center"/>
              <w:rPr>
                <w:rFonts w:hint="default" w:ascii="Times New Roman" w:hAnsi="Times New Roman" w:eastAsia="宋" w:cs="Times New Roman"/>
                <w:bCs/>
                <w:color w:val="auto"/>
                <w:lang w:val="en-US" w:eastAsia="zh-CN"/>
              </w:rPr>
            </w:pPr>
            <w:r>
              <w:rPr>
                <w:rFonts w:hint="eastAsia" w:ascii="Times New Roman" w:hAnsi="Times New Roman" w:eastAsia="宋" w:cs="Times New Roman"/>
                <w:bCs/>
                <w:color w:val="auto"/>
                <w:lang w:val="en-US" w:eastAsia="zh-CN"/>
              </w:rPr>
              <w:t>商店内未经营易燃易爆危险品</w:t>
            </w:r>
          </w:p>
        </w:tc>
      </w:tr>
      <w:tr w14:paraId="0E228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3732C8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721A3C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B51DC1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（9）是否按要求进行消防设施、器材管理</w:t>
            </w:r>
          </w:p>
          <w:p w14:paraId="162BB1F4">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对消防设施、器材应加强日常管理和维护，建立消防设施、器材的巡查、检测、维修保养等管理档案，记明配置类型、数量、设置位置、检查维修单位（人员）、更换药剂的时间等有关情况，严禁损坏、挪用或擅自拆除、停用。</w:t>
            </w:r>
          </w:p>
          <w:p w14:paraId="3802E76B">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2.消火栓、灭火器、灭火毯、消防沙箱或沙池等消防设施、器材应设置消防安全标志。</w:t>
            </w:r>
          </w:p>
          <w:p w14:paraId="53641F0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3.灭火器、灭火毯应放置于醒目且便于取用位置。灭火器应保持标识清晰，各种部件不应有严重损伤、变形、锈蚀等缺陷，存放地点及环境应符合要求，并定期进行检查、维保。</w:t>
            </w:r>
          </w:p>
          <w:p w14:paraId="52CE644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4.消防沙箱或沙池内应保持沙量充足，不应存放杂物，沙子应保持干燥不结块，不含树叶、石子等杂质，附近应配置沙铲、沙桶、推车等灭火和应急处置辅助器材。</w:t>
            </w:r>
          </w:p>
        </w:tc>
        <w:tc>
          <w:tcPr>
            <w:tcW w:w="843" w:type="dxa"/>
            <w:tcBorders>
              <w:top w:val="single" w:color="auto" w:sz="4" w:space="0"/>
              <w:left w:val="single" w:color="auto" w:sz="4" w:space="0"/>
              <w:bottom w:val="single" w:color="auto" w:sz="4" w:space="0"/>
              <w:right w:val="single" w:color="auto" w:sz="4" w:space="0"/>
            </w:tcBorders>
            <w:vAlign w:val="center"/>
          </w:tcPr>
          <w:p w14:paraId="5DE9276F">
            <w:pPr>
              <w:autoSpaceDE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lang w:eastAsia="zh-CN"/>
              </w:rPr>
              <w:t>☑</w:t>
            </w:r>
            <w:r>
              <w:rPr>
                <w:rFonts w:hint="eastAsia" w:ascii="Times New Roman" w:hAnsi="Times New Roman" w:eastAsia="宋" w:cs="Times New Roman"/>
                <w:bCs/>
                <w:color w:val="auto"/>
              </w:rPr>
              <w:t xml:space="preserve"> 否</w:t>
            </w:r>
            <w:r>
              <w:rPr>
                <w:rFonts w:hint="eastAsia" w:ascii="Times New Roman" w:hAnsi="Times New Roman" w:eastAsia="宋" w:cs="Times New Roman"/>
                <w:bCs/>
                <w:color w:val="auto"/>
                <w:lang w:eastAsia="zh-CN"/>
              </w:rPr>
              <w:t>□</w:t>
            </w:r>
          </w:p>
        </w:tc>
        <w:tc>
          <w:tcPr>
            <w:tcW w:w="1700" w:type="dxa"/>
            <w:tcBorders>
              <w:top w:val="single" w:color="auto" w:sz="4" w:space="0"/>
              <w:left w:val="single" w:color="auto" w:sz="4" w:space="0"/>
              <w:bottom w:val="single" w:color="auto" w:sz="4" w:space="0"/>
              <w:right w:val="single" w:color="auto" w:sz="12" w:space="0"/>
            </w:tcBorders>
            <w:vAlign w:val="center"/>
          </w:tcPr>
          <w:p w14:paraId="2C94758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按要求设置灭火器、灭火毯、</w:t>
            </w:r>
            <w:r>
              <w:rPr>
                <w:rFonts w:hint="eastAsia" w:ascii="Times New Roman" w:hAnsi="Times New Roman" w:eastAsia="宋" w:cs="Times New Roman"/>
                <w:bCs/>
                <w:color w:val="auto"/>
                <w:lang w:eastAsia="zh-CN"/>
              </w:rPr>
              <w:t>消防砂</w:t>
            </w:r>
            <w:r>
              <w:rPr>
                <w:rFonts w:hint="eastAsia" w:ascii="Times New Roman" w:hAnsi="Times New Roman" w:eastAsia="宋" w:cs="Times New Roman"/>
                <w:bCs/>
                <w:color w:val="auto"/>
              </w:rPr>
              <w:t>等</w:t>
            </w:r>
            <w:r>
              <w:rPr>
                <w:rFonts w:hint="eastAsia" w:ascii="Times New Roman" w:hAnsi="Times New Roman" w:eastAsia="宋" w:cs="Times New Roman"/>
                <w:bCs/>
                <w:color w:val="auto"/>
                <w:lang w:eastAsia="zh-CN"/>
              </w:rPr>
              <w:t>设施</w:t>
            </w:r>
          </w:p>
        </w:tc>
      </w:tr>
      <w:tr w14:paraId="0170E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4730D2F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7CC7982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E44A164">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（10）加油站对每名员工应至少每年进行1次消防安全教育培训，新员工经消防安全教育培训合格后方可上岗。组织开展消防安全教育培训的情况应记录存档。</w:t>
            </w:r>
          </w:p>
        </w:tc>
        <w:tc>
          <w:tcPr>
            <w:tcW w:w="843" w:type="dxa"/>
            <w:tcBorders>
              <w:top w:val="single" w:color="auto" w:sz="4" w:space="0"/>
              <w:left w:val="single" w:color="auto" w:sz="4" w:space="0"/>
              <w:bottom w:val="single" w:color="auto" w:sz="4" w:space="0"/>
              <w:right w:val="single" w:color="auto" w:sz="4" w:space="0"/>
            </w:tcBorders>
            <w:vAlign w:val="center"/>
          </w:tcPr>
          <w:p w14:paraId="0F82A677">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39E8D3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定期进行教育培训，有培训记录，见附件</w:t>
            </w:r>
          </w:p>
        </w:tc>
      </w:tr>
      <w:tr w14:paraId="752E5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08540C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6</w:t>
            </w:r>
          </w:p>
        </w:tc>
        <w:tc>
          <w:tcPr>
            <w:tcW w:w="756" w:type="dxa"/>
            <w:vMerge w:val="restart"/>
            <w:tcBorders>
              <w:top w:val="single" w:color="auto" w:sz="4" w:space="0"/>
              <w:left w:val="single" w:color="auto" w:sz="4" w:space="0"/>
              <w:right w:val="single" w:color="auto" w:sz="4" w:space="0"/>
            </w:tcBorders>
            <w:vAlign w:val="center"/>
          </w:tcPr>
          <w:p w14:paraId="42E6869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标识</w:t>
            </w:r>
          </w:p>
        </w:tc>
        <w:tc>
          <w:tcPr>
            <w:tcW w:w="5188" w:type="dxa"/>
            <w:tcBorders>
              <w:top w:val="single" w:color="auto" w:sz="4" w:space="0"/>
              <w:left w:val="single" w:color="auto" w:sz="4" w:space="0"/>
              <w:bottom w:val="single" w:color="auto" w:sz="4" w:space="0"/>
              <w:right w:val="single" w:color="auto" w:sz="4" w:space="0"/>
            </w:tcBorders>
            <w:vAlign w:val="center"/>
          </w:tcPr>
          <w:p w14:paraId="7C115FC2">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（1）加油站的车辆及人员进出口处应设置醒目的“进站消防安全须知”标识，明确进入加油站的要求和注意事项。</w:t>
            </w:r>
          </w:p>
        </w:tc>
        <w:tc>
          <w:tcPr>
            <w:tcW w:w="843" w:type="dxa"/>
            <w:tcBorders>
              <w:top w:val="single" w:color="auto" w:sz="4" w:space="0"/>
              <w:left w:val="single" w:color="auto" w:sz="4" w:space="0"/>
              <w:bottom w:val="single" w:color="auto" w:sz="4" w:space="0"/>
              <w:right w:val="single" w:color="auto" w:sz="4" w:space="0"/>
            </w:tcBorders>
            <w:vAlign w:val="center"/>
          </w:tcPr>
          <w:p w14:paraId="299A8F39">
            <w:pPr>
              <w:autoSpaceDE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lang w:eastAsia="zh-CN"/>
              </w:rPr>
              <w:t>☑</w:t>
            </w:r>
            <w:r>
              <w:rPr>
                <w:rFonts w:hint="eastAsia" w:ascii="Times New Roman" w:hAnsi="Times New Roman" w:eastAsia="宋" w:cs="Times New Roman"/>
                <w:bCs/>
                <w:color w:val="auto"/>
              </w:rPr>
              <w:t xml:space="preserve"> 否</w:t>
            </w:r>
            <w:r>
              <w:rPr>
                <w:rFonts w:hint="eastAsia" w:ascii="Times New Roman" w:hAnsi="Times New Roman" w:eastAsia="宋" w:cs="Times New Roman"/>
                <w:bCs/>
                <w:color w:val="auto"/>
                <w:lang w:eastAsia="zh-CN"/>
              </w:rPr>
              <w:t>□</w:t>
            </w:r>
          </w:p>
        </w:tc>
        <w:tc>
          <w:tcPr>
            <w:tcW w:w="1700" w:type="dxa"/>
            <w:tcBorders>
              <w:top w:val="single" w:color="auto" w:sz="4" w:space="0"/>
              <w:left w:val="single" w:color="auto" w:sz="4" w:space="0"/>
              <w:bottom w:val="single" w:color="auto" w:sz="4" w:space="0"/>
              <w:right w:val="single" w:color="auto" w:sz="12" w:space="0"/>
            </w:tcBorders>
            <w:vAlign w:val="center"/>
          </w:tcPr>
          <w:p w14:paraId="456CD972">
            <w:pPr>
              <w:autoSpaceDN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加油站进出口有安全警示标识和进站须知</w:t>
            </w:r>
          </w:p>
        </w:tc>
      </w:tr>
      <w:tr w14:paraId="4DDE8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ABC5F9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987E62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A3CA2F7">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（2）加油机上应有油品标识。</w:t>
            </w:r>
          </w:p>
        </w:tc>
        <w:tc>
          <w:tcPr>
            <w:tcW w:w="843" w:type="dxa"/>
            <w:tcBorders>
              <w:top w:val="single" w:color="auto" w:sz="4" w:space="0"/>
              <w:left w:val="single" w:color="auto" w:sz="4" w:space="0"/>
              <w:bottom w:val="single" w:color="auto" w:sz="4" w:space="0"/>
              <w:right w:val="single" w:color="auto" w:sz="4" w:space="0"/>
            </w:tcBorders>
            <w:vAlign w:val="center"/>
          </w:tcPr>
          <w:p w14:paraId="2E24AF9A">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r>
              <w:rPr>
                <w:rFonts w:hint="eastAsia" w:ascii="Times New Roman" w:hAnsi="Times New Roman" w:eastAsia="宋" w:cs="Segoe UI Symbol"/>
                <w:bCs/>
                <w:color w:val="auto"/>
              </w:rPr>
              <w:t>□</w:t>
            </w:r>
          </w:p>
        </w:tc>
        <w:tc>
          <w:tcPr>
            <w:tcW w:w="1700" w:type="dxa"/>
            <w:tcBorders>
              <w:top w:val="single" w:color="auto" w:sz="4" w:space="0"/>
              <w:left w:val="single" w:color="auto" w:sz="4" w:space="0"/>
              <w:bottom w:val="single" w:color="auto" w:sz="4" w:space="0"/>
              <w:right w:val="single" w:color="auto" w:sz="12" w:space="0"/>
            </w:tcBorders>
            <w:vAlign w:val="center"/>
          </w:tcPr>
          <w:p w14:paraId="63DDDAF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加油枪设置油品标识。</w:t>
            </w:r>
          </w:p>
        </w:tc>
      </w:tr>
      <w:tr w14:paraId="3B27B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5CA8CB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6C19E5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D9C988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（3）加油区、油罐区应有“禁止吸烟</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禁止打手机</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等安全标识。</w:t>
            </w:r>
          </w:p>
        </w:tc>
        <w:tc>
          <w:tcPr>
            <w:tcW w:w="843" w:type="dxa"/>
            <w:tcBorders>
              <w:top w:val="single" w:color="auto" w:sz="4" w:space="0"/>
              <w:left w:val="single" w:color="auto" w:sz="4" w:space="0"/>
              <w:bottom w:val="single" w:color="auto" w:sz="4" w:space="0"/>
              <w:right w:val="single" w:color="auto" w:sz="4" w:space="0"/>
            </w:tcBorders>
            <w:vAlign w:val="center"/>
          </w:tcPr>
          <w:p w14:paraId="77E36D44">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2FAB8A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有相关安全标识</w:t>
            </w:r>
          </w:p>
        </w:tc>
      </w:tr>
      <w:tr w14:paraId="1E7A8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C2FFDD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71A4CD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7BE8B3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（4）站房、变配电间等火灾危险区的明显部位应设置“火灾危险区域”等标识。</w:t>
            </w:r>
          </w:p>
        </w:tc>
        <w:tc>
          <w:tcPr>
            <w:tcW w:w="843" w:type="dxa"/>
            <w:tcBorders>
              <w:top w:val="single" w:color="auto" w:sz="4" w:space="0"/>
              <w:left w:val="single" w:color="auto" w:sz="4" w:space="0"/>
              <w:bottom w:val="single" w:color="auto" w:sz="4" w:space="0"/>
              <w:right w:val="single" w:color="auto" w:sz="4" w:space="0"/>
            </w:tcBorders>
            <w:vAlign w:val="center"/>
          </w:tcPr>
          <w:p w14:paraId="7DBA271A">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BD9744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有“火灾危险区域”标识</w:t>
            </w:r>
          </w:p>
        </w:tc>
      </w:tr>
      <w:tr w14:paraId="3AEDD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22DF80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76E7C6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866A409">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（5）油品运输车辆应划定固定车位并设置明显标识。</w:t>
            </w:r>
          </w:p>
        </w:tc>
        <w:tc>
          <w:tcPr>
            <w:tcW w:w="843" w:type="dxa"/>
            <w:tcBorders>
              <w:top w:val="single" w:color="auto" w:sz="4" w:space="0"/>
              <w:left w:val="single" w:color="auto" w:sz="4" w:space="0"/>
              <w:bottom w:val="single" w:color="auto" w:sz="4" w:space="0"/>
              <w:right w:val="single" w:color="auto" w:sz="4" w:space="0"/>
            </w:tcBorders>
            <w:vAlign w:val="center"/>
          </w:tcPr>
          <w:p w14:paraId="374B3DB2">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1933A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卸车区有固定车位停车标识</w:t>
            </w:r>
          </w:p>
        </w:tc>
      </w:tr>
      <w:tr w14:paraId="6F910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FE0C20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377064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FB7EA9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（6）卫生间墙面上应设置“严禁烟火”“禁止吸烟”标识。</w:t>
            </w:r>
          </w:p>
        </w:tc>
        <w:tc>
          <w:tcPr>
            <w:tcW w:w="843" w:type="dxa"/>
            <w:tcBorders>
              <w:top w:val="single" w:color="auto" w:sz="4" w:space="0"/>
              <w:left w:val="single" w:color="auto" w:sz="4" w:space="0"/>
              <w:bottom w:val="single" w:color="auto" w:sz="4" w:space="0"/>
              <w:right w:val="single" w:color="auto" w:sz="4" w:space="0"/>
            </w:tcBorders>
            <w:vAlign w:val="center"/>
          </w:tcPr>
          <w:p w14:paraId="43A7B450">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6A7F7B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卫生间有“严禁烟火”“禁止吸烟”标识</w:t>
            </w:r>
          </w:p>
        </w:tc>
      </w:tr>
      <w:tr w14:paraId="6C09B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878B31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174203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3AB6C42">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（7）加油站作业区与辅助服务区之间应有明显的界限标识。</w:t>
            </w:r>
          </w:p>
        </w:tc>
        <w:tc>
          <w:tcPr>
            <w:tcW w:w="843" w:type="dxa"/>
            <w:tcBorders>
              <w:top w:val="single" w:color="auto" w:sz="4" w:space="0"/>
              <w:left w:val="single" w:color="auto" w:sz="4" w:space="0"/>
              <w:bottom w:val="single" w:color="auto" w:sz="4" w:space="0"/>
              <w:right w:val="single" w:color="auto" w:sz="4" w:space="0"/>
            </w:tcBorders>
            <w:vAlign w:val="center"/>
          </w:tcPr>
          <w:p w14:paraId="36D50274">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9880CD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有界限标识</w:t>
            </w:r>
          </w:p>
        </w:tc>
      </w:tr>
      <w:tr w14:paraId="281C7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2834175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287D91C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0E2F2E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（8）加油站应加强对消防安全标识的维护管理，如有损坏、缺失的，应及时更换。</w:t>
            </w:r>
          </w:p>
        </w:tc>
        <w:tc>
          <w:tcPr>
            <w:tcW w:w="843" w:type="dxa"/>
            <w:tcBorders>
              <w:top w:val="single" w:color="auto" w:sz="4" w:space="0"/>
              <w:left w:val="single" w:color="auto" w:sz="4" w:space="0"/>
              <w:bottom w:val="single" w:color="auto" w:sz="4" w:space="0"/>
              <w:right w:val="single" w:color="auto" w:sz="4" w:space="0"/>
            </w:tcBorders>
            <w:vAlign w:val="center"/>
          </w:tcPr>
          <w:p w14:paraId="298D4451">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7D92F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有维护保养制度</w:t>
            </w:r>
          </w:p>
        </w:tc>
      </w:tr>
      <w:tr w14:paraId="76C7B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8A3B2D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7</w:t>
            </w:r>
          </w:p>
        </w:tc>
        <w:tc>
          <w:tcPr>
            <w:tcW w:w="756" w:type="dxa"/>
            <w:vMerge w:val="restart"/>
            <w:tcBorders>
              <w:top w:val="single" w:color="auto" w:sz="4" w:space="0"/>
              <w:left w:val="single" w:color="auto" w:sz="4" w:space="0"/>
              <w:right w:val="single" w:color="auto" w:sz="4" w:space="0"/>
            </w:tcBorders>
            <w:vAlign w:val="center"/>
          </w:tcPr>
          <w:p w14:paraId="5BF5A20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企业经营情况</w:t>
            </w:r>
          </w:p>
        </w:tc>
        <w:tc>
          <w:tcPr>
            <w:tcW w:w="5188" w:type="dxa"/>
            <w:tcBorders>
              <w:top w:val="single" w:color="auto" w:sz="4" w:space="0"/>
              <w:left w:val="single" w:color="auto" w:sz="4" w:space="0"/>
              <w:bottom w:val="single" w:color="auto" w:sz="4" w:space="0"/>
              <w:right w:val="single" w:color="auto" w:sz="4" w:space="0"/>
            </w:tcBorders>
            <w:vAlign w:val="center"/>
          </w:tcPr>
          <w:p w14:paraId="0D4CA1F4">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（1）企业经营进、销台账的明细、随货同行单（明确车牌号、提货人、开票人、时间地点、货品数量和质量，可</w:t>
            </w:r>
            <w:r>
              <w:rPr>
                <w:rFonts w:hint="eastAsia" w:ascii="Times New Roman" w:hAnsi="Times New Roman" w:eastAsia="宋" w:cs="Times New Roman"/>
                <w:bCs/>
                <w:color w:val="auto"/>
                <w:lang w:eastAsia="zh-CN"/>
              </w:rPr>
              <w:t>溯源</w:t>
            </w:r>
            <w:r>
              <w:rPr>
                <w:rFonts w:hint="eastAsia" w:ascii="Times New Roman" w:hAnsi="Times New Roman" w:eastAsia="宋" w:cs="Times New Roman"/>
                <w:bCs/>
                <w:color w:val="auto"/>
              </w:rPr>
              <w:t>）。</w:t>
            </w:r>
          </w:p>
        </w:tc>
        <w:tc>
          <w:tcPr>
            <w:tcW w:w="843" w:type="dxa"/>
            <w:tcBorders>
              <w:top w:val="single" w:color="auto" w:sz="4" w:space="0"/>
              <w:left w:val="single" w:color="auto" w:sz="4" w:space="0"/>
              <w:bottom w:val="single" w:color="auto" w:sz="4" w:space="0"/>
              <w:right w:val="single" w:color="auto" w:sz="4" w:space="0"/>
            </w:tcBorders>
            <w:vAlign w:val="center"/>
          </w:tcPr>
          <w:p w14:paraId="24E1199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6505DD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符合要求</w:t>
            </w:r>
          </w:p>
        </w:tc>
      </w:tr>
      <w:tr w14:paraId="6D57C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5A7DB0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011E34D">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FBF0F7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（2）企业运输车辆相关资质、信息。</w:t>
            </w:r>
          </w:p>
        </w:tc>
        <w:tc>
          <w:tcPr>
            <w:tcW w:w="843" w:type="dxa"/>
            <w:tcBorders>
              <w:top w:val="single" w:color="auto" w:sz="4" w:space="0"/>
              <w:left w:val="single" w:color="auto" w:sz="4" w:space="0"/>
              <w:bottom w:val="single" w:color="auto" w:sz="4" w:space="0"/>
              <w:right w:val="single" w:color="auto" w:sz="4" w:space="0"/>
            </w:tcBorders>
            <w:vAlign w:val="center"/>
          </w:tcPr>
          <w:p w14:paraId="723D701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EF915A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经有资质单位运输</w:t>
            </w:r>
          </w:p>
        </w:tc>
      </w:tr>
      <w:tr w14:paraId="6FEB4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295637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0A0048B">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408F3B1">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（3）企业对货物的信息、数量、品种等工作的安全管理台账。</w:t>
            </w:r>
          </w:p>
        </w:tc>
        <w:tc>
          <w:tcPr>
            <w:tcW w:w="843" w:type="dxa"/>
            <w:tcBorders>
              <w:top w:val="single" w:color="auto" w:sz="4" w:space="0"/>
              <w:left w:val="single" w:color="auto" w:sz="4" w:space="0"/>
              <w:bottom w:val="single" w:color="auto" w:sz="4" w:space="0"/>
              <w:right w:val="single" w:color="auto" w:sz="4" w:space="0"/>
            </w:tcBorders>
            <w:vAlign w:val="center"/>
          </w:tcPr>
          <w:p w14:paraId="5055A1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EAB959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有台账</w:t>
            </w:r>
          </w:p>
        </w:tc>
      </w:tr>
      <w:tr w14:paraId="23340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1BE8DA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7A2489">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46A2B3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（4）企业进货发票、售出发票资料等</w:t>
            </w:r>
          </w:p>
        </w:tc>
        <w:tc>
          <w:tcPr>
            <w:tcW w:w="843" w:type="dxa"/>
            <w:tcBorders>
              <w:top w:val="single" w:color="auto" w:sz="4" w:space="0"/>
              <w:left w:val="single" w:color="auto" w:sz="4" w:space="0"/>
              <w:bottom w:val="single" w:color="auto" w:sz="4" w:space="0"/>
              <w:right w:val="single" w:color="auto" w:sz="4" w:space="0"/>
            </w:tcBorders>
            <w:vAlign w:val="center"/>
          </w:tcPr>
          <w:p w14:paraId="2B54D38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EF0F58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有进货发票、售出发票等资料</w:t>
            </w:r>
          </w:p>
        </w:tc>
      </w:tr>
      <w:tr w14:paraId="782D1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D5B95F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724C9FD">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5A8204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（5）企业是否存在租赁，租赁单位是否获得相关资质（营业执照、危化品经营许可等相关同等资质）</w:t>
            </w:r>
          </w:p>
        </w:tc>
        <w:tc>
          <w:tcPr>
            <w:tcW w:w="843" w:type="dxa"/>
            <w:tcBorders>
              <w:top w:val="single" w:color="auto" w:sz="4" w:space="0"/>
              <w:left w:val="single" w:color="auto" w:sz="4" w:space="0"/>
              <w:bottom w:val="single" w:color="auto" w:sz="4" w:space="0"/>
              <w:right w:val="single" w:color="auto" w:sz="4" w:space="0"/>
            </w:tcBorders>
            <w:vAlign w:val="center"/>
          </w:tcPr>
          <w:p w14:paraId="75D7BFC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DA49EA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不存在租赁</w:t>
            </w:r>
          </w:p>
        </w:tc>
      </w:tr>
      <w:tr w14:paraId="624696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90FCE1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4FD8447">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72CDEB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（6）是否存在买卖、转让、出租、出借或伪造安全生产或经营许可证的行为</w:t>
            </w:r>
          </w:p>
        </w:tc>
        <w:tc>
          <w:tcPr>
            <w:tcW w:w="843" w:type="dxa"/>
            <w:tcBorders>
              <w:top w:val="single" w:color="auto" w:sz="4" w:space="0"/>
              <w:left w:val="single" w:color="auto" w:sz="4" w:space="0"/>
              <w:bottom w:val="single" w:color="auto" w:sz="4" w:space="0"/>
              <w:right w:val="single" w:color="auto" w:sz="4" w:space="0"/>
            </w:tcBorders>
            <w:vAlign w:val="center"/>
          </w:tcPr>
          <w:p w14:paraId="001DFAD9">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83CDFF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不存在以上行为</w:t>
            </w:r>
          </w:p>
        </w:tc>
      </w:tr>
      <w:tr w14:paraId="1A6AE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7DC918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6675F1A">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E2CFB7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（7）是否存在非法将生产经营项目、场所、设备发包或者出租给不具备安全生产条件或者相应资质的单位或者个人的行为</w:t>
            </w:r>
          </w:p>
        </w:tc>
        <w:tc>
          <w:tcPr>
            <w:tcW w:w="843" w:type="dxa"/>
            <w:tcBorders>
              <w:top w:val="single" w:color="auto" w:sz="4" w:space="0"/>
              <w:left w:val="single" w:color="auto" w:sz="4" w:space="0"/>
              <w:bottom w:val="single" w:color="auto" w:sz="4" w:space="0"/>
              <w:right w:val="single" w:color="auto" w:sz="4" w:space="0"/>
            </w:tcBorders>
            <w:vAlign w:val="center"/>
          </w:tcPr>
          <w:p w14:paraId="73272111">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C3E623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35207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12" w:space="0"/>
              <w:right w:val="single" w:color="auto" w:sz="4" w:space="0"/>
            </w:tcBorders>
            <w:vAlign w:val="center"/>
          </w:tcPr>
          <w:p w14:paraId="09B93E5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12" w:space="0"/>
              <w:right w:val="single" w:color="auto" w:sz="4" w:space="0"/>
            </w:tcBorders>
            <w:vAlign w:val="center"/>
          </w:tcPr>
          <w:p w14:paraId="35D07CEC">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12" w:space="0"/>
              <w:right w:val="single" w:color="auto" w:sz="4" w:space="0"/>
            </w:tcBorders>
            <w:vAlign w:val="center"/>
          </w:tcPr>
          <w:p w14:paraId="79298D9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（8）是否违规建设内部加油设施、非法储存设施、非法改装油罐车移动加油行为</w:t>
            </w:r>
          </w:p>
        </w:tc>
        <w:tc>
          <w:tcPr>
            <w:tcW w:w="843" w:type="dxa"/>
            <w:tcBorders>
              <w:top w:val="single" w:color="auto" w:sz="4" w:space="0"/>
              <w:left w:val="single" w:color="auto" w:sz="4" w:space="0"/>
              <w:bottom w:val="single" w:color="auto" w:sz="12" w:space="0"/>
              <w:right w:val="single" w:color="auto" w:sz="4" w:space="0"/>
            </w:tcBorders>
            <w:vAlign w:val="center"/>
          </w:tcPr>
          <w:p w14:paraId="666D5984">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12" w:space="0"/>
              <w:right w:val="single" w:color="auto" w:sz="12" w:space="0"/>
            </w:tcBorders>
            <w:vAlign w:val="center"/>
          </w:tcPr>
          <w:p w14:paraId="5728DAB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bl>
    <w:p w14:paraId="73C85F4B">
      <w:pPr>
        <w:spacing w:line="600" w:lineRule="exact"/>
        <w:ind w:firstLine="560" w:firstLineChars="200"/>
        <w:rPr>
          <w:rFonts w:ascii="Times New Roman" w:hAnsi="Times New Roman" w:cs="宋体"/>
          <w:color w:val="auto"/>
          <w:sz w:val="28"/>
          <w:szCs w:val="28"/>
        </w:rPr>
      </w:pPr>
      <w:r>
        <w:rPr>
          <w:rFonts w:hint="eastAsia" w:ascii="Times New Roman" w:hAnsi="Times New Roman" w:cs="Times New Roman"/>
          <w:color w:val="auto"/>
          <w:sz w:val="28"/>
          <w:szCs w:val="28"/>
        </w:rPr>
        <w:t>评价结果：加油站安全检查表涉及131项检查内容，</w:t>
      </w:r>
      <w:r>
        <w:rPr>
          <w:rFonts w:hint="eastAsia" w:ascii="Times New Roman" w:hAnsi="Times New Roman" w:cs="Times New Roman"/>
          <w:color w:val="auto"/>
          <w:sz w:val="28"/>
          <w:szCs w:val="28"/>
          <w:lang w:val="en-US" w:eastAsia="zh-CN"/>
        </w:rPr>
        <w:t>均</w:t>
      </w:r>
      <w:r>
        <w:rPr>
          <w:rFonts w:hint="eastAsia" w:ascii="Times New Roman" w:hAnsi="Times New Roman" w:cs="Times New Roman"/>
          <w:color w:val="auto"/>
          <w:sz w:val="28"/>
          <w:szCs w:val="28"/>
        </w:rPr>
        <w:t>符合要求。</w:t>
      </w:r>
    </w:p>
    <w:p w14:paraId="0B946A44">
      <w:pPr>
        <w:keepLines/>
        <w:pageBreakBefore/>
        <w:widowControl/>
        <w:spacing w:line="600" w:lineRule="exact"/>
        <w:jc w:val="left"/>
        <w:outlineLvl w:val="0"/>
        <w:rPr>
          <w:rFonts w:ascii="Times New Roman" w:hAnsi="Times New Roman" w:cs="Times New Roman"/>
          <w:color w:val="auto"/>
          <w:sz w:val="28"/>
          <w:szCs w:val="28"/>
        </w:rPr>
      </w:pPr>
      <w:bookmarkStart w:id="211" w:name="_Toc5986"/>
      <w:r>
        <w:rPr>
          <w:rFonts w:hint="eastAsia" w:ascii="Times New Roman" w:hAnsi="Times New Roman" w:cs="Times New Roman"/>
          <w:b/>
          <w:bCs/>
          <w:color w:val="auto"/>
          <w:kern w:val="36"/>
          <w:sz w:val="32"/>
          <w:szCs w:val="32"/>
        </w:rPr>
        <w:t>6</w:t>
      </w:r>
      <w:r>
        <w:rPr>
          <w:rFonts w:ascii="Times New Roman" w:hAnsi="Times New Roman" w:cs="Times New Roman"/>
          <w:b/>
          <w:bCs/>
          <w:color w:val="auto"/>
          <w:kern w:val="36"/>
          <w:sz w:val="32"/>
          <w:szCs w:val="32"/>
        </w:rPr>
        <w:t xml:space="preserve"> </w:t>
      </w:r>
      <w:r>
        <w:rPr>
          <w:rFonts w:hint="eastAsia" w:ascii="Times New Roman" w:hAnsi="Times New Roman" w:cs="宋体"/>
          <w:b/>
          <w:bCs/>
          <w:color w:val="auto"/>
          <w:kern w:val="36"/>
          <w:sz w:val="32"/>
          <w:szCs w:val="32"/>
        </w:rPr>
        <w:t>整改落实情况</w:t>
      </w:r>
      <w:bookmarkEnd w:id="205"/>
      <w:bookmarkEnd w:id="206"/>
      <w:bookmarkEnd w:id="211"/>
    </w:p>
    <w:p w14:paraId="562C2317">
      <w:pPr>
        <w:keepNext/>
        <w:keepLines/>
        <w:spacing w:line="600" w:lineRule="exact"/>
        <w:outlineLvl w:val="1"/>
        <w:rPr>
          <w:rFonts w:ascii="Times New Roman" w:hAnsi="Times New Roman" w:cs="Times New Roman"/>
          <w:b/>
          <w:bCs/>
          <w:color w:val="auto"/>
          <w:sz w:val="28"/>
          <w:szCs w:val="28"/>
        </w:rPr>
      </w:pPr>
      <w:bookmarkStart w:id="212" w:name="_Toc11519"/>
      <w:bookmarkStart w:id="213" w:name="_Toc9008"/>
      <w:bookmarkStart w:id="214" w:name="_Toc14112"/>
      <w:bookmarkStart w:id="215" w:name="_Toc20468434"/>
      <w:bookmarkStart w:id="216" w:name="_Toc427852841"/>
      <w:bookmarkStart w:id="217" w:name="_Toc30200"/>
      <w:bookmarkStart w:id="218" w:name="_Toc471312555"/>
      <w:r>
        <w:rPr>
          <w:rFonts w:hint="eastAsia" w:ascii="Times New Roman" w:hAnsi="Times New Roman" w:cs="Times New Roman"/>
          <w:b/>
          <w:bCs/>
          <w:color w:val="auto"/>
          <w:sz w:val="28"/>
          <w:szCs w:val="28"/>
        </w:rPr>
        <w:t>6.1</w:t>
      </w:r>
      <w:r>
        <w:rPr>
          <w:rFonts w:ascii="Times New Roman" w:hAnsi="Times New Roman" w:cs="Times New Roman"/>
          <w:b/>
          <w:bCs/>
          <w:color w:val="auto"/>
          <w:sz w:val="28"/>
          <w:szCs w:val="28"/>
        </w:rPr>
        <w:t xml:space="preserve"> </w:t>
      </w:r>
      <w:r>
        <w:rPr>
          <w:rFonts w:hint="eastAsia" w:ascii="宋体" w:hAnsi="宋体" w:cs="宋体"/>
          <w:b/>
          <w:bCs/>
          <w:color w:val="auto"/>
          <w:sz w:val="28"/>
          <w:szCs w:val="28"/>
        </w:rPr>
        <w:t>安全设施符合性诊断及整改设计提出的整改项落实情况</w:t>
      </w:r>
      <w:bookmarkEnd w:id="212"/>
    </w:p>
    <w:p w14:paraId="25B7E971">
      <w:pPr>
        <w:widowControl/>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对照《中国石化销售股份有限公司江西赣州</w:t>
      </w:r>
      <w:r>
        <w:rPr>
          <w:rFonts w:hint="eastAsia" w:ascii="Times New Roman" w:hAnsi="Times New Roman" w:cs="Times New Roman"/>
          <w:color w:val="auto"/>
          <w:sz w:val="28"/>
          <w:szCs w:val="28"/>
          <w:lang w:eastAsia="zh-CN"/>
        </w:rPr>
        <w:t>兴国石油分公司江背加油站</w:t>
      </w:r>
      <w:r>
        <w:rPr>
          <w:rFonts w:hint="eastAsia" w:ascii="Times New Roman" w:hAnsi="Times New Roman" w:cs="Times New Roman"/>
          <w:color w:val="auto"/>
          <w:sz w:val="28"/>
          <w:szCs w:val="28"/>
        </w:rPr>
        <w:t>安全设施符合性诊断及整改设计》</w:t>
      </w:r>
      <w:r>
        <w:rPr>
          <w:rFonts w:hint="eastAsia" w:ascii="Times New Roman" w:hAnsi="Times New Roman" w:cs="Times New Roman"/>
          <w:color w:val="auto"/>
          <w:sz w:val="28"/>
          <w:szCs w:val="28"/>
          <w:lang w:eastAsia="zh-CN"/>
        </w:rPr>
        <w:t>，在</w:t>
      </w:r>
      <w:r>
        <w:rPr>
          <w:rFonts w:hint="eastAsia" w:ascii="Times New Roman" w:hAnsi="Times New Roman" w:cs="宋体"/>
          <w:color w:val="auto"/>
          <w:sz w:val="28"/>
          <w:szCs w:val="28"/>
        </w:rPr>
        <w:t>项目诊断及整改设计中提出的整改情况详见下表：</w:t>
      </w:r>
    </w:p>
    <w:p w14:paraId="7F2EE999">
      <w:pPr>
        <w:autoSpaceDE w:val="0"/>
        <w:autoSpaceDN w:val="0"/>
        <w:adjustRightInd w:val="0"/>
        <w:jc w:val="center"/>
        <w:rPr>
          <w:rFonts w:ascii="Times New Roman" w:hAnsi="Times New Roman" w:cs="宋体"/>
          <w:color w:val="auto"/>
          <w:sz w:val="24"/>
          <w:szCs w:val="24"/>
        </w:rPr>
      </w:pPr>
      <w:r>
        <w:rPr>
          <w:rFonts w:hint="eastAsia" w:ascii="Times New Roman" w:hAnsi="Times New Roman" w:cs="宋体"/>
          <w:color w:val="auto"/>
          <w:sz w:val="24"/>
          <w:szCs w:val="24"/>
        </w:rPr>
        <w:t>表</w:t>
      </w:r>
      <w:r>
        <w:rPr>
          <w:rFonts w:hint="eastAsia" w:ascii="Times New Roman" w:hAnsi="Times New Roman" w:cs="Times New Roman"/>
          <w:color w:val="auto"/>
          <w:sz w:val="24"/>
          <w:szCs w:val="24"/>
        </w:rPr>
        <w:t>6.1</w:t>
      </w:r>
      <w:r>
        <w:rPr>
          <w:rFonts w:ascii="Times New Roman" w:hAnsi="Times New Roman" w:cs="Times New Roman"/>
          <w:color w:val="auto"/>
          <w:sz w:val="24"/>
          <w:szCs w:val="24"/>
        </w:rPr>
        <w:t xml:space="preserve">-1 </w:t>
      </w:r>
      <w:r>
        <w:rPr>
          <w:rFonts w:hint="eastAsia" w:ascii="Times New Roman" w:hAnsi="Times New Roman" w:cs="宋体"/>
          <w:color w:val="auto"/>
          <w:sz w:val="24"/>
          <w:szCs w:val="24"/>
        </w:rPr>
        <w:t>诊断及整改设计中提出的整改项落实情况</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4"/>
        <w:gridCol w:w="4505"/>
        <w:gridCol w:w="3709"/>
      </w:tblGrid>
      <w:tr w14:paraId="07C0F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tblHeader/>
          <w:jc w:val="center"/>
        </w:trPr>
        <w:tc>
          <w:tcPr>
            <w:tcW w:w="824" w:type="dxa"/>
            <w:vAlign w:val="center"/>
          </w:tcPr>
          <w:p w14:paraId="638B7610">
            <w:pPr>
              <w:jc w:val="center"/>
              <w:rPr>
                <w:rFonts w:ascii="Times New Roman" w:hAnsi="Times New Roman" w:cs="Times New Roman"/>
                <w:b/>
                <w:color w:val="auto"/>
              </w:rPr>
            </w:pPr>
            <w:r>
              <w:rPr>
                <w:rFonts w:hint="eastAsia" w:ascii="Times New Roman" w:hAnsi="Times New Roman" w:cs="Times New Roman"/>
                <w:b/>
                <w:color w:val="auto"/>
              </w:rPr>
              <w:t>序号</w:t>
            </w:r>
          </w:p>
        </w:tc>
        <w:tc>
          <w:tcPr>
            <w:tcW w:w="4505" w:type="dxa"/>
            <w:vAlign w:val="center"/>
          </w:tcPr>
          <w:p w14:paraId="6CF9862E">
            <w:pPr>
              <w:jc w:val="center"/>
              <w:rPr>
                <w:rFonts w:ascii="Times New Roman" w:hAnsi="Times New Roman" w:cs="Times New Roman"/>
                <w:b/>
                <w:color w:val="auto"/>
              </w:rPr>
            </w:pPr>
            <w:r>
              <w:rPr>
                <w:rFonts w:hint="eastAsia" w:ascii="Times New Roman" w:hAnsi="Times New Roman" w:cs="Times New Roman"/>
                <w:b/>
                <w:color w:val="auto"/>
              </w:rPr>
              <w:t>诊断发现的问题</w:t>
            </w:r>
          </w:p>
        </w:tc>
        <w:tc>
          <w:tcPr>
            <w:tcW w:w="3709" w:type="dxa"/>
            <w:vAlign w:val="center"/>
          </w:tcPr>
          <w:p w14:paraId="7CCD5051">
            <w:pPr>
              <w:jc w:val="center"/>
              <w:rPr>
                <w:rFonts w:ascii="Times New Roman" w:hAnsi="Times New Roman" w:cs="Times New Roman"/>
                <w:b/>
                <w:color w:val="auto"/>
              </w:rPr>
            </w:pPr>
            <w:r>
              <w:rPr>
                <w:rFonts w:hint="eastAsia" w:ascii="Times New Roman" w:hAnsi="Times New Roman" w:cs="Times New Roman"/>
                <w:b/>
                <w:color w:val="auto"/>
              </w:rPr>
              <w:t>落实情况</w:t>
            </w:r>
          </w:p>
        </w:tc>
      </w:tr>
      <w:tr w14:paraId="50DE6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24" w:type="dxa"/>
            <w:vAlign w:val="center"/>
          </w:tcPr>
          <w:p w14:paraId="6AF17849">
            <w:pPr>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1</w:t>
            </w:r>
          </w:p>
        </w:tc>
        <w:tc>
          <w:tcPr>
            <w:tcW w:w="4505" w:type="dxa"/>
            <w:shd w:val="clear" w:color="auto" w:fill="auto"/>
            <w:vAlign w:val="center"/>
          </w:tcPr>
          <w:p w14:paraId="2716D445">
            <w:pPr>
              <w:widowControl/>
              <w:textAlignment w:val="center"/>
              <w:rPr>
                <w:rFonts w:ascii="宋体" w:hAnsi="宋体" w:cs="宋体"/>
                <w:color w:val="auto"/>
              </w:rPr>
            </w:pPr>
            <w:r>
              <w:rPr>
                <w:rFonts w:hint="default" w:ascii="宋体" w:hAnsi="宋体" w:eastAsia="宋体" w:cs="宋体"/>
                <w:i w:val="0"/>
                <w:iCs w:val="0"/>
                <w:color w:val="auto"/>
                <w:kern w:val="2"/>
                <w:sz w:val="21"/>
                <w:szCs w:val="21"/>
                <w:u w:val="none"/>
                <w:lang w:val="en-US" w:eastAsia="zh-CN" w:bidi="ar-SA"/>
              </w:rPr>
              <w:t>卸油口旁不是实体围墙，爆炸危险区域超出围墙范围内。</w:t>
            </w:r>
          </w:p>
        </w:tc>
        <w:tc>
          <w:tcPr>
            <w:tcW w:w="3709" w:type="dxa"/>
            <w:shd w:val="clear" w:color="auto" w:fill="auto"/>
            <w:vAlign w:val="center"/>
          </w:tcPr>
          <w:p w14:paraId="2B429001">
            <w:pPr>
              <w:widowControl/>
              <w:textAlignment w:val="center"/>
              <w:rPr>
                <w:rFonts w:ascii="宋体" w:hAnsi="宋体" w:cs="宋体"/>
                <w:color w:val="auto"/>
              </w:rPr>
            </w:pPr>
            <w:r>
              <w:rPr>
                <w:rFonts w:hint="eastAsia" w:ascii="宋体" w:hAnsi="宋体" w:cs="宋体"/>
                <w:color w:val="auto"/>
              </w:rPr>
              <w:t>将卸油口周边围栏换成</w:t>
            </w:r>
            <w:r>
              <w:rPr>
                <w:rFonts w:hint="eastAsia" w:ascii="宋体" w:hAnsi="宋体" w:cs="宋体"/>
                <w:color w:val="auto"/>
                <w:lang w:val="en-US" w:eastAsia="zh-CN"/>
              </w:rPr>
              <w:t>2.2</w:t>
            </w:r>
            <w:r>
              <w:rPr>
                <w:rFonts w:hint="eastAsia" w:ascii="宋体" w:hAnsi="宋体" w:cs="宋体"/>
                <w:color w:val="auto"/>
              </w:rPr>
              <w:t xml:space="preserve"> 高实体围墙</w:t>
            </w:r>
          </w:p>
        </w:tc>
      </w:tr>
      <w:tr w14:paraId="1CADE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24" w:type="dxa"/>
            <w:vAlign w:val="center"/>
          </w:tcPr>
          <w:p w14:paraId="55628096">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4505" w:type="dxa"/>
            <w:shd w:val="clear" w:color="auto" w:fill="auto"/>
            <w:vAlign w:val="center"/>
          </w:tcPr>
          <w:p w14:paraId="137DCBC7">
            <w:pPr>
              <w:numPr>
                <w:ilvl w:val="0"/>
                <w:numId w:val="0"/>
              </w:numPr>
              <w:rPr>
                <w:rFonts w:hint="eastAsia" w:ascii="宋体" w:hAnsi="宋体" w:cs="宋体"/>
                <w:color w:val="auto"/>
              </w:rPr>
            </w:pPr>
            <w:r>
              <w:rPr>
                <w:rFonts w:hint="default" w:ascii="宋体" w:hAnsi="宋体" w:eastAsia="宋体" w:cs="宋体"/>
                <w:i w:val="0"/>
                <w:iCs w:val="0"/>
                <w:color w:val="auto"/>
                <w:kern w:val="2"/>
                <w:sz w:val="21"/>
                <w:szCs w:val="21"/>
                <w:u w:val="none"/>
                <w:lang w:val="en-US" w:eastAsia="zh-CN" w:bidi="ar-SA"/>
              </w:rPr>
              <w:t>配电间未配置防火门</w:t>
            </w:r>
          </w:p>
        </w:tc>
        <w:tc>
          <w:tcPr>
            <w:tcW w:w="3709" w:type="dxa"/>
            <w:shd w:val="clear" w:color="auto" w:fill="auto"/>
            <w:vAlign w:val="center"/>
          </w:tcPr>
          <w:p w14:paraId="298439FF">
            <w:pPr>
              <w:widowControl/>
              <w:textAlignment w:val="center"/>
              <w:rPr>
                <w:rFonts w:hint="eastAsia" w:ascii="宋体" w:hAnsi="宋体" w:cs="宋体"/>
                <w:color w:val="auto"/>
              </w:rPr>
            </w:pPr>
            <w:r>
              <w:rPr>
                <w:rFonts w:hint="eastAsia" w:ascii="宋体" w:hAnsi="宋体" w:cs="宋体"/>
                <w:color w:val="auto"/>
              </w:rPr>
              <w:t>配电间设置防火门</w:t>
            </w:r>
          </w:p>
        </w:tc>
      </w:tr>
      <w:tr w14:paraId="0DD66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24" w:type="dxa"/>
            <w:vAlign w:val="center"/>
          </w:tcPr>
          <w:p w14:paraId="1B510FA1">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4505" w:type="dxa"/>
            <w:shd w:val="clear" w:color="auto" w:fill="auto"/>
            <w:vAlign w:val="center"/>
          </w:tcPr>
          <w:p w14:paraId="0C1BF164">
            <w:pPr>
              <w:widowControl/>
              <w:textAlignment w:val="center"/>
              <w:rPr>
                <w:rFonts w:hint="eastAsia" w:ascii="宋体" w:hAnsi="宋体" w:cs="宋体"/>
                <w:color w:val="auto"/>
              </w:rPr>
            </w:pPr>
            <w:r>
              <w:rPr>
                <w:rFonts w:hint="default" w:ascii="宋体" w:hAnsi="宋体" w:eastAsia="宋体" w:cs="宋体"/>
                <w:i w:val="0"/>
                <w:iCs w:val="0"/>
                <w:color w:val="auto"/>
                <w:kern w:val="2"/>
                <w:sz w:val="21"/>
                <w:szCs w:val="21"/>
                <w:u w:val="none"/>
                <w:lang w:val="en-US" w:eastAsia="zh-CN" w:bidi="ar-SA"/>
              </w:rPr>
              <w:t>现场发现无手持式可燃气体检测仪，不符合要求</w:t>
            </w:r>
          </w:p>
        </w:tc>
        <w:tc>
          <w:tcPr>
            <w:tcW w:w="3709" w:type="dxa"/>
            <w:shd w:val="clear" w:color="auto" w:fill="auto"/>
            <w:vAlign w:val="center"/>
          </w:tcPr>
          <w:p w14:paraId="736B45FC">
            <w:pPr>
              <w:widowControl/>
              <w:textAlignment w:val="center"/>
              <w:rPr>
                <w:rFonts w:hint="eastAsia" w:ascii="宋体" w:hAnsi="宋体" w:cs="宋体"/>
                <w:color w:val="auto"/>
              </w:rPr>
            </w:pPr>
            <w:r>
              <w:rPr>
                <w:rFonts w:hint="eastAsia" w:ascii="宋体" w:hAnsi="宋体" w:cs="宋体"/>
                <w:color w:val="auto"/>
              </w:rPr>
              <w:t>配置1个手持式可燃气体检测仪。</w:t>
            </w:r>
          </w:p>
        </w:tc>
      </w:tr>
    </w:tbl>
    <w:p w14:paraId="169AE8B5">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中国石化销售股份有限公司江西赣州</w:t>
      </w:r>
      <w:r>
        <w:rPr>
          <w:rFonts w:hint="eastAsia" w:ascii="Times New Roman" w:hAnsi="Times New Roman" w:cs="宋体"/>
          <w:color w:val="auto"/>
          <w:sz w:val="28"/>
          <w:szCs w:val="28"/>
          <w:lang w:eastAsia="zh-CN"/>
        </w:rPr>
        <w:t>兴国石油分公司江背加油站</w:t>
      </w:r>
      <w:r>
        <w:rPr>
          <w:rFonts w:hint="eastAsia" w:ascii="Times New Roman" w:hAnsi="Times New Roman" w:cs="宋体"/>
          <w:color w:val="auto"/>
          <w:sz w:val="28"/>
          <w:szCs w:val="28"/>
        </w:rPr>
        <w:t>对诊断及整改设计中提出的现场问题进行了整改，并出具了整改回复（见附件）详见附件。</w:t>
      </w:r>
    </w:p>
    <w:p w14:paraId="798BCB1C">
      <w:pPr>
        <w:keepNext/>
        <w:keepLines/>
        <w:spacing w:line="600" w:lineRule="exact"/>
        <w:outlineLvl w:val="1"/>
        <w:rPr>
          <w:rFonts w:ascii="Times New Roman" w:hAnsi="Times New Roman" w:cs="Times New Roman"/>
          <w:b/>
          <w:bCs/>
          <w:color w:val="auto"/>
          <w:sz w:val="28"/>
          <w:szCs w:val="28"/>
        </w:rPr>
      </w:pPr>
      <w:bookmarkStart w:id="219" w:name="_Toc6656"/>
      <w:r>
        <w:rPr>
          <w:rFonts w:hint="eastAsia" w:ascii="Times New Roman" w:hAnsi="Times New Roman" w:cs="Times New Roman"/>
          <w:b/>
          <w:bCs/>
          <w:color w:val="auto"/>
          <w:sz w:val="28"/>
          <w:szCs w:val="28"/>
        </w:rPr>
        <w:t>6</w:t>
      </w:r>
      <w:r>
        <w:rPr>
          <w:rFonts w:ascii="Times New Roman" w:hAnsi="Times New Roman" w:cs="Times New Roman"/>
          <w:b/>
          <w:bCs/>
          <w:color w:val="auto"/>
          <w:sz w:val="28"/>
          <w:szCs w:val="28"/>
        </w:rPr>
        <w:t>.</w:t>
      </w:r>
      <w:r>
        <w:rPr>
          <w:rFonts w:hint="eastAsia" w:ascii="Times New Roman" w:hAnsi="Times New Roman" w:cs="Times New Roman"/>
          <w:b/>
          <w:bCs/>
          <w:color w:val="auto"/>
          <w:sz w:val="28"/>
          <w:szCs w:val="28"/>
        </w:rPr>
        <w:t>2</w:t>
      </w:r>
      <w:r>
        <w:rPr>
          <w:rFonts w:hint="eastAsia" w:ascii="Times New Roman" w:hAnsi="Times New Roman" w:cs="宋体"/>
          <w:b/>
          <w:bCs/>
          <w:color w:val="auto"/>
          <w:sz w:val="28"/>
          <w:szCs w:val="28"/>
        </w:rPr>
        <w:t>隐患整改措施</w:t>
      </w:r>
      <w:bookmarkEnd w:id="213"/>
      <w:bookmarkEnd w:id="214"/>
      <w:bookmarkEnd w:id="215"/>
      <w:bookmarkEnd w:id="216"/>
      <w:bookmarkEnd w:id="217"/>
      <w:bookmarkEnd w:id="218"/>
      <w:bookmarkEnd w:id="219"/>
    </w:p>
    <w:p w14:paraId="7BC535F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依据有关法规、标准的要求，评价组对加油站进行了现场核查，检查中发现的隐患</w:t>
      </w:r>
      <w:r>
        <w:rPr>
          <w:rFonts w:hint="eastAsia" w:ascii="Times New Roman" w:hAnsi="Times New Roman" w:cs="宋体"/>
          <w:color w:val="auto"/>
          <w:sz w:val="28"/>
          <w:szCs w:val="28"/>
          <w:lang w:eastAsia="zh-CN"/>
        </w:rPr>
        <w:t>如下</w:t>
      </w:r>
      <w:r>
        <w:rPr>
          <w:rFonts w:hint="eastAsia" w:ascii="Times New Roman" w:hAnsi="Times New Roman" w:cs="宋体"/>
          <w:color w:val="auto"/>
          <w:sz w:val="28"/>
          <w:szCs w:val="28"/>
        </w:rPr>
        <w:t>表</w:t>
      </w:r>
      <w:r>
        <w:rPr>
          <w:rFonts w:hint="eastAsia" w:ascii="Times New Roman" w:hAnsi="Times New Roman" w:cs="Times New Roman"/>
          <w:color w:val="auto"/>
          <w:sz w:val="28"/>
          <w:szCs w:val="28"/>
        </w:rPr>
        <w:t>6.2</w:t>
      </w:r>
      <w:r>
        <w:rPr>
          <w:rFonts w:ascii="Times New Roman" w:hAnsi="Times New Roman" w:cs="Times New Roman"/>
          <w:color w:val="auto"/>
          <w:sz w:val="28"/>
          <w:szCs w:val="28"/>
        </w:rPr>
        <w:t>-1</w:t>
      </w:r>
      <w:r>
        <w:rPr>
          <w:rFonts w:hint="eastAsia" w:ascii="Times New Roman" w:hAnsi="Times New Roman" w:cs="宋体"/>
          <w:color w:val="auto"/>
          <w:sz w:val="28"/>
          <w:szCs w:val="28"/>
        </w:rPr>
        <w:t>所示：</w:t>
      </w:r>
    </w:p>
    <w:p w14:paraId="61E9790A">
      <w:pPr>
        <w:autoSpaceDE w:val="0"/>
        <w:autoSpaceDN w:val="0"/>
        <w:adjustRightInd w:val="0"/>
        <w:jc w:val="center"/>
        <w:rPr>
          <w:rFonts w:ascii="Times New Roman" w:hAnsi="Times New Roman" w:cs="宋体"/>
          <w:color w:val="auto"/>
          <w:sz w:val="24"/>
          <w:szCs w:val="24"/>
        </w:rPr>
      </w:pPr>
      <w:r>
        <w:rPr>
          <w:rFonts w:hint="eastAsia" w:ascii="Times New Roman" w:hAnsi="Times New Roman" w:cs="宋体"/>
          <w:color w:val="auto"/>
          <w:sz w:val="24"/>
          <w:szCs w:val="24"/>
        </w:rPr>
        <w:t>表6.2-1 隐患整改措施</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1"/>
        <w:gridCol w:w="4594"/>
        <w:gridCol w:w="3783"/>
      </w:tblGrid>
      <w:tr w14:paraId="24E6A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tblHeader/>
          <w:jc w:val="center"/>
        </w:trPr>
        <w:tc>
          <w:tcPr>
            <w:tcW w:w="841" w:type="dxa"/>
            <w:vAlign w:val="center"/>
          </w:tcPr>
          <w:p w14:paraId="5B6B4FD0">
            <w:pPr>
              <w:jc w:val="center"/>
              <w:rPr>
                <w:rFonts w:ascii="Times New Roman" w:hAnsi="Times New Roman" w:cs="Times New Roman"/>
                <w:b/>
                <w:color w:val="auto"/>
              </w:rPr>
            </w:pPr>
            <w:r>
              <w:rPr>
                <w:rFonts w:hint="eastAsia" w:ascii="Times New Roman" w:hAnsi="Times New Roman" w:cs="Times New Roman"/>
                <w:b/>
                <w:color w:val="auto"/>
              </w:rPr>
              <w:t>序号</w:t>
            </w:r>
          </w:p>
        </w:tc>
        <w:tc>
          <w:tcPr>
            <w:tcW w:w="4594" w:type="dxa"/>
            <w:vAlign w:val="center"/>
          </w:tcPr>
          <w:p w14:paraId="17F8F670">
            <w:pPr>
              <w:jc w:val="center"/>
              <w:rPr>
                <w:rFonts w:ascii="Times New Roman" w:hAnsi="Times New Roman" w:cs="Times New Roman"/>
                <w:b/>
                <w:color w:val="auto"/>
              </w:rPr>
            </w:pPr>
            <w:r>
              <w:rPr>
                <w:rFonts w:hint="eastAsia" w:ascii="Times New Roman" w:hAnsi="Times New Roman" w:cs="Times New Roman"/>
                <w:b/>
                <w:color w:val="auto"/>
              </w:rPr>
              <w:t>现场存在问题</w:t>
            </w:r>
          </w:p>
        </w:tc>
        <w:tc>
          <w:tcPr>
            <w:tcW w:w="3783" w:type="dxa"/>
            <w:vAlign w:val="center"/>
          </w:tcPr>
          <w:p w14:paraId="3DE98DAC">
            <w:pPr>
              <w:jc w:val="center"/>
              <w:rPr>
                <w:rFonts w:ascii="Times New Roman" w:hAnsi="Times New Roman" w:cs="Times New Roman"/>
                <w:b/>
                <w:color w:val="auto"/>
              </w:rPr>
            </w:pPr>
            <w:r>
              <w:rPr>
                <w:rFonts w:hint="eastAsia" w:ascii="Times New Roman" w:hAnsi="Times New Roman" w:cs="Times New Roman"/>
                <w:b/>
                <w:color w:val="auto"/>
              </w:rPr>
              <w:t>整改建议</w:t>
            </w:r>
          </w:p>
        </w:tc>
      </w:tr>
      <w:tr w14:paraId="75974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1" w:type="dxa"/>
            <w:vAlign w:val="center"/>
          </w:tcPr>
          <w:p w14:paraId="3972D772">
            <w:pPr>
              <w:jc w:val="center"/>
              <w:rPr>
                <w:rFonts w:ascii="Times New Roman" w:hAnsi="Times New Roman" w:cs="Times New Roman"/>
                <w:color w:val="auto"/>
              </w:rPr>
            </w:pPr>
            <w:r>
              <w:rPr>
                <w:rFonts w:ascii="Times New Roman" w:hAnsi="Times New Roman" w:cs="Times New Roman"/>
                <w:color w:val="auto"/>
              </w:rPr>
              <w:t>1</w:t>
            </w:r>
          </w:p>
        </w:tc>
        <w:tc>
          <w:tcPr>
            <w:tcW w:w="4594" w:type="dxa"/>
            <w:shd w:val="clear" w:color="auto" w:fill="auto"/>
            <w:vAlign w:val="center"/>
          </w:tcPr>
          <w:p w14:paraId="360ACDD6">
            <w:pPr>
              <w:keepNext w:val="0"/>
              <w:keepLines w:val="0"/>
              <w:widowControl/>
              <w:suppressLineNumbers w:val="0"/>
              <w:jc w:val="both"/>
              <w:textAlignment w:val="center"/>
              <w:rPr>
                <w:rFonts w:ascii="宋体" w:hAnsi="宋体" w:cs="宋体"/>
                <w:color w:val="auto"/>
              </w:rPr>
            </w:pPr>
            <w:r>
              <w:rPr>
                <w:rFonts w:ascii="宋体" w:hAnsi="宋体"/>
                <w:color w:val="auto"/>
              </w:rPr>
              <w:t>加油机配置</w:t>
            </w:r>
            <w:r>
              <w:rPr>
                <w:rFonts w:hint="eastAsia" w:ascii="宋体" w:hAnsi="宋体"/>
                <w:color w:val="auto"/>
                <w:lang w:val="en-US" w:eastAsia="zh-CN"/>
              </w:rPr>
              <w:t>4</w:t>
            </w:r>
            <w:r>
              <w:rPr>
                <w:rFonts w:ascii="宋体" w:hAnsi="宋体"/>
                <w:color w:val="auto"/>
              </w:rPr>
              <w:t>kg手提式干粉灭火器</w:t>
            </w:r>
          </w:p>
        </w:tc>
        <w:tc>
          <w:tcPr>
            <w:tcW w:w="3783" w:type="dxa"/>
            <w:shd w:val="clear" w:color="auto" w:fill="auto"/>
            <w:vAlign w:val="center"/>
          </w:tcPr>
          <w:p w14:paraId="426A97BF">
            <w:pPr>
              <w:keepNext w:val="0"/>
              <w:keepLines w:val="0"/>
              <w:widowControl/>
              <w:suppressLineNumbers w:val="0"/>
              <w:jc w:val="both"/>
              <w:textAlignment w:val="center"/>
              <w:rPr>
                <w:rFonts w:ascii="宋体" w:hAnsi="宋体" w:cs="Times New Roman"/>
                <w:color w:val="auto"/>
                <w:kern w:val="0"/>
                <w:sz w:val="24"/>
                <w:szCs w:val="24"/>
              </w:rPr>
            </w:pPr>
            <w:r>
              <w:rPr>
                <w:rFonts w:hint="default" w:ascii="宋体" w:hAnsi="宋体" w:eastAsia="宋体" w:cs="宋体"/>
                <w:i w:val="0"/>
                <w:iCs w:val="0"/>
                <w:color w:val="auto"/>
                <w:kern w:val="2"/>
                <w:sz w:val="21"/>
                <w:szCs w:val="21"/>
                <w:u w:val="none"/>
                <w:lang w:val="en-US" w:eastAsia="zh-CN" w:bidi="ar-SA"/>
              </w:rPr>
              <w:t>将加油机区域灭火器更换为5kg手提式干粉灭火器</w:t>
            </w:r>
          </w:p>
        </w:tc>
      </w:tr>
    </w:tbl>
    <w:p w14:paraId="4D6EC2A5">
      <w:pPr>
        <w:outlineLvl w:val="1"/>
        <w:rPr>
          <w:rFonts w:ascii="Times New Roman" w:hAnsi="Times New Roman" w:cs="Times New Roman"/>
          <w:b/>
          <w:bCs/>
          <w:color w:val="auto"/>
          <w:sz w:val="28"/>
          <w:szCs w:val="28"/>
        </w:rPr>
      </w:pPr>
      <w:bookmarkStart w:id="220" w:name="_Toc20468435"/>
      <w:bookmarkStart w:id="221" w:name="_Toc9821"/>
      <w:bookmarkStart w:id="222" w:name="_Toc30063"/>
      <w:bookmarkStart w:id="223" w:name="_Toc17959"/>
      <w:r>
        <w:rPr>
          <w:rFonts w:hint="eastAsia" w:ascii="Times New Roman" w:hAnsi="Times New Roman" w:cs="Times New Roman"/>
          <w:b/>
          <w:bCs/>
          <w:color w:val="auto"/>
          <w:sz w:val="28"/>
          <w:szCs w:val="28"/>
        </w:rPr>
        <w:t>6</w:t>
      </w:r>
      <w:r>
        <w:rPr>
          <w:rFonts w:ascii="Times New Roman" w:hAnsi="Times New Roman" w:cs="Times New Roman"/>
          <w:b/>
          <w:bCs/>
          <w:color w:val="auto"/>
          <w:sz w:val="28"/>
          <w:szCs w:val="28"/>
        </w:rPr>
        <w:t>.</w:t>
      </w:r>
      <w:r>
        <w:rPr>
          <w:rFonts w:hint="eastAsia" w:ascii="Times New Roman" w:hAnsi="Times New Roman" w:cs="Times New Roman"/>
          <w:b/>
          <w:bCs/>
          <w:color w:val="auto"/>
          <w:sz w:val="28"/>
          <w:szCs w:val="28"/>
        </w:rPr>
        <w:t>3</w:t>
      </w:r>
      <w:r>
        <w:rPr>
          <w:rFonts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整改</w:t>
      </w:r>
      <w:bookmarkEnd w:id="220"/>
      <w:r>
        <w:rPr>
          <w:rFonts w:hint="eastAsia" w:ascii="Times New Roman" w:hAnsi="Times New Roman" w:cs="宋体"/>
          <w:b/>
          <w:bCs/>
          <w:color w:val="auto"/>
          <w:sz w:val="28"/>
          <w:szCs w:val="28"/>
        </w:rPr>
        <w:t>落实情况</w:t>
      </w:r>
      <w:bookmarkEnd w:id="221"/>
      <w:bookmarkEnd w:id="222"/>
      <w:bookmarkEnd w:id="223"/>
    </w:p>
    <w:p w14:paraId="74EA8CA0">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中国石化销售股份有限公司江西赣州</w:t>
      </w:r>
      <w:r>
        <w:rPr>
          <w:rFonts w:hint="eastAsia" w:ascii="Times New Roman" w:hAnsi="Times New Roman" w:cs="宋体"/>
          <w:color w:val="auto"/>
          <w:sz w:val="28"/>
          <w:szCs w:val="28"/>
          <w:lang w:eastAsia="zh-CN"/>
        </w:rPr>
        <w:t>兴国石油分公司江背加油站</w:t>
      </w:r>
      <w:r>
        <w:rPr>
          <w:rFonts w:hint="eastAsia" w:ascii="Times New Roman" w:hAnsi="Times New Roman" w:cs="宋体"/>
          <w:color w:val="auto"/>
          <w:sz w:val="28"/>
          <w:szCs w:val="28"/>
        </w:rPr>
        <w:t>对评价组提出的现场问题进行了整改，评价组对加油站现场进行了复核，加油站对评价组和诊断设计中提出的整改项已完成整改。整改回复见附件。</w:t>
      </w:r>
    </w:p>
    <w:p w14:paraId="1A1CADC7">
      <w:pPr>
        <w:outlineLvl w:val="1"/>
        <w:rPr>
          <w:rFonts w:ascii="Times New Roman" w:hAnsi="Times New Roman" w:cs="宋体"/>
          <w:b/>
          <w:bCs/>
          <w:color w:val="auto"/>
          <w:sz w:val="28"/>
          <w:szCs w:val="28"/>
        </w:rPr>
      </w:pPr>
      <w:bookmarkStart w:id="224" w:name="_Toc12836"/>
      <w:r>
        <w:rPr>
          <w:rFonts w:hint="eastAsia" w:ascii="Times New Roman" w:hAnsi="Times New Roman" w:cs="Times New Roman"/>
          <w:b/>
          <w:bCs/>
          <w:color w:val="auto"/>
          <w:sz w:val="28"/>
          <w:szCs w:val="28"/>
        </w:rPr>
        <w:t>6</w:t>
      </w:r>
      <w:r>
        <w:rPr>
          <w:rFonts w:ascii="Times New Roman" w:hAnsi="Times New Roman" w:cs="Times New Roman"/>
          <w:b/>
          <w:bCs/>
          <w:color w:val="auto"/>
          <w:sz w:val="28"/>
          <w:szCs w:val="28"/>
        </w:rPr>
        <w:t>.</w:t>
      </w:r>
      <w:r>
        <w:rPr>
          <w:rFonts w:hint="eastAsia" w:ascii="Times New Roman" w:hAnsi="Times New Roman" w:cs="Times New Roman"/>
          <w:b/>
          <w:bCs/>
          <w:color w:val="auto"/>
          <w:sz w:val="28"/>
          <w:szCs w:val="28"/>
        </w:rPr>
        <w:t>4</w:t>
      </w:r>
      <w:r>
        <w:rPr>
          <w:rFonts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建议补充的安全对策措施</w:t>
      </w:r>
      <w:bookmarkEnd w:id="224"/>
    </w:p>
    <w:p w14:paraId="51DA5590">
      <w:pPr>
        <w:numPr>
          <w:ilvl w:val="0"/>
          <w:numId w:val="15"/>
        </w:numPr>
        <w:tabs>
          <w:tab w:val="left" w:pos="900"/>
        </w:tabs>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该加油站进、出口均具有一定的坡度，在加油车辆较多时，加油站应加强加油车辆的引导工作。</w:t>
      </w:r>
    </w:p>
    <w:p w14:paraId="209FF52C">
      <w:pPr>
        <w:numPr>
          <w:ilvl w:val="0"/>
          <w:numId w:val="15"/>
        </w:numPr>
        <w:tabs>
          <w:tab w:val="left" w:pos="900"/>
        </w:tabs>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按《危险化学品经营许可证管理办法</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rPr>
        <w:t>江西省安全生产条例》的要求进一步完善安全生产规章制度。</w:t>
      </w:r>
      <w:r>
        <w:rPr>
          <w:rFonts w:ascii="Times New Roman" w:hAnsi="Times New Roman" w:cs="Times New Roman"/>
          <w:color w:val="auto"/>
          <w:sz w:val="28"/>
          <w:szCs w:val="28"/>
        </w:rPr>
        <w:t>建议进一步加强安全管理工作，</w:t>
      </w:r>
      <w:r>
        <w:rPr>
          <w:rFonts w:hint="eastAsia" w:ascii="Times New Roman" w:hAnsi="Times New Roman" w:cs="Times New Roman"/>
          <w:color w:val="auto"/>
          <w:sz w:val="28"/>
          <w:szCs w:val="28"/>
        </w:rPr>
        <w:t>注重安全教育培训，</w:t>
      </w:r>
      <w:r>
        <w:rPr>
          <w:rFonts w:ascii="Times New Roman" w:hAnsi="Times New Roman" w:cs="Times New Roman"/>
          <w:color w:val="auto"/>
          <w:sz w:val="28"/>
          <w:szCs w:val="28"/>
        </w:rPr>
        <w:t>认真落实安全管理制度</w:t>
      </w:r>
      <w:r>
        <w:rPr>
          <w:rFonts w:hint="eastAsia" w:ascii="Times New Roman" w:hAnsi="Times New Roman" w:cs="Times New Roman"/>
          <w:color w:val="auto"/>
          <w:sz w:val="28"/>
          <w:szCs w:val="28"/>
        </w:rPr>
        <w:t>。</w:t>
      </w:r>
    </w:p>
    <w:p w14:paraId="76C4BCBA">
      <w:pPr>
        <w:numPr>
          <w:ilvl w:val="0"/>
          <w:numId w:val="15"/>
        </w:numPr>
        <w:tabs>
          <w:tab w:val="left" w:pos="900"/>
        </w:tabs>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严格执行规章制度和操作规程，防止事故发生</w:t>
      </w:r>
      <w:r>
        <w:rPr>
          <w:rFonts w:hint="eastAsia" w:ascii="Times New Roman" w:hAnsi="Times New Roman" w:cs="Times New Roman"/>
          <w:color w:val="auto"/>
          <w:sz w:val="28"/>
          <w:szCs w:val="28"/>
        </w:rPr>
        <w:t>。</w:t>
      </w:r>
    </w:p>
    <w:p w14:paraId="0F895602">
      <w:pPr>
        <w:numPr>
          <w:ilvl w:val="0"/>
          <w:numId w:val="15"/>
        </w:num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加强现场管理工作，</w:t>
      </w:r>
      <w:r>
        <w:rPr>
          <w:rFonts w:hint="eastAsia" w:ascii="Times New Roman" w:hAnsi="Times New Roman" w:cs="Times New Roman"/>
          <w:color w:val="auto"/>
          <w:sz w:val="28"/>
          <w:szCs w:val="28"/>
        </w:rPr>
        <w:t>严格控制明火、静电等点火源。</w:t>
      </w:r>
    </w:p>
    <w:p w14:paraId="58DB2BAC">
      <w:pPr>
        <w:numPr>
          <w:ilvl w:val="0"/>
          <w:numId w:val="15"/>
        </w:num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定期对员工进行消防知识培训，</w:t>
      </w:r>
      <w:r>
        <w:rPr>
          <w:rFonts w:hint="eastAsia" w:ascii="Times New Roman" w:hAnsi="Times New Roman" w:cs="Times New Roman"/>
          <w:color w:val="auto"/>
          <w:sz w:val="28"/>
          <w:szCs w:val="28"/>
        </w:rPr>
        <w:t>使从业人员</w:t>
      </w:r>
      <w:r>
        <w:rPr>
          <w:rFonts w:hint="eastAsia" w:ascii="Times New Roman" w:hAnsi="Times New Roman" w:cs="Times New Roman"/>
          <w:color w:val="auto"/>
          <w:sz w:val="28"/>
          <w:szCs w:val="28"/>
          <w:lang w:eastAsia="zh-CN"/>
        </w:rPr>
        <w:t>熟悉</w:t>
      </w:r>
      <w:r>
        <w:rPr>
          <w:rFonts w:hint="eastAsia" w:ascii="Times New Roman" w:hAnsi="Times New Roman" w:cs="Times New Roman"/>
          <w:color w:val="auto"/>
          <w:sz w:val="28"/>
          <w:szCs w:val="28"/>
        </w:rPr>
        <w:t>本岗位危险因素，熟练掌握</w:t>
      </w:r>
      <w:r>
        <w:rPr>
          <w:rFonts w:ascii="Times New Roman" w:hAnsi="Times New Roman" w:cs="Times New Roman"/>
          <w:color w:val="auto"/>
          <w:sz w:val="28"/>
          <w:szCs w:val="28"/>
        </w:rPr>
        <w:t>预防火灾</w:t>
      </w:r>
      <w:r>
        <w:rPr>
          <w:rFonts w:hint="eastAsia" w:ascii="Times New Roman" w:hAnsi="Times New Roman" w:cs="Times New Roman"/>
          <w:color w:val="auto"/>
          <w:sz w:val="28"/>
          <w:szCs w:val="28"/>
        </w:rPr>
        <w:t>、</w:t>
      </w:r>
      <w:r>
        <w:rPr>
          <w:rFonts w:ascii="Times New Roman" w:hAnsi="Times New Roman" w:cs="Times New Roman"/>
          <w:color w:val="auto"/>
          <w:sz w:val="28"/>
          <w:szCs w:val="28"/>
        </w:rPr>
        <w:t>消防器材</w:t>
      </w:r>
      <w:r>
        <w:rPr>
          <w:rFonts w:hint="eastAsia" w:ascii="Times New Roman" w:hAnsi="Times New Roman" w:cs="Times New Roman"/>
          <w:color w:val="auto"/>
          <w:sz w:val="28"/>
          <w:szCs w:val="28"/>
        </w:rPr>
        <w:t>使用技能。</w:t>
      </w:r>
    </w:p>
    <w:p w14:paraId="3F18AA74">
      <w:pPr>
        <w:numPr>
          <w:ilvl w:val="0"/>
          <w:numId w:val="15"/>
        </w:numPr>
        <w:spacing w:line="360" w:lineRule="auto"/>
        <w:ind w:firstLine="560" w:firstLineChars="200"/>
        <w:rPr>
          <w:rFonts w:ascii="Times New Roman" w:hAnsi="Times New Roman" w:cs="Times New Roman"/>
          <w:color w:val="auto"/>
          <w:sz w:val="28"/>
          <w:szCs w:val="28"/>
        </w:rPr>
      </w:pPr>
      <w:bookmarkStart w:id="225" w:name="_Toc59508645"/>
      <w:bookmarkStart w:id="226" w:name="_Toc59091927"/>
      <w:bookmarkStart w:id="227" w:name="_Toc59091646"/>
      <w:bookmarkStart w:id="228" w:name="_Toc59092445"/>
      <w:bookmarkStart w:id="229" w:name="_Toc59160081"/>
      <w:bookmarkStart w:id="230" w:name="_Toc59087153"/>
      <w:bookmarkStart w:id="231" w:name="_Toc59160145"/>
      <w:bookmarkStart w:id="232" w:name="_Toc59160017"/>
      <w:bookmarkStart w:id="233" w:name="_Toc59092822"/>
      <w:bookmarkStart w:id="234" w:name="_Toc59245419"/>
      <w:r>
        <w:rPr>
          <w:rFonts w:hint="eastAsia" w:ascii="Times New Roman" w:hAnsi="Times New Roman" w:cs="Times New Roman"/>
          <w:color w:val="auto"/>
          <w:sz w:val="28"/>
          <w:szCs w:val="28"/>
        </w:rPr>
        <w:t>定期对防雷装置、消防器材等进行检测、检查，</w:t>
      </w:r>
      <w:r>
        <w:rPr>
          <w:rFonts w:ascii="Times New Roman" w:hAnsi="Times New Roman" w:cs="Times New Roman"/>
          <w:color w:val="auto"/>
          <w:sz w:val="28"/>
          <w:szCs w:val="28"/>
        </w:rPr>
        <w:t>维护好</w:t>
      </w:r>
      <w:r>
        <w:rPr>
          <w:rFonts w:hint="eastAsia" w:ascii="Times New Roman" w:hAnsi="Times New Roman" w:cs="Times New Roman"/>
          <w:color w:val="auto"/>
          <w:sz w:val="28"/>
          <w:szCs w:val="28"/>
        </w:rPr>
        <w:t>安全</w:t>
      </w:r>
      <w:r>
        <w:rPr>
          <w:rFonts w:ascii="Times New Roman" w:hAnsi="Times New Roman" w:cs="Times New Roman"/>
          <w:color w:val="auto"/>
          <w:sz w:val="28"/>
          <w:szCs w:val="28"/>
        </w:rPr>
        <w:t>设备设施，进一步提高本质安全度，达到安全经营的目的。</w:t>
      </w:r>
    </w:p>
    <w:bookmarkEnd w:id="225"/>
    <w:bookmarkEnd w:id="226"/>
    <w:bookmarkEnd w:id="227"/>
    <w:bookmarkEnd w:id="228"/>
    <w:bookmarkEnd w:id="229"/>
    <w:bookmarkEnd w:id="230"/>
    <w:bookmarkEnd w:id="231"/>
    <w:bookmarkEnd w:id="232"/>
    <w:bookmarkEnd w:id="233"/>
    <w:bookmarkEnd w:id="234"/>
    <w:p w14:paraId="62B8FF4B">
      <w:pPr>
        <w:numPr>
          <w:ilvl w:val="0"/>
          <w:numId w:val="15"/>
        </w:numPr>
        <w:spacing w:line="360" w:lineRule="auto"/>
        <w:ind w:firstLine="560" w:firstLineChars="200"/>
        <w:rPr>
          <w:rFonts w:ascii="Times New Roman" w:hAnsi="Times New Roman" w:cs="宋体"/>
          <w:color w:val="auto"/>
          <w:sz w:val="28"/>
          <w:szCs w:val="28"/>
        </w:rPr>
      </w:pPr>
      <w:r>
        <w:rPr>
          <w:rFonts w:hint="eastAsia" w:ascii="Times New Roman" w:hAnsi="Times New Roman" w:cs="Times New Roman"/>
          <w:color w:val="auto"/>
          <w:sz w:val="28"/>
          <w:szCs w:val="28"/>
        </w:rPr>
        <w:t>定期对</w:t>
      </w:r>
      <w:r>
        <w:rPr>
          <w:rFonts w:ascii="Times New Roman" w:hAnsi="Times New Roman" w:cs="Times New Roman"/>
          <w:color w:val="auto"/>
          <w:sz w:val="28"/>
          <w:szCs w:val="28"/>
        </w:rPr>
        <w:t>应急预案</w:t>
      </w:r>
      <w:r>
        <w:rPr>
          <w:rFonts w:hint="eastAsia" w:ascii="Times New Roman" w:hAnsi="Times New Roman" w:cs="Times New Roman"/>
          <w:color w:val="auto"/>
          <w:sz w:val="28"/>
          <w:szCs w:val="28"/>
        </w:rPr>
        <w:t>进行分析评估</w:t>
      </w:r>
      <w:r>
        <w:rPr>
          <w:rFonts w:ascii="Times New Roman" w:hAnsi="Times New Roman" w:cs="Times New Roman"/>
          <w:color w:val="auto"/>
          <w:sz w:val="28"/>
          <w:szCs w:val="28"/>
        </w:rPr>
        <w:t>，对预案内容的针对性和实用性进行分析，及时修订应急预案</w:t>
      </w:r>
      <w:r>
        <w:rPr>
          <w:rFonts w:hint="eastAsia" w:ascii="Times New Roman" w:hAnsi="Times New Roman" w:cs="Times New Roman"/>
          <w:color w:val="auto"/>
          <w:sz w:val="28"/>
          <w:szCs w:val="28"/>
        </w:rPr>
        <w:t>。</w:t>
      </w:r>
    </w:p>
    <w:p w14:paraId="234B791C">
      <w:pPr>
        <w:pStyle w:val="33"/>
        <w:ind w:firstLine="0"/>
        <w:outlineLvl w:val="0"/>
        <w:rPr>
          <w:rFonts w:ascii="Times New Roman" w:cs="Times New Roman"/>
          <w:b/>
          <w:bCs/>
          <w:color w:val="auto"/>
          <w:sz w:val="28"/>
          <w:szCs w:val="28"/>
        </w:rPr>
      </w:pPr>
      <w:r>
        <w:rPr>
          <w:rFonts w:ascii="Times New Roman" w:cs="Times New Roman"/>
          <w:b/>
          <w:bCs/>
          <w:color w:val="auto"/>
          <w:kern w:val="36"/>
          <w:sz w:val="28"/>
          <w:szCs w:val="28"/>
        </w:rPr>
        <w:br w:type="page"/>
      </w:r>
      <w:bookmarkEnd w:id="207"/>
      <w:bookmarkEnd w:id="208"/>
      <w:bookmarkEnd w:id="209"/>
      <w:bookmarkStart w:id="235" w:name="_Toc7092"/>
      <w:bookmarkStart w:id="236" w:name="_Toc20557"/>
      <w:bookmarkStart w:id="237" w:name="_Toc32515"/>
      <w:bookmarkStart w:id="238" w:name="_Toc343692278"/>
      <w:r>
        <w:rPr>
          <w:rStyle w:val="35"/>
          <w:rFonts w:hint="eastAsia"/>
          <w:color w:val="auto"/>
        </w:rPr>
        <w:t>7</w:t>
      </w:r>
      <w:r>
        <w:rPr>
          <w:rStyle w:val="35"/>
          <w:color w:val="auto"/>
        </w:rPr>
        <w:t xml:space="preserve"> </w:t>
      </w:r>
      <w:r>
        <w:rPr>
          <w:rStyle w:val="35"/>
          <w:rFonts w:hint="eastAsia"/>
          <w:color w:val="auto"/>
        </w:rPr>
        <w:t>安全验收评价结论</w:t>
      </w:r>
      <w:bookmarkEnd w:id="235"/>
      <w:bookmarkEnd w:id="236"/>
      <w:bookmarkEnd w:id="237"/>
      <w:bookmarkEnd w:id="238"/>
    </w:p>
    <w:p w14:paraId="10D01616">
      <w:pPr>
        <w:spacing w:line="360" w:lineRule="auto"/>
        <w:ind w:firstLine="562" w:firstLineChars="200"/>
        <w:rPr>
          <w:rFonts w:ascii="Times New Roman" w:hAnsi="Times New Roman" w:cs="Times New Roman"/>
          <w:b/>
          <w:bCs/>
          <w:color w:val="auto"/>
          <w:sz w:val="28"/>
          <w:szCs w:val="24"/>
        </w:rPr>
      </w:pPr>
      <w:bookmarkStart w:id="239" w:name="_Toc389504581"/>
      <w:bookmarkStart w:id="240" w:name="_Toc380626557"/>
      <w:bookmarkStart w:id="241" w:name="_Toc355737801"/>
      <w:bookmarkStart w:id="242" w:name="_Toc355248938"/>
      <w:bookmarkStart w:id="243" w:name="_Toc387237701"/>
      <w:bookmarkStart w:id="244" w:name="_Toc355247593"/>
      <w:bookmarkStart w:id="245" w:name="_Toc355737798"/>
      <w:bookmarkStart w:id="246" w:name="_Toc355738333"/>
      <w:bookmarkStart w:id="247" w:name="_Toc281404722"/>
      <w:bookmarkStart w:id="248" w:name="_Toc357981665"/>
      <w:bookmarkStart w:id="249" w:name="_Toc271270917"/>
      <w:bookmarkStart w:id="250" w:name="_Toc355738330"/>
      <w:bookmarkStart w:id="251" w:name="_Toc380625464"/>
      <w:bookmarkStart w:id="252" w:name="_Toc389437342"/>
      <w:bookmarkStart w:id="253" w:name="_Toc354428876"/>
      <w:bookmarkStart w:id="254" w:name="_Toc355247532"/>
      <w:bookmarkStart w:id="255" w:name="_Toc357981459"/>
      <w:bookmarkStart w:id="256" w:name="_Toc5214"/>
      <w:bookmarkStart w:id="257" w:name="_Toc238875914"/>
      <w:bookmarkStart w:id="258" w:name="_Toc393417783"/>
      <w:bookmarkStart w:id="259" w:name="_Toc380626618"/>
      <w:bookmarkStart w:id="260" w:name="_Toc354428873"/>
      <w:bookmarkStart w:id="261" w:name="_Toc226003735"/>
      <w:bookmarkStart w:id="262" w:name="_Toc239869791"/>
      <w:bookmarkStart w:id="263" w:name="_Toc355257333"/>
      <w:bookmarkStart w:id="264" w:name="_Toc388623391"/>
      <w:bookmarkStart w:id="265" w:name="_Toc355247596"/>
      <w:bookmarkStart w:id="266" w:name="_Toc355257336"/>
      <w:bookmarkStart w:id="267" w:name="_Toc355247535"/>
      <w:bookmarkStart w:id="268" w:name="_Toc357981462"/>
      <w:bookmarkStart w:id="269" w:name="_Toc393417644"/>
      <w:bookmarkStart w:id="270" w:name="_Toc389504461"/>
      <w:bookmarkStart w:id="271" w:name="_Toc366836358"/>
      <w:bookmarkStart w:id="272" w:name="_Toc355248941"/>
      <w:bookmarkStart w:id="273" w:name="_Toc389504183"/>
      <w:bookmarkStart w:id="274" w:name="_Toc29915"/>
      <w:bookmarkStart w:id="275" w:name="_Toc281404720"/>
      <w:r>
        <w:rPr>
          <w:rFonts w:ascii="Times New Roman" w:hAnsi="Times New Roman" w:cs="Times New Roman"/>
          <w:b/>
          <w:bCs/>
          <w:color w:val="auto"/>
          <w:sz w:val="28"/>
          <w:szCs w:val="24"/>
        </w:rPr>
        <w:t>一、危险、有害因素辨识结果</w:t>
      </w:r>
    </w:p>
    <w:p w14:paraId="0EBCBEBD">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1、中国石化销售股份有限公司江西赣州</w:t>
      </w:r>
      <w:r>
        <w:rPr>
          <w:rFonts w:hint="eastAsia" w:ascii="Times New Roman" w:hAnsi="Times New Roman" w:cs="Times New Roman"/>
          <w:color w:val="auto"/>
          <w:sz w:val="28"/>
          <w:szCs w:val="24"/>
          <w:lang w:eastAsia="zh-CN"/>
        </w:rPr>
        <w:t>兴国石油分公司江背加油站</w:t>
      </w:r>
      <w:r>
        <w:rPr>
          <w:rFonts w:hint="eastAsia" w:ascii="Times New Roman" w:hAnsi="Times New Roman" w:cs="Times New Roman"/>
          <w:color w:val="auto"/>
          <w:sz w:val="28"/>
          <w:szCs w:val="24"/>
        </w:rPr>
        <w:t>经营的汽油、柴油列入《危险化学品目录》（2015版、202</w:t>
      </w:r>
      <w:r>
        <w:rPr>
          <w:rFonts w:hint="eastAsia" w:ascii="Times New Roman" w:hAnsi="Times New Roman" w:cs="Times New Roman"/>
          <w:color w:val="auto"/>
          <w:sz w:val="28"/>
          <w:szCs w:val="24"/>
          <w:lang w:val="en-US" w:eastAsia="zh-CN"/>
        </w:rPr>
        <w:t>6</w:t>
      </w:r>
      <w:r>
        <w:rPr>
          <w:rFonts w:hint="eastAsia" w:ascii="Times New Roman" w:hAnsi="Times New Roman" w:cs="Times New Roman"/>
          <w:color w:val="auto"/>
          <w:sz w:val="28"/>
          <w:szCs w:val="24"/>
        </w:rPr>
        <w:t>年调整），该站存在的危险因素主要有火灾、爆炸，机械</w:t>
      </w:r>
      <w:r>
        <w:rPr>
          <w:rFonts w:hint="eastAsia" w:ascii="Times New Roman" w:hAnsi="Times New Roman" w:cs="Times New Roman"/>
          <w:color w:val="auto"/>
          <w:sz w:val="28"/>
          <w:szCs w:val="24"/>
          <w:lang w:val="en-US" w:eastAsia="zh-CN"/>
        </w:rPr>
        <w:t>致</w:t>
      </w:r>
      <w:r>
        <w:rPr>
          <w:rFonts w:hint="eastAsia" w:ascii="Times New Roman" w:hAnsi="Times New Roman" w:cs="Times New Roman"/>
          <w:color w:val="auto"/>
          <w:sz w:val="28"/>
          <w:szCs w:val="24"/>
        </w:rPr>
        <w:t>害，触电、厂(场)内车辆致害、物体打击、中毒</w:t>
      </w:r>
      <w:r>
        <w:rPr>
          <w:rFonts w:hint="eastAsia" w:ascii="Times New Roman" w:hAnsi="Times New Roman" w:cs="Times New Roman"/>
          <w:color w:val="auto"/>
          <w:sz w:val="28"/>
          <w:szCs w:val="24"/>
          <w:lang w:eastAsia="zh-CN"/>
        </w:rPr>
        <w:t>、</w:t>
      </w:r>
      <w:r>
        <w:rPr>
          <w:rFonts w:hint="eastAsia" w:ascii="Times New Roman" w:hAnsi="Times New Roman" w:cs="Times New Roman"/>
          <w:color w:val="auto"/>
          <w:sz w:val="28"/>
          <w:szCs w:val="24"/>
        </w:rPr>
        <w:t>窒息，高处坠落等，主要有害因素有有害物质、噪声等。</w:t>
      </w:r>
    </w:p>
    <w:p w14:paraId="123A1542">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2、中国石化销售股份有限公司江西赣州</w:t>
      </w:r>
      <w:r>
        <w:rPr>
          <w:rFonts w:hint="eastAsia" w:ascii="Times New Roman" w:hAnsi="Times New Roman" w:cs="Times New Roman"/>
          <w:color w:val="auto"/>
          <w:sz w:val="28"/>
          <w:szCs w:val="24"/>
          <w:lang w:eastAsia="zh-CN"/>
        </w:rPr>
        <w:t>兴国石油分公司江背加油站</w:t>
      </w:r>
      <w:r>
        <w:rPr>
          <w:rFonts w:hint="eastAsia" w:ascii="Times New Roman" w:hAnsi="Times New Roman" w:cs="Times New Roman"/>
          <w:color w:val="auto"/>
          <w:sz w:val="28"/>
          <w:szCs w:val="24"/>
        </w:rPr>
        <w:t>经营的汽油为重点监管危险化学品及特别管控危险化学品，不涉及重点监管的危险化工工艺，不涉及易制毒化学品、监控化学品、剧毒化学品、易制爆化学品、高毒物品。</w:t>
      </w:r>
    </w:p>
    <w:p w14:paraId="788267D6">
      <w:pPr>
        <w:spacing w:line="360" w:lineRule="auto"/>
        <w:ind w:firstLine="560" w:firstLineChars="200"/>
        <w:rPr>
          <w:rFonts w:ascii="Times New Roman" w:hAnsi="Times New Roman" w:cs="Times New Roman"/>
          <w:color w:val="auto"/>
          <w:spacing w:val="-11"/>
          <w:sz w:val="28"/>
          <w:szCs w:val="28"/>
        </w:rPr>
      </w:pPr>
      <w:r>
        <w:rPr>
          <w:rFonts w:hint="eastAsia" w:ascii="Times New Roman" w:hAnsi="Times New Roman" w:cs="Times New Roman"/>
          <w:color w:val="auto"/>
          <w:sz w:val="28"/>
          <w:szCs w:val="24"/>
        </w:rPr>
        <w:t>3、根据《危险化学品重大危险源辨识》GB18218-2018，中国石化销售股份有限公司江西赣州</w:t>
      </w:r>
      <w:r>
        <w:rPr>
          <w:rFonts w:hint="eastAsia" w:ascii="Times New Roman" w:hAnsi="Times New Roman" w:cs="Times New Roman"/>
          <w:color w:val="auto"/>
          <w:sz w:val="28"/>
          <w:szCs w:val="24"/>
          <w:lang w:eastAsia="zh-CN"/>
        </w:rPr>
        <w:t>兴国石油分公司江背加油站</w:t>
      </w:r>
      <w:r>
        <w:rPr>
          <w:rFonts w:hint="eastAsia" w:ascii="Times New Roman" w:hAnsi="Times New Roman" w:cs="Times New Roman"/>
          <w:color w:val="auto"/>
          <w:sz w:val="28"/>
          <w:szCs w:val="24"/>
        </w:rPr>
        <w:t>的生产单元、储存装置均不构成危险化学品重大危险源。</w:t>
      </w:r>
    </w:p>
    <w:p w14:paraId="51676DE5">
      <w:pPr>
        <w:spacing w:line="360" w:lineRule="auto"/>
        <w:ind w:firstLine="562" w:firstLineChars="200"/>
        <w:rPr>
          <w:rFonts w:ascii="Times New Roman" w:hAnsi="Times New Roman" w:cs="Times New Roman"/>
          <w:b/>
          <w:bCs/>
          <w:color w:val="auto"/>
          <w:sz w:val="28"/>
          <w:szCs w:val="24"/>
        </w:rPr>
      </w:pPr>
      <w:r>
        <w:rPr>
          <w:rFonts w:hint="eastAsia" w:ascii="Times New Roman" w:hAnsi="Times New Roman" w:cs="Times New Roman"/>
          <w:b/>
          <w:bCs/>
          <w:color w:val="auto"/>
          <w:sz w:val="28"/>
          <w:szCs w:val="24"/>
        </w:rPr>
        <w:t>二、主要单元评价结果</w:t>
      </w:r>
    </w:p>
    <w:p w14:paraId="1908FD45">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1、该加油站汽油、柴油工艺设备与站外建（构）筑物的安全间距及站址选择符合国家有关标准的要求。</w:t>
      </w:r>
    </w:p>
    <w:p w14:paraId="06D2BE53">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2、该加油站站内设施之间的防火间距、站内平面布置符合国家有关标准的规定。</w:t>
      </w:r>
    </w:p>
    <w:p w14:paraId="6BF8833F">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3、该站加油工艺及设施符合国家有关标准的要求。</w:t>
      </w:r>
    </w:p>
    <w:p w14:paraId="3E33DD5B">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4、根据危险度评价，</w:t>
      </w:r>
      <w:r>
        <w:rPr>
          <w:rFonts w:hint="eastAsia" w:ascii="Times New Roman" w:hAnsi="Times New Roman" w:cs="宋体"/>
          <w:color w:val="auto"/>
          <w:sz w:val="28"/>
          <w:szCs w:val="28"/>
        </w:rPr>
        <w:t>该站加油储罐区危险度为</w:t>
      </w:r>
      <w:r>
        <w:rPr>
          <w:rFonts w:hint="eastAsia" w:ascii="Times New Roman" w:hAnsi="Times New Roman" w:cs="Times New Roman"/>
          <w:color w:val="auto"/>
          <w:sz w:val="28"/>
          <w:szCs w:val="28"/>
          <w:lang w:val="en-US" w:eastAsia="zh-CN"/>
        </w:rPr>
        <w:t>Ⅱ</w:t>
      </w:r>
      <w:r>
        <w:rPr>
          <w:rFonts w:hint="eastAsia" w:ascii="Times New Roman" w:hAnsi="Times New Roman" w:cs="Times New Roman"/>
          <w:color w:val="auto"/>
          <w:sz w:val="28"/>
          <w:szCs w:val="28"/>
        </w:rPr>
        <w:t>级，属</w:t>
      </w:r>
      <w:r>
        <w:rPr>
          <w:rFonts w:hint="eastAsia" w:ascii="Times New Roman" w:hAnsi="Times New Roman" w:cs="Times New Roman"/>
          <w:color w:val="auto"/>
          <w:sz w:val="28"/>
          <w:szCs w:val="28"/>
          <w:lang w:val="en-US" w:eastAsia="zh-CN"/>
        </w:rPr>
        <w:t>中</w:t>
      </w:r>
      <w:r>
        <w:rPr>
          <w:rFonts w:hint="eastAsia" w:ascii="Times New Roman" w:hAnsi="Times New Roman" w:cs="Times New Roman"/>
          <w:color w:val="auto"/>
          <w:sz w:val="28"/>
          <w:szCs w:val="28"/>
        </w:rPr>
        <w:t>度危险</w:t>
      </w:r>
      <w:r>
        <w:rPr>
          <w:rFonts w:hint="eastAsia" w:ascii="Times New Roman" w:hAnsi="Times New Roman" w:cs="Times New Roman"/>
          <w:color w:val="auto"/>
          <w:sz w:val="28"/>
          <w:szCs w:val="24"/>
        </w:rPr>
        <w:t>。油罐由于采用埋地油罐、密封操作、设置液位仪、防渗等措施，危险有害程度能控制在可接受的范围。</w:t>
      </w:r>
    </w:p>
    <w:p w14:paraId="17BFAB1D">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5、该站对现场勘查中提出的问题进行了整改，进一步提高了加油站安全经营条件。</w:t>
      </w:r>
    </w:p>
    <w:p w14:paraId="643C0EE1">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6、该加油站制定了各岗位安全生产职责，制定了各类安全管理制度及安全操作规程，制度执行情况良好，编制了生产安全事故应急预案，安全管理体系能够满足正常运行过程中的安全生产需要。</w:t>
      </w:r>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14:paraId="646D3C31">
      <w:pPr>
        <w:spacing w:line="600" w:lineRule="exact"/>
        <w:ind w:firstLine="562" w:firstLineChars="200"/>
        <w:rPr>
          <w:rFonts w:ascii="Times New Roman" w:hAnsi="Times New Roman" w:cs="Times New Roman"/>
          <w:b/>
          <w:bCs/>
          <w:color w:val="auto"/>
          <w:sz w:val="28"/>
          <w:szCs w:val="28"/>
        </w:rPr>
      </w:pPr>
      <w:r>
        <w:rPr>
          <w:rFonts w:hint="eastAsia" w:ascii="Times New Roman" w:hAnsi="Times New Roman" w:cs="宋体"/>
          <w:b/>
          <w:bCs/>
          <w:color w:val="auto"/>
          <w:sz w:val="28"/>
          <w:szCs w:val="28"/>
        </w:rPr>
        <w:t>综上所述，中国石化销售股份有限公司江西赣州</w:t>
      </w:r>
      <w:r>
        <w:rPr>
          <w:rFonts w:hint="eastAsia" w:ascii="Times New Roman" w:hAnsi="Times New Roman" w:cs="宋体"/>
          <w:b/>
          <w:bCs/>
          <w:color w:val="auto"/>
          <w:sz w:val="28"/>
          <w:szCs w:val="28"/>
          <w:lang w:eastAsia="zh-CN"/>
        </w:rPr>
        <w:t>兴国石油分公司江背加油站</w:t>
      </w:r>
      <w:r>
        <w:rPr>
          <w:rFonts w:hint="eastAsia" w:ascii="Times New Roman" w:hAnsi="Times New Roman" w:cs="宋体"/>
          <w:b/>
          <w:bCs/>
          <w:color w:val="auto"/>
          <w:sz w:val="28"/>
          <w:szCs w:val="28"/>
        </w:rPr>
        <w:t>建设项目现场情况与安全设施符合性诊断及整改设计一致，安全设施和措施在正常经营过程中能够满足安全经营的条件，消防设施到位且在有效期内，安全管理能够满足正常安全经营的需要，具备安全验收的条件，符合经营和储存危险化学品的安全条件要求。</w:t>
      </w:r>
    </w:p>
    <w:p w14:paraId="601AEABF">
      <w:pPr>
        <w:pStyle w:val="2"/>
        <w:rPr>
          <w:rFonts w:ascii="宋体" w:hAnsi="宋体"/>
          <w:color w:val="auto"/>
          <w:sz w:val="32"/>
          <w:szCs w:val="32"/>
        </w:rPr>
      </w:pPr>
      <w:r>
        <w:rPr>
          <w:color w:val="auto"/>
        </w:rPr>
        <w:br w:type="page"/>
      </w:r>
      <w:bookmarkStart w:id="276" w:name="_Toc32593"/>
      <w:bookmarkStart w:id="277" w:name="_Toc5675"/>
      <w:r>
        <w:rPr>
          <w:rFonts w:hint="eastAsia" w:ascii="宋体" w:hAnsi="宋体"/>
          <w:color w:val="auto"/>
          <w:sz w:val="32"/>
          <w:szCs w:val="32"/>
        </w:rPr>
        <w:t>附件</w:t>
      </w:r>
      <w:bookmarkEnd w:id="276"/>
      <w:bookmarkEnd w:id="277"/>
    </w:p>
    <w:tbl>
      <w:tblPr>
        <w:tblStyle w:val="25"/>
        <w:tblW w:w="4996" w:type="pct"/>
        <w:jc w:val="center"/>
        <w:tblLayout w:type="autofit"/>
        <w:tblCellMar>
          <w:top w:w="0" w:type="dxa"/>
          <w:left w:w="108" w:type="dxa"/>
          <w:bottom w:w="0" w:type="dxa"/>
          <w:right w:w="108" w:type="dxa"/>
        </w:tblCellMar>
      </w:tblPr>
      <w:tblGrid>
        <w:gridCol w:w="652"/>
        <w:gridCol w:w="8629"/>
      </w:tblGrid>
      <w:tr w14:paraId="3E2C6885">
        <w:tblPrEx>
          <w:tblCellMar>
            <w:top w:w="0" w:type="dxa"/>
            <w:left w:w="108" w:type="dxa"/>
            <w:bottom w:w="0" w:type="dxa"/>
            <w:right w:w="108" w:type="dxa"/>
          </w:tblCellMar>
        </w:tblPrEx>
        <w:trPr>
          <w:jc w:val="center"/>
        </w:trPr>
        <w:tc>
          <w:tcPr>
            <w:tcW w:w="351" w:type="pct"/>
            <w:vAlign w:val="center"/>
          </w:tcPr>
          <w:p w14:paraId="73EB2281">
            <w:pPr>
              <w:numPr>
                <w:ilvl w:val="0"/>
                <w:numId w:val="16"/>
              </w:numPr>
              <w:rPr>
                <w:rFonts w:ascii="宋体" w:hAnsi="宋体"/>
                <w:color w:val="auto"/>
                <w:sz w:val="28"/>
                <w:szCs w:val="28"/>
              </w:rPr>
            </w:pPr>
          </w:p>
        </w:tc>
        <w:tc>
          <w:tcPr>
            <w:tcW w:w="4648" w:type="pct"/>
            <w:vAlign w:val="center"/>
          </w:tcPr>
          <w:p w14:paraId="7888B54D">
            <w:pPr>
              <w:rPr>
                <w:color w:val="auto"/>
                <w:sz w:val="28"/>
                <w:szCs w:val="28"/>
              </w:rPr>
            </w:pPr>
            <w:r>
              <w:rPr>
                <w:rFonts w:hint="eastAsia"/>
                <w:color w:val="auto"/>
                <w:sz w:val="28"/>
                <w:szCs w:val="28"/>
                <w:lang w:eastAsia="zh-CN"/>
              </w:rPr>
              <w:t>现场勘查</w:t>
            </w:r>
            <w:r>
              <w:rPr>
                <w:rFonts w:hint="eastAsia"/>
                <w:color w:val="auto"/>
                <w:sz w:val="28"/>
                <w:szCs w:val="28"/>
              </w:rPr>
              <w:t>影像；</w:t>
            </w:r>
          </w:p>
        </w:tc>
      </w:tr>
      <w:tr w14:paraId="3D841DD1">
        <w:tblPrEx>
          <w:tblCellMar>
            <w:top w:w="0" w:type="dxa"/>
            <w:left w:w="108" w:type="dxa"/>
            <w:bottom w:w="0" w:type="dxa"/>
            <w:right w:w="108" w:type="dxa"/>
          </w:tblCellMar>
        </w:tblPrEx>
        <w:trPr>
          <w:jc w:val="center"/>
        </w:trPr>
        <w:tc>
          <w:tcPr>
            <w:tcW w:w="351" w:type="pct"/>
            <w:vAlign w:val="center"/>
          </w:tcPr>
          <w:p w14:paraId="39EB4570">
            <w:pPr>
              <w:numPr>
                <w:ilvl w:val="0"/>
                <w:numId w:val="16"/>
              </w:numPr>
              <w:rPr>
                <w:rFonts w:ascii="宋体" w:hAnsi="宋体"/>
                <w:color w:val="auto"/>
                <w:sz w:val="28"/>
                <w:szCs w:val="28"/>
              </w:rPr>
            </w:pPr>
          </w:p>
        </w:tc>
        <w:tc>
          <w:tcPr>
            <w:tcW w:w="4648" w:type="pct"/>
            <w:vAlign w:val="center"/>
          </w:tcPr>
          <w:p w14:paraId="1B1B09C8">
            <w:pPr>
              <w:rPr>
                <w:color w:val="auto"/>
                <w:sz w:val="28"/>
                <w:szCs w:val="28"/>
              </w:rPr>
            </w:pPr>
            <w:r>
              <w:rPr>
                <w:rFonts w:hint="eastAsia"/>
                <w:color w:val="auto"/>
                <w:sz w:val="28"/>
                <w:szCs w:val="28"/>
              </w:rPr>
              <w:t>整改回复；</w:t>
            </w:r>
          </w:p>
        </w:tc>
      </w:tr>
      <w:tr w14:paraId="7BF85A1E">
        <w:tblPrEx>
          <w:tblCellMar>
            <w:top w:w="0" w:type="dxa"/>
            <w:left w:w="108" w:type="dxa"/>
            <w:bottom w:w="0" w:type="dxa"/>
            <w:right w:w="108" w:type="dxa"/>
          </w:tblCellMar>
        </w:tblPrEx>
        <w:trPr>
          <w:jc w:val="center"/>
        </w:trPr>
        <w:tc>
          <w:tcPr>
            <w:tcW w:w="351" w:type="pct"/>
            <w:vAlign w:val="center"/>
          </w:tcPr>
          <w:p w14:paraId="24447506">
            <w:pPr>
              <w:numPr>
                <w:ilvl w:val="0"/>
                <w:numId w:val="16"/>
              </w:numPr>
              <w:rPr>
                <w:rFonts w:ascii="宋体" w:hAnsi="宋体"/>
                <w:color w:val="auto"/>
                <w:sz w:val="28"/>
                <w:szCs w:val="28"/>
              </w:rPr>
            </w:pPr>
          </w:p>
        </w:tc>
        <w:tc>
          <w:tcPr>
            <w:tcW w:w="4648" w:type="pct"/>
            <w:vAlign w:val="center"/>
          </w:tcPr>
          <w:p w14:paraId="44D8EF52">
            <w:pPr>
              <w:rPr>
                <w:color w:val="auto"/>
                <w:sz w:val="28"/>
                <w:szCs w:val="28"/>
              </w:rPr>
            </w:pPr>
            <w:r>
              <w:rPr>
                <w:rFonts w:hint="eastAsia"/>
                <w:color w:val="auto"/>
                <w:sz w:val="28"/>
                <w:szCs w:val="28"/>
              </w:rPr>
              <w:t>与建设单位交换意见情况；</w:t>
            </w:r>
          </w:p>
        </w:tc>
      </w:tr>
      <w:tr w14:paraId="01AF35B0">
        <w:tblPrEx>
          <w:tblCellMar>
            <w:top w:w="0" w:type="dxa"/>
            <w:left w:w="108" w:type="dxa"/>
            <w:bottom w:w="0" w:type="dxa"/>
            <w:right w:w="108" w:type="dxa"/>
          </w:tblCellMar>
        </w:tblPrEx>
        <w:trPr>
          <w:jc w:val="center"/>
        </w:trPr>
        <w:tc>
          <w:tcPr>
            <w:tcW w:w="351" w:type="pct"/>
            <w:vAlign w:val="center"/>
          </w:tcPr>
          <w:p w14:paraId="27FA6099">
            <w:pPr>
              <w:numPr>
                <w:ilvl w:val="0"/>
                <w:numId w:val="16"/>
              </w:numPr>
              <w:rPr>
                <w:rFonts w:ascii="宋体" w:hAnsi="宋体"/>
                <w:color w:val="auto"/>
                <w:sz w:val="28"/>
                <w:szCs w:val="28"/>
              </w:rPr>
            </w:pPr>
          </w:p>
        </w:tc>
        <w:tc>
          <w:tcPr>
            <w:tcW w:w="4648" w:type="pct"/>
            <w:vAlign w:val="center"/>
          </w:tcPr>
          <w:p w14:paraId="07ED7510">
            <w:pPr>
              <w:rPr>
                <w:color w:val="auto"/>
                <w:sz w:val="28"/>
                <w:szCs w:val="28"/>
              </w:rPr>
            </w:pPr>
            <w:r>
              <w:rPr>
                <w:rFonts w:hint="eastAsia"/>
                <w:color w:val="auto"/>
                <w:sz w:val="28"/>
                <w:szCs w:val="28"/>
              </w:rPr>
              <w:t>安全设施符合性诊断及整改设计专家评审意见；</w:t>
            </w:r>
          </w:p>
        </w:tc>
      </w:tr>
      <w:tr w14:paraId="1E444DC8">
        <w:tblPrEx>
          <w:tblCellMar>
            <w:top w:w="0" w:type="dxa"/>
            <w:left w:w="108" w:type="dxa"/>
            <w:bottom w:w="0" w:type="dxa"/>
            <w:right w:w="108" w:type="dxa"/>
          </w:tblCellMar>
        </w:tblPrEx>
        <w:trPr>
          <w:jc w:val="center"/>
        </w:trPr>
        <w:tc>
          <w:tcPr>
            <w:tcW w:w="351" w:type="pct"/>
            <w:vAlign w:val="center"/>
          </w:tcPr>
          <w:p w14:paraId="192FECB6">
            <w:pPr>
              <w:numPr>
                <w:ilvl w:val="0"/>
                <w:numId w:val="16"/>
              </w:numPr>
              <w:rPr>
                <w:rFonts w:ascii="宋体" w:hAnsi="宋体"/>
                <w:color w:val="auto"/>
                <w:sz w:val="28"/>
                <w:szCs w:val="28"/>
              </w:rPr>
            </w:pPr>
          </w:p>
        </w:tc>
        <w:tc>
          <w:tcPr>
            <w:tcW w:w="4648" w:type="pct"/>
            <w:vAlign w:val="center"/>
          </w:tcPr>
          <w:p w14:paraId="75FBECB7">
            <w:pPr>
              <w:rPr>
                <w:color w:val="auto"/>
                <w:sz w:val="28"/>
                <w:szCs w:val="28"/>
              </w:rPr>
            </w:pPr>
            <w:r>
              <w:rPr>
                <w:rFonts w:hint="eastAsia"/>
                <w:color w:val="auto"/>
                <w:sz w:val="28"/>
                <w:szCs w:val="28"/>
              </w:rPr>
              <w:t>营业执照；</w:t>
            </w:r>
          </w:p>
        </w:tc>
      </w:tr>
      <w:tr w14:paraId="38EE601E">
        <w:tblPrEx>
          <w:tblCellMar>
            <w:top w:w="0" w:type="dxa"/>
            <w:left w:w="108" w:type="dxa"/>
            <w:bottom w:w="0" w:type="dxa"/>
            <w:right w:w="108" w:type="dxa"/>
          </w:tblCellMar>
        </w:tblPrEx>
        <w:trPr>
          <w:jc w:val="center"/>
        </w:trPr>
        <w:tc>
          <w:tcPr>
            <w:tcW w:w="351" w:type="pct"/>
            <w:vAlign w:val="center"/>
          </w:tcPr>
          <w:p w14:paraId="74299305">
            <w:pPr>
              <w:numPr>
                <w:ilvl w:val="0"/>
                <w:numId w:val="16"/>
              </w:numPr>
              <w:rPr>
                <w:rFonts w:ascii="宋体" w:hAnsi="宋体"/>
                <w:color w:val="auto"/>
                <w:sz w:val="28"/>
                <w:szCs w:val="28"/>
              </w:rPr>
            </w:pPr>
          </w:p>
        </w:tc>
        <w:tc>
          <w:tcPr>
            <w:tcW w:w="4648" w:type="pct"/>
            <w:vAlign w:val="center"/>
          </w:tcPr>
          <w:p w14:paraId="02A0F1DE">
            <w:pPr>
              <w:rPr>
                <w:color w:val="auto"/>
                <w:sz w:val="28"/>
                <w:szCs w:val="28"/>
              </w:rPr>
            </w:pPr>
            <w:r>
              <w:rPr>
                <w:rFonts w:hint="eastAsia"/>
                <w:color w:val="auto"/>
                <w:sz w:val="28"/>
                <w:szCs w:val="28"/>
              </w:rPr>
              <w:t>危险化学品经营许可证；</w:t>
            </w:r>
          </w:p>
        </w:tc>
      </w:tr>
      <w:tr w14:paraId="66EA4CAF">
        <w:tblPrEx>
          <w:tblCellMar>
            <w:top w:w="0" w:type="dxa"/>
            <w:left w:w="108" w:type="dxa"/>
            <w:bottom w:w="0" w:type="dxa"/>
            <w:right w:w="108" w:type="dxa"/>
          </w:tblCellMar>
        </w:tblPrEx>
        <w:trPr>
          <w:jc w:val="center"/>
        </w:trPr>
        <w:tc>
          <w:tcPr>
            <w:tcW w:w="351" w:type="pct"/>
            <w:vAlign w:val="center"/>
          </w:tcPr>
          <w:p w14:paraId="251A184D">
            <w:pPr>
              <w:numPr>
                <w:ilvl w:val="0"/>
                <w:numId w:val="16"/>
              </w:numPr>
              <w:rPr>
                <w:rFonts w:ascii="宋体" w:hAnsi="宋体"/>
                <w:color w:val="auto"/>
                <w:sz w:val="28"/>
                <w:szCs w:val="28"/>
              </w:rPr>
            </w:pPr>
          </w:p>
        </w:tc>
        <w:tc>
          <w:tcPr>
            <w:tcW w:w="4648" w:type="pct"/>
            <w:vAlign w:val="center"/>
          </w:tcPr>
          <w:p w14:paraId="4966EC6A">
            <w:pPr>
              <w:rPr>
                <w:color w:val="auto"/>
                <w:sz w:val="28"/>
                <w:szCs w:val="28"/>
              </w:rPr>
            </w:pPr>
            <w:r>
              <w:rPr>
                <w:rFonts w:hint="eastAsia"/>
                <w:color w:val="auto"/>
                <w:sz w:val="28"/>
                <w:szCs w:val="28"/>
              </w:rPr>
              <w:t>成品油零售经营批准证书；</w:t>
            </w:r>
          </w:p>
        </w:tc>
      </w:tr>
      <w:tr w14:paraId="04BFF5CB">
        <w:tblPrEx>
          <w:tblCellMar>
            <w:top w:w="0" w:type="dxa"/>
            <w:left w:w="108" w:type="dxa"/>
            <w:bottom w:w="0" w:type="dxa"/>
            <w:right w:w="108" w:type="dxa"/>
          </w:tblCellMar>
        </w:tblPrEx>
        <w:trPr>
          <w:jc w:val="center"/>
        </w:trPr>
        <w:tc>
          <w:tcPr>
            <w:tcW w:w="351" w:type="pct"/>
            <w:vAlign w:val="center"/>
          </w:tcPr>
          <w:p w14:paraId="2A9490F6">
            <w:pPr>
              <w:numPr>
                <w:ilvl w:val="0"/>
                <w:numId w:val="16"/>
              </w:numPr>
              <w:rPr>
                <w:rFonts w:ascii="宋体" w:hAnsi="宋体"/>
                <w:color w:val="auto"/>
                <w:sz w:val="28"/>
                <w:szCs w:val="28"/>
              </w:rPr>
            </w:pPr>
          </w:p>
        </w:tc>
        <w:tc>
          <w:tcPr>
            <w:tcW w:w="4648" w:type="pct"/>
            <w:vAlign w:val="center"/>
          </w:tcPr>
          <w:p w14:paraId="479F4056">
            <w:pPr>
              <w:rPr>
                <w:color w:val="auto"/>
                <w:sz w:val="28"/>
                <w:szCs w:val="28"/>
              </w:rPr>
            </w:pPr>
            <w:r>
              <w:rPr>
                <w:rFonts w:hint="eastAsia"/>
                <w:color w:val="auto"/>
                <w:sz w:val="28"/>
                <w:szCs w:val="28"/>
              </w:rPr>
              <w:t>土地证；</w:t>
            </w:r>
          </w:p>
        </w:tc>
      </w:tr>
      <w:tr w14:paraId="128A9F02">
        <w:tblPrEx>
          <w:tblCellMar>
            <w:top w:w="0" w:type="dxa"/>
            <w:left w:w="108" w:type="dxa"/>
            <w:bottom w:w="0" w:type="dxa"/>
            <w:right w:w="108" w:type="dxa"/>
          </w:tblCellMar>
        </w:tblPrEx>
        <w:trPr>
          <w:jc w:val="center"/>
        </w:trPr>
        <w:tc>
          <w:tcPr>
            <w:tcW w:w="351" w:type="pct"/>
            <w:vAlign w:val="center"/>
          </w:tcPr>
          <w:p w14:paraId="0132F7D2">
            <w:pPr>
              <w:numPr>
                <w:ilvl w:val="0"/>
                <w:numId w:val="16"/>
              </w:numPr>
              <w:rPr>
                <w:rFonts w:ascii="宋体" w:hAnsi="宋体"/>
                <w:color w:val="auto"/>
                <w:sz w:val="28"/>
                <w:szCs w:val="28"/>
              </w:rPr>
            </w:pPr>
          </w:p>
        </w:tc>
        <w:tc>
          <w:tcPr>
            <w:tcW w:w="4648" w:type="pct"/>
            <w:vAlign w:val="center"/>
          </w:tcPr>
          <w:p w14:paraId="42456E42">
            <w:pPr>
              <w:rPr>
                <w:color w:val="auto"/>
                <w:sz w:val="28"/>
                <w:szCs w:val="28"/>
              </w:rPr>
            </w:pPr>
            <w:r>
              <w:rPr>
                <w:rFonts w:hint="eastAsia"/>
                <w:color w:val="auto"/>
                <w:sz w:val="28"/>
                <w:szCs w:val="28"/>
              </w:rPr>
              <w:t>主要负责人任命文件；</w:t>
            </w:r>
          </w:p>
        </w:tc>
      </w:tr>
      <w:tr w14:paraId="32B1A01D">
        <w:tblPrEx>
          <w:tblCellMar>
            <w:top w:w="0" w:type="dxa"/>
            <w:left w:w="108" w:type="dxa"/>
            <w:bottom w:w="0" w:type="dxa"/>
            <w:right w:w="108" w:type="dxa"/>
          </w:tblCellMar>
        </w:tblPrEx>
        <w:trPr>
          <w:jc w:val="center"/>
        </w:trPr>
        <w:tc>
          <w:tcPr>
            <w:tcW w:w="351" w:type="pct"/>
            <w:vAlign w:val="center"/>
          </w:tcPr>
          <w:p w14:paraId="36D96E77">
            <w:pPr>
              <w:numPr>
                <w:ilvl w:val="0"/>
                <w:numId w:val="16"/>
              </w:numPr>
              <w:rPr>
                <w:rFonts w:ascii="宋体" w:hAnsi="宋体"/>
                <w:color w:val="auto"/>
                <w:sz w:val="28"/>
                <w:szCs w:val="28"/>
              </w:rPr>
            </w:pPr>
          </w:p>
        </w:tc>
        <w:tc>
          <w:tcPr>
            <w:tcW w:w="4648" w:type="pct"/>
            <w:vAlign w:val="center"/>
          </w:tcPr>
          <w:p w14:paraId="61136915">
            <w:pPr>
              <w:rPr>
                <w:color w:val="auto"/>
                <w:sz w:val="28"/>
                <w:szCs w:val="28"/>
              </w:rPr>
            </w:pPr>
            <w:r>
              <w:rPr>
                <w:rFonts w:hint="eastAsia"/>
                <w:color w:val="auto"/>
                <w:sz w:val="28"/>
                <w:szCs w:val="28"/>
              </w:rPr>
              <w:t>主要负责人、安全管理人员证书；</w:t>
            </w:r>
          </w:p>
        </w:tc>
      </w:tr>
      <w:tr w14:paraId="0BFE1764">
        <w:tblPrEx>
          <w:tblCellMar>
            <w:top w:w="0" w:type="dxa"/>
            <w:left w:w="108" w:type="dxa"/>
            <w:bottom w:w="0" w:type="dxa"/>
            <w:right w:w="108" w:type="dxa"/>
          </w:tblCellMar>
        </w:tblPrEx>
        <w:trPr>
          <w:jc w:val="center"/>
        </w:trPr>
        <w:tc>
          <w:tcPr>
            <w:tcW w:w="351" w:type="pct"/>
            <w:vAlign w:val="center"/>
          </w:tcPr>
          <w:p w14:paraId="2A709E98">
            <w:pPr>
              <w:numPr>
                <w:ilvl w:val="0"/>
                <w:numId w:val="16"/>
              </w:numPr>
              <w:rPr>
                <w:rFonts w:ascii="宋体" w:hAnsi="宋体"/>
                <w:color w:val="auto"/>
                <w:sz w:val="28"/>
                <w:szCs w:val="28"/>
              </w:rPr>
            </w:pPr>
          </w:p>
        </w:tc>
        <w:tc>
          <w:tcPr>
            <w:tcW w:w="4648" w:type="pct"/>
            <w:vAlign w:val="center"/>
          </w:tcPr>
          <w:p w14:paraId="63BCE7F8">
            <w:pPr>
              <w:rPr>
                <w:color w:val="auto"/>
                <w:sz w:val="28"/>
                <w:szCs w:val="28"/>
              </w:rPr>
            </w:pPr>
            <w:r>
              <w:rPr>
                <w:rFonts w:hint="eastAsia"/>
                <w:color w:val="auto"/>
                <w:sz w:val="28"/>
                <w:szCs w:val="28"/>
              </w:rPr>
              <w:t>消防验收意见书；</w:t>
            </w:r>
          </w:p>
        </w:tc>
      </w:tr>
      <w:tr w14:paraId="00BDFE2D">
        <w:tblPrEx>
          <w:tblCellMar>
            <w:top w:w="0" w:type="dxa"/>
            <w:left w:w="108" w:type="dxa"/>
            <w:bottom w:w="0" w:type="dxa"/>
            <w:right w:w="108" w:type="dxa"/>
          </w:tblCellMar>
        </w:tblPrEx>
        <w:trPr>
          <w:jc w:val="center"/>
        </w:trPr>
        <w:tc>
          <w:tcPr>
            <w:tcW w:w="351" w:type="pct"/>
            <w:vAlign w:val="center"/>
          </w:tcPr>
          <w:p w14:paraId="73F9147D">
            <w:pPr>
              <w:numPr>
                <w:ilvl w:val="0"/>
                <w:numId w:val="16"/>
              </w:numPr>
              <w:rPr>
                <w:rFonts w:ascii="宋体" w:hAnsi="宋体"/>
                <w:color w:val="auto"/>
                <w:sz w:val="28"/>
                <w:szCs w:val="28"/>
              </w:rPr>
            </w:pPr>
          </w:p>
        </w:tc>
        <w:tc>
          <w:tcPr>
            <w:tcW w:w="4648" w:type="pct"/>
            <w:vAlign w:val="center"/>
          </w:tcPr>
          <w:p w14:paraId="7ACD5EA4">
            <w:pPr>
              <w:rPr>
                <w:color w:val="auto"/>
                <w:sz w:val="28"/>
                <w:szCs w:val="28"/>
              </w:rPr>
            </w:pPr>
            <w:r>
              <w:rPr>
                <w:rFonts w:hint="eastAsia"/>
                <w:color w:val="auto"/>
                <w:sz w:val="28"/>
                <w:szCs w:val="28"/>
              </w:rPr>
              <w:t>应急预案备案登记表；</w:t>
            </w:r>
          </w:p>
        </w:tc>
      </w:tr>
      <w:tr w14:paraId="44286287">
        <w:tblPrEx>
          <w:tblCellMar>
            <w:top w:w="0" w:type="dxa"/>
            <w:left w:w="108" w:type="dxa"/>
            <w:bottom w:w="0" w:type="dxa"/>
            <w:right w:w="108" w:type="dxa"/>
          </w:tblCellMar>
        </w:tblPrEx>
        <w:trPr>
          <w:jc w:val="center"/>
        </w:trPr>
        <w:tc>
          <w:tcPr>
            <w:tcW w:w="351" w:type="pct"/>
            <w:vAlign w:val="center"/>
          </w:tcPr>
          <w:p w14:paraId="2CFA4348">
            <w:pPr>
              <w:numPr>
                <w:ilvl w:val="0"/>
                <w:numId w:val="16"/>
              </w:numPr>
              <w:rPr>
                <w:rFonts w:ascii="宋体" w:hAnsi="宋体"/>
                <w:color w:val="auto"/>
                <w:sz w:val="28"/>
                <w:szCs w:val="28"/>
              </w:rPr>
            </w:pPr>
          </w:p>
        </w:tc>
        <w:tc>
          <w:tcPr>
            <w:tcW w:w="4648" w:type="pct"/>
            <w:vAlign w:val="center"/>
          </w:tcPr>
          <w:p w14:paraId="2D20709C">
            <w:pPr>
              <w:rPr>
                <w:color w:val="auto"/>
                <w:sz w:val="28"/>
                <w:szCs w:val="28"/>
              </w:rPr>
            </w:pPr>
            <w:r>
              <w:rPr>
                <w:rFonts w:hint="eastAsia"/>
                <w:color w:val="auto"/>
                <w:sz w:val="28"/>
                <w:szCs w:val="28"/>
              </w:rPr>
              <w:t>培训记录；</w:t>
            </w:r>
          </w:p>
        </w:tc>
      </w:tr>
      <w:tr w14:paraId="276DC0A0">
        <w:tblPrEx>
          <w:tblCellMar>
            <w:top w:w="0" w:type="dxa"/>
            <w:left w:w="108" w:type="dxa"/>
            <w:bottom w:w="0" w:type="dxa"/>
            <w:right w:w="108" w:type="dxa"/>
          </w:tblCellMar>
        </w:tblPrEx>
        <w:trPr>
          <w:jc w:val="center"/>
        </w:trPr>
        <w:tc>
          <w:tcPr>
            <w:tcW w:w="351" w:type="pct"/>
            <w:vAlign w:val="center"/>
          </w:tcPr>
          <w:p w14:paraId="00E764A2">
            <w:pPr>
              <w:numPr>
                <w:ilvl w:val="0"/>
                <w:numId w:val="16"/>
              </w:numPr>
              <w:rPr>
                <w:rFonts w:ascii="宋体" w:hAnsi="宋体"/>
                <w:color w:val="auto"/>
                <w:sz w:val="28"/>
                <w:szCs w:val="28"/>
                <w:highlight w:val="none"/>
              </w:rPr>
            </w:pPr>
          </w:p>
        </w:tc>
        <w:tc>
          <w:tcPr>
            <w:tcW w:w="4648" w:type="pct"/>
            <w:vAlign w:val="center"/>
          </w:tcPr>
          <w:p w14:paraId="1BE6086B">
            <w:pPr>
              <w:rPr>
                <w:color w:val="auto"/>
                <w:sz w:val="28"/>
                <w:szCs w:val="28"/>
                <w:highlight w:val="none"/>
              </w:rPr>
            </w:pPr>
            <w:r>
              <w:rPr>
                <w:rFonts w:hint="eastAsia"/>
                <w:color w:val="auto"/>
                <w:sz w:val="28"/>
                <w:szCs w:val="28"/>
                <w:highlight w:val="none"/>
              </w:rPr>
              <w:t>防雷检测报告、防静电检测报告；</w:t>
            </w:r>
          </w:p>
        </w:tc>
      </w:tr>
      <w:tr w14:paraId="01620393">
        <w:tblPrEx>
          <w:tblCellMar>
            <w:top w:w="0" w:type="dxa"/>
            <w:left w:w="108" w:type="dxa"/>
            <w:bottom w:w="0" w:type="dxa"/>
            <w:right w:w="108" w:type="dxa"/>
          </w:tblCellMar>
        </w:tblPrEx>
        <w:trPr>
          <w:jc w:val="center"/>
        </w:trPr>
        <w:tc>
          <w:tcPr>
            <w:tcW w:w="351" w:type="pct"/>
            <w:vAlign w:val="center"/>
          </w:tcPr>
          <w:p w14:paraId="4D1D6D34">
            <w:pPr>
              <w:numPr>
                <w:ilvl w:val="0"/>
                <w:numId w:val="16"/>
              </w:numPr>
              <w:rPr>
                <w:rFonts w:ascii="宋体" w:hAnsi="宋体"/>
                <w:color w:val="auto"/>
                <w:sz w:val="28"/>
                <w:szCs w:val="28"/>
                <w:highlight w:val="none"/>
              </w:rPr>
            </w:pPr>
          </w:p>
        </w:tc>
        <w:tc>
          <w:tcPr>
            <w:tcW w:w="4648" w:type="pct"/>
            <w:vAlign w:val="center"/>
          </w:tcPr>
          <w:p w14:paraId="0DFB3F8F">
            <w:pPr>
              <w:rPr>
                <w:color w:val="auto"/>
                <w:sz w:val="28"/>
                <w:szCs w:val="28"/>
                <w:highlight w:val="none"/>
              </w:rPr>
            </w:pPr>
            <w:r>
              <w:rPr>
                <w:rFonts w:hint="eastAsia"/>
                <w:color w:val="auto"/>
                <w:sz w:val="28"/>
                <w:szCs w:val="28"/>
                <w:highlight w:val="none"/>
              </w:rPr>
              <w:t>工伤保险；</w:t>
            </w:r>
          </w:p>
        </w:tc>
      </w:tr>
      <w:tr w14:paraId="3CE715F8">
        <w:tblPrEx>
          <w:tblCellMar>
            <w:top w:w="0" w:type="dxa"/>
            <w:left w:w="108" w:type="dxa"/>
            <w:bottom w:w="0" w:type="dxa"/>
            <w:right w:w="108" w:type="dxa"/>
          </w:tblCellMar>
        </w:tblPrEx>
        <w:trPr>
          <w:jc w:val="center"/>
        </w:trPr>
        <w:tc>
          <w:tcPr>
            <w:tcW w:w="351" w:type="pct"/>
            <w:vAlign w:val="center"/>
          </w:tcPr>
          <w:p w14:paraId="25950385">
            <w:pPr>
              <w:numPr>
                <w:ilvl w:val="0"/>
                <w:numId w:val="16"/>
              </w:numPr>
              <w:rPr>
                <w:rFonts w:ascii="宋体" w:hAnsi="宋体"/>
                <w:color w:val="auto"/>
                <w:sz w:val="28"/>
                <w:szCs w:val="28"/>
              </w:rPr>
            </w:pPr>
          </w:p>
        </w:tc>
        <w:tc>
          <w:tcPr>
            <w:tcW w:w="4648" w:type="pct"/>
            <w:vAlign w:val="center"/>
          </w:tcPr>
          <w:p w14:paraId="22D1A2D0">
            <w:pPr>
              <w:rPr>
                <w:color w:val="auto"/>
                <w:sz w:val="28"/>
                <w:szCs w:val="28"/>
              </w:rPr>
            </w:pPr>
            <w:r>
              <w:rPr>
                <w:rFonts w:hint="eastAsia"/>
                <w:color w:val="auto"/>
                <w:sz w:val="28"/>
                <w:szCs w:val="28"/>
              </w:rPr>
              <w:t>安全生产投入费用说明；</w:t>
            </w:r>
          </w:p>
        </w:tc>
      </w:tr>
      <w:tr w14:paraId="18F4D3A6">
        <w:tblPrEx>
          <w:tblCellMar>
            <w:top w:w="0" w:type="dxa"/>
            <w:left w:w="108" w:type="dxa"/>
            <w:bottom w:w="0" w:type="dxa"/>
            <w:right w:w="108" w:type="dxa"/>
          </w:tblCellMar>
        </w:tblPrEx>
        <w:trPr>
          <w:jc w:val="center"/>
        </w:trPr>
        <w:tc>
          <w:tcPr>
            <w:tcW w:w="351" w:type="pct"/>
            <w:vAlign w:val="center"/>
          </w:tcPr>
          <w:p w14:paraId="7093E97D">
            <w:pPr>
              <w:numPr>
                <w:ilvl w:val="0"/>
                <w:numId w:val="16"/>
              </w:numPr>
              <w:rPr>
                <w:rFonts w:ascii="宋体" w:hAnsi="宋体"/>
                <w:color w:val="auto"/>
                <w:sz w:val="28"/>
                <w:szCs w:val="28"/>
              </w:rPr>
            </w:pPr>
          </w:p>
        </w:tc>
        <w:tc>
          <w:tcPr>
            <w:tcW w:w="4648" w:type="pct"/>
            <w:vAlign w:val="center"/>
          </w:tcPr>
          <w:p w14:paraId="64605733">
            <w:pPr>
              <w:rPr>
                <w:color w:val="auto"/>
                <w:sz w:val="28"/>
                <w:szCs w:val="28"/>
              </w:rPr>
            </w:pPr>
            <w:r>
              <w:rPr>
                <w:rFonts w:hint="eastAsia"/>
                <w:color w:val="auto"/>
                <w:sz w:val="28"/>
                <w:szCs w:val="28"/>
              </w:rPr>
              <w:t>近三年无事故说明；</w:t>
            </w:r>
          </w:p>
        </w:tc>
      </w:tr>
      <w:tr w14:paraId="39560870">
        <w:tblPrEx>
          <w:tblCellMar>
            <w:top w:w="0" w:type="dxa"/>
            <w:left w:w="108" w:type="dxa"/>
            <w:bottom w:w="0" w:type="dxa"/>
            <w:right w:w="108" w:type="dxa"/>
          </w:tblCellMar>
        </w:tblPrEx>
        <w:trPr>
          <w:jc w:val="center"/>
        </w:trPr>
        <w:tc>
          <w:tcPr>
            <w:tcW w:w="351" w:type="pct"/>
            <w:vAlign w:val="center"/>
          </w:tcPr>
          <w:p w14:paraId="1D8337A7">
            <w:pPr>
              <w:numPr>
                <w:ilvl w:val="0"/>
                <w:numId w:val="16"/>
              </w:numPr>
              <w:rPr>
                <w:rFonts w:ascii="宋体" w:hAnsi="宋体"/>
                <w:color w:val="auto"/>
                <w:sz w:val="28"/>
                <w:szCs w:val="28"/>
              </w:rPr>
            </w:pPr>
          </w:p>
        </w:tc>
        <w:tc>
          <w:tcPr>
            <w:tcW w:w="4648" w:type="pct"/>
            <w:vAlign w:val="center"/>
          </w:tcPr>
          <w:p w14:paraId="41F6BD4B">
            <w:pPr>
              <w:rPr>
                <w:color w:val="auto"/>
                <w:sz w:val="28"/>
                <w:szCs w:val="28"/>
              </w:rPr>
            </w:pPr>
            <w:r>
              <w:rPr>
                <w:rFonts w:hint="eastAsia"/>
                <w:color w:val="auto"/>
                <w:sz w:val="28"/>
                <w:szCs w:val="28"/>
              </w:rPr>
              <w:t>总平面布置图。</w:t>
            </w:r>
          </w:p>
        </w:tc>
      </w:tr>
    </w:tbl>
    <w:p w14:paraId="76227C55">
      <w:pPr>
        <w:rPr>
          <w:rFonts w:ascii="Times New Roman" w:hAnsi="Times New Roman" w:cs="Times New Roman"/>
          <w:b/>
          <w:bCs/>
          <w:color w:val="auto"/>
          <w:sz w:val="28"/>
          <w:szCs w:val="28"/>
        </w:rPr>
      </w:pPr>
      <w:r>
        <w:rPr>
          <w:rFonts w:hint="eastAsia" w:ascii="Times New Roman" w:hAnsi="Times New Roman" w:cs="Times New Roman"/>
          <w:b/>
          <w:bCs/>
          <w:color w:val="auto"/>
          <w:sz w:val="28"/>
          <w:szCs w:val="28"/>
        </w:rPr>
        <w:br w:type="page"/>
      </w:r>
    </w:p>
    <w:p w14:paraId="2100A082">
      <w:pPr>
        <w:spacing w:line="240" w:lineRule="atLeast"/>
        <w:rPr>
          <w:rFonts w:hint="eastAsia" w:ascii="Times New Roman" w:hAnsi="Times New Roman" w:cs="Times New Roman"/>
          <w:b/>
          <w:bCs/>
          <w:color w:val="auto"/>
          <w:sz w:val="28"/>
          <w:szCs w:val="28"/>
        </w:rPr>
        <w:sectPr>
          <w:pgSz w:w="11906" w:h="16838"/>
          <w:pgMar w:top="1417" w:right="1417" w:bottom="1417" w:left="1417" w:header="851" w:footer="992" w:gutter="0"/>
          <w:cols w:space="425" w:num="1"/>
          <w:docGrid w:type="lines" w:linePitch="312" w:charSpace="0"/>
        </w:sectPr>
      </w:pPr>
    </w:p>
    <w:p w14:paraId="6F2BC45A">
      <w:pPr>
        <w:spacing w:line="240" w:lineRule="atLeast"/>
        <w:rPr>
          <w:rFonts w:ascii="Times New Roman" w:hAnsi="Times New Roman" w:cs="Times New Roman"/>
          <w:b/>
          <w:bCs/>
          <w:color w:val="auto"/>
          <w:sz w:val="28"/>
          <w:szCs w:val="28"/>
        </w:rPr>
      </w:pPr>
      <w:r>
        <w:rPr>
          <w:rFonts w:hint="eastAsia" w:ascii="Times New Roman" w:hAnsi="Times New Roman" w:cs="Times New Roman"/>
          <w:b/>
          <w:bCs/>
          <w:color w:val="auto"/>
          <w:sz w:val="28"/>
          <w:szCs w:val="28"/>
        </w:rPr>
        <w:t>现场照片：</w:t>
      </w:r>
    </w:p>
    <w:p w14:paraId="5E4EEFA7">
      <w:pPr>
        <w:rPr>
          <w:rFonts w:hint="eastAsia" w:eastAsiaTheme="minorEastAsia"/>
          <w:lang w:eastAsia="zh-CN"/>
        </w:rPr>
      </w:pPr>
      <w:r>
        <w:rPr>
          <w:rFonts w:hint="eastAsia" w:ascii="Times New Roman" w:hAnsi="Times New Roman" w:eastAsia="宋体" w:cs="Times New Roman"/>
          <w:color w:val="auto"/>
          <w:lang w:eastAsia="zh-CN"/>
        </w:rPr>
        <w:drawing>
          <wp:inline distT="0" distB="0" distL="114300" distR="114300">
            <wp:extent cx="5757545" cy="3240405"/>
            <wp:effectExtent l="0" t="0" r="14605" b="17145"/>
            <wp:docPr id="76" name="图片 76" descr="09c073280d1cec3db91f7bab137fe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09c073280d1cec3db91f7bab137feba2"/>
                    <pic:cNvPicPr>
                      <a:picLocks noChangeAspect="1"/>
                    </pic:cNvPicPr>
                  </pic:nvPicPr>
                  <pic:blipFill>
                    <a:blip r:embed="rId13"/>
                    <a:stretch>
                      <a:fillRect/>
                    </a:stretch>
                  </pic:blipFill>
                  <pic:spPr>
                    <a:xfrm>
                      <a:off x="0" y="0"/>
                      <a:ext cx="5757545" cy="3240405"/>
                    </a:xfrm>
                    <a:prstGeom prst="rect">
                      <a:avLst/>
                    </a:prstGeom>
                  </pic:spPr>
                </pic:pic>
              </a:graphicData>
            </a:graphic>
          </wp:inline>
        </w:drawing>
      </w:r>
    </w:p>
    <w:p w14:paraId="782E3FFF">
      <w:pPr>
        <w:spacing w:line="360" w:lineRule="auto"/>
        <w:rPr>
          <w:rFonts w:hint="eastAsia" w:ascii="Times New Roman" w:hAnsi="Times New Roman" w:eastAsia="宋体" w:cs="Times New Roman"/>
          <w:color w:val="auto"/>
          <w:lang w:eastAsia="zh-CN"/>
        </w:rPr>
      </w:pPr>
    </w:p>
    <w:sectPr>
      <w:headerReference r:id="rId6" w:type="default"/>
      <w:footerReference r:id="rId7" w:type="default"/>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宋">
    <w:altName w:val="宋体"/>
    <w:panose1 w:val="00000000000000000000"/>
    <w:charset w:val="86"/>
    <w:family w:val="roma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904FC">
    <w:pPr>
      <w:pStyle w:val="14"/>
      <w:pBdr>
        <w:top w:val="single" w:color="auto" w:sz="4" w:space="1"/>
      </w:pBdr>
      <w:rPr>
        <w:rFonts w:hint="eastAsia" w:eastAsia="宋体"/>
        <w:lang w:eastAsia="zh-CN"/>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A21B1">
                          <w:pPr>
                            <w:pStyle w:val="14"/>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243A21B1">
                    <w:pPr>
                      <w:pStyle w:val="14"/>
                    </w:pPr>
                    <w:r>
                      <w:fldChar w:fldCharType="begin"/>
                    </w:r>
                    <w:r>
                      <w:instrText xml:space="preserve"> PAGE  \* MERGEFORMAT </w:instrText>
                    </w:r>
                    <w:r>
                      <w:fldChar w:fldCharType="separate"/>
                    </w:r>
                    <w:r>
                      <w:t>100</w:t>
                    </w:r>
                    <w:r>
                      <w:fldChar w:fldCharType="end"/>
                    </w:r>
                  </w:p>
                </w:txbxContent>
              </v:textbox>
            </v:shape>
          </w:pict>
        </mc:Fallback>
      </mc:AlternateContent>
    </w:r>
    <w:r>
      <w:rPr>
        <w:rFonts w:hint="eastAsia" w:ascii="宋体" w:hAnsi="宋体" w:cs="宋体"/>
        <w:lang w:eastAsia="zh-CN"/>
      </w:rPr>
      <w:t>江西赣安安全生产科学技术咨询服务中心</w:t>
    </w:r>
    <w:r>
      <w:rPr>
        <w:rFonts w:hint="eastAsia" w:ascii="宋体" w:hAnsi="宋体" w:cs="宋体"/>
      </w:rPr>
      <w:t xml:space="preserve">                                                    APJ-（赣）-00</w:t>
    </w:r>
    <w:r>
      <w:rPr>
        <w:rFonts w:hint="eastAsia" w:ascii="宋体" w:hAnsi="宋体" w:cs="宋体"/>
        <w:lang w:val="en-US" w:eastAsia="zh-CN"/>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E1481">
    <w:pPr>
      <w:pStyle w:val="14"/>
      <w:rPr>
        <w:rFonts w:hint="eastAsia"/>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F4A08">
    <w:pPr>
      <w:pStyle w:val="15"/>
      <w:jc w:val="left"/>
    </w:pPr>
    <w:r>
      <w:rPr>
        <w:rFonts w:hint="eastAsia" w:cs="宋体"/>
      </w:rPr>
      <w:t>中石化江西赣州</w:t>
    </w:r>
    <w:r>
      <w:rPr>
        <w:rFonts w:hint="eastAsia" w:cs="宋体"/>
        <w:lang w:eastAsia="zh-CN"/>
      </w:rPr>
      <w:t>兴国江背加油站</w:t>
    </w:r>
    <w:r>
      <w:rPr>
        <w:rFonts w:hint="eastAsia" w:cs="宋体"/>
      </w:rPr>
      <w:t xml:space="preserve">安全设施符合性诊断及整改设计安全设施竣工验收评价报告   </w:t>
    </w:r>
    <w:r>
      <w:rPr>
        <w:rFonts w:ascii="Times New Roman" w:hAnsi="Times New Roman" w:cs="Times New Roman"/>
      </w:rPr>
      <w:t>G</w:t>
    </w:r>
    <w:r>
      <w:rPr>
        <w:rFonts w:hint="eastAsia" w:ascii="Times New Roman" w:hAnsi="Times New Roman" w:cs="Times New Roman"/>
      </w:rPr>
      <w:t>C</w:t>
    </w:r>
    <w:r>
      <w:rPr>
        <w:rFonts w:ascii="Times New Roman" w:hAnsi="Times New Roman" w:cs="Times New Roman"/>
      </w:rPr>
      <w:t>AP[202</w:t>
    </w:r>
    <w:r>
      <w:rPr>
        <w:rFonts w:hint="eastAsia" w:ascii="Times New Roman" w:hAnsi="Times New Roman" w:cs="Times New Roman"/>
        <w:lang w:val="en-US" w:eastAsia="zh-CN"/>
      </w:rPr>
      <w:t>6</w:t>
    </w:r>
    <w:r>
      <w:rPr>
        <w:rFonts w:ascii="Times New Roman" w:hAnsi="Times New Roman" w:cs="Times New Roman"/>
      </w:rPr>
      <w:t>]</w:t>
    </w:r>
    <w:r>
      <w:rPr>
        <w:rFonts w:hint="eastAsia" w:ascii="Times New Roman" w:hAnsi="Times New Roman" w:cs="Times New Roman"/>
        <w:lang w:val="en-US" w:eastAsia="zh-CN"/>
      </w:rPr>
      <w:t>0160</w:t>
    </w:r>
    <w:r>
      <w:rPr>
        <w:rFonts w:hint="eastAsia" w:cs="宋体"/>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24871">
    <w:pPr>
      <w:pStyle w:val="15"/>
      <w:pBdr>
        <w:bottom w:val="none" w:color="auto" w:sz="0" w:space="0"/>
      </w:pBd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96980">
    <w:pPr>
      <w:pStyle w:val="15"/>
      <w:jc w:val="both"/>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29BAAC"/>
    <w:multiLevelType w:val="singleLevel"/>
    <w:tmpl w:val="CA29BAAC"/>
    <w:lvl w:ilvl="0" w:tentative="0">
      <w:start w:val="1"/>
      <w:numFmt w:val="decimal"/>
      <w:suff w:val="nothing"/>
      <w:lvlText w:val="%1"/>
      <w:lvlJc w:val="left"/>
      <w:pPr>
        <w:tabs>
          <w:tab w:val="left" w:pos="0"/>
        </w:tabs>
        <w:ind w:left="454" w:hanging="454"/>
      </w:pPr>
      <w:rPr>
        <w:rFonts w:hint="default" w:ascii="宋体" w:hAnsi="宋体" w:eastAsia="宋体" w:cs="宋体"/>
      </w:rPr>
    </w:lvl>
  </w:abstractNum>
  <w:abstractNum w:abstractNumId="1">
    <w:nsid w:val="D9F72E86"/>
    <w:multiLevelType w:val="singleLevel"/>
    <w:tmpl w:val="D9F72E86"/>
    <w:lvl w:ilvl="0" w:tentative="0">
      <w:start w:val="1"/>
      <w:numFmt w:val="chineseCounting"/>
      <w:suff w:val="nothing"/>
      <w:lvlText w:val="%1、"/>
      <w:lvlJc w:val="left"/>
      <w:rPr>
        <w:rFonts w:hint="eastAsia"/>
      </w:rPr>
    </w:lvl>
  </w:abstractNum>
  <w:abstractNum w:abstractNumId="2">
    <w:nsid w:val="E483F029"/>
    <w:multiLevelType w:val="singleLevel"/>
    <w:tmpl w:val="E483F029"/>
    <w:lvl w:ilvl="0" w:tentative="0">
      <w:start w:val="1"/>
      <w:numFmt w:val="decimal"/>
      <w:suff w:val="nothing"/>
      <w:lvlText w:val="%1"/>
      <w:lvlJc w:val="left"/>
      <w:pPr>
        <w:tabs>
          <w:tab w:val="left" w:pos="0"/>
        </w:tabs>
        <w:ind w:left="454" w:hanging="454"/>
      </w:pPr>
      <w:rPr>
        <w:rFonts w:hint="default" w:ascii="宋体" w:hAnsi="宋体" w:eastAsia="宋体" w:cs="宋体"/>
      </w:rPr>
    </w:lvl>
  </w:abstractNum>
  <w:abstractNum w:abstractNumId="3">
    <w:nsid w:val="FD8B4031"/>
    <w:multiLevelType w:val="singleLevel"/>
    <w:tmpl w:val="FD8B4031"/>
    <w:lvl w:ilvl="0" w:tentative="0">
      <w:start w:val="1"/>
      <w:numFmt w:val="decimal"/>
      <w:suff w:val="nothing"/>
      <w:lvlText w:val="%1．"/>
      <w:lvlJc w:val="left"/>
      <w:pPr>
        <w:ind w:left="0" w:firstLine="400"/>
      </w:pPr>
      <w:rPr>
        <w:rFonts w:hint="default"/>
        <w:b w:val="0"/>
        <w:bCs w:val="0"/>
      </w:rPr>
    </w:lvl>
  </w:abstractNum>
  <w:abstractNum w:abstractNumId="4">
    <w:nsid w:val="1570A2A7"/>
    <w:multiLevelType w:val="singleLevel"/>
    <w:tmpl w:val="1570A2A7"/>
    <w:lvl w:ilvl="0" w:tentative="0">
      <w:start w:val="1"/>
      <w:numFmt w:val="decimal"/>
      <w:suff w:val="nothing"/>
      <w:lvlText w:val="%1．"/>
      <w:lvlJc w:val="left"/>
      <w:pPr>
        <w:ind w:left="0" w:firstLine="400"/>
      </w:pPr>
      <w:rPr>
        <w:rFonts w:hint="default"/>
      </w:rPr>
    </w:lvl>
  </w:abstractNum>
  <w:abstractNum w:abstractNumId="5">
    <w:nsid w:val="1EB66D5A"/>
    <w:multiLevelType w:val="multilevel"/>
    <w:tmpl w:val="1EB66D5A"/>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CA73AB3"/>
    <w:multiLevelType w:val="multilevel"/>
    <w:tmpl w:val="2CA73AB3"/>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303C2B38"/>
    <w:multiLevelType w:val="multilevel"/>
    <w:tmpl w:val="303C2B38"/>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0D33D6E"/>
    <w:multiLevelType w:val="multilevel"/>
    <w:tmpl w:val="30D33D6E"/>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8CD5D82"/>
    <w:multiLevelType w:val="multilevel"/>
    <w:tmpl w:val="38CD5D82"/>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41B629D3"/>
    <w:multiLevelType w:val="multilevel"/>
    <w:tmpl w:val="41B629D3"/>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42A739FC"/>
    <w:multiLevelType w:val="multilevel"/>
    <w:tmpl w:val="42A739FC"/>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46E90B24"/>
    <w:multiLevelType w:val="multilevel"/>
    <w:tmpl w:val="46E90B24"/>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70CF20D"/>
    <w:multiLevelType w:val="singleLevel"/>
    <w:tmpl w:val="570CF20D"/>
    <w:lvl w:ilvl="0" w:tentative="0">
      <w:start w:val="1"/>
      <w:numFmt w:val="decimal"/>
      <w:suff w:val="nothing"/>
      <w:lvlText w:val="%1．"/>
      <w:lvlJc w:val="left"/>
      <w:pPr>
        <w:ind w:left="0" w:firstLine="400"/>
      </w:pPr>
      <w:rPr>
        <w:rFonts w:hint="default"/>
      </w:rPr>
    </w:lvl>
  </w:abstractNum>
  <w:abstractNum w:abstractNumId="14">
    <w:nsid w:val="6FBA1558"/>
    <w:multiLevelType w:val="multilevel"/>
    <w:tmpl w:val="6FBA1558"/>
    <w:lvl w:ilvl="0" w:tentative="0">
      <w:start w:val="1"/>
      <w:numFmt w:val="decimal"/>
      <w:lvlText w:val="%1."/>
      <w:lvlJc w:val="left"/>
      <w:pPr>
        <w:tabs>
          <w:tab w:val="left" w:pos="420"/>
        </w:tabs>
        <w:ind w:left="420" w:hanging="420"/>
      </w:pPr>
    </w:lvl>
    <w:lvl w:ilvl="1" w:tentative="0">
      <w:start w:val="5"/>
      <w:numFmt w:val="decimal"/>
      <w:isLgl/>
      <w:lvlText w:val="%1.%2"/>
      <w:lvlJc w:val="left"/>
      <w:pPr>
        <w:tabs>
          <w:tab w:val="left" w:pos="600"/>
        </w:tabs>
        <w:ind w:left="600" w:hanging="60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720"/>
        </w:tabs>
        <w:ind w:left="720" w:hanging="72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080"/>
        </w:tabs>
        <w:ind w:left="1080" w:hanging="108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440"/>
        </w:tabs>
        <w:ind w:left="1440" w:hanging="1440"/>
      </w:pPr>
      <w:rPr>
        <w:rFonts w:hint="default"/>
      </w:rPr>
    </w:lvl>
  </w:abstractNum>
  <w:abstractNum w:abstractNumId="15">
    <w:nsid w:val="7D1F6CF8"/>
    <w:multiLevelType w:val="multilevel"/>
    <w:tmpl w:val="7D1F6CF8"/>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3"/>
  </w:num>
  <w:num w:numId="3">
    <w:abstractNumId w:val="0"/>
  </w:num>
  <w:num w:numId="4">
    <w:abstractNumId w:val="1"/>
  </w:num>
  <w:num w:numId="5">
    <w:abstractNumId w:val="14"/>
  </w:num>
  <w:num w:numId="6">
    <w:abstractNumId w:val="2"/>
  </w:num>
  <w:num w:numId="7">
    <w:abstractNumId w:val="5"/>
  </w:num>
  <w:num w:numId="8">
    <w:abstractNumId w:val="12"/>
  </w:num>
  <w:num w:numId="9">
    <w:abstractNumId w:val="11"/>
  </w:num>
  <w:num w:numId="10">
    <w:abstractNumId w:val="6"/>
  </w:num>
  <w:num w:numId="11">
    <w:abstractNumId w:val="15"/>
  </w:num>
  <w:num w:numId="12">
    <w:abstractNumId w:val="9"/>
  </w:num>
  <w:num w:numId="13">
    <w:abstractNumId w:val="8"/>
  </w:num>
  <w:num w:numId="14">
    <w:abstractNumId w:val="7"/>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displayBackgroundShape w:val="1"/>
  <w:embedSystemFonts/>
  <w:bordersDoNotSurroundHeader w:val="0"/>
  <w:bordersDoNotSurroundFooter w:val="0"/>
  <w:hideSpellingErrors/>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1NGQ4MDY4NjMxYWVlMzc3ODM2NDE0MmU1ODUxYzYifQ=="/>
  </w:docVars>
  <w:rsids>
    <w:rsidRoot w:val="00172A27"/>
    <w:rsid w:val="00001E21"/>
    <w:rsid w:val="00011894"/>
    <w:rsid w:val="000168E5"/>
    <w:rsid w:val="00026753"/>
    <w:rsid w:val="000315E8"/>
    <w:rsid w:val="00032723"/>
    <w:rsid w:val="000343C3"/>
    <w:rsid w:val="00035FF1"/>
    <w:rsid w:val="0005780B"/>
    <w:rsid w:val="000732F5"/>
    <w:rsid w:val="000800EC"/>
    <w:rsid w:val="00094545"/>
    <w:rsid w:val="000A5CE5"/>
    <w:rsid w:val="000A651C"/>
    <w:rsid w:val="000A6BCA"/>
    <w:rsid w:val="000C00DD"/>
    <w:rsid w:val="000C4BB6"/>
    <w:rsid w:val="000C54F7"/>
    <w:rsid w:val="000D5E86"/>
    <w:rsid w:val="000D668B"/>
    <w:rsid w:val="000D719C"/>
    <w:rsid w:val="000E6B6F"/>
    <w:rsid w:val="00101710"/>
    <w:rsid w:val="00102E3F"/>
    <w:rsid w:val="001037C1"/>
    <w:rsid w:val="001113BD"/>
    <w:rsid w:val="00111692"/>
    <w:rsid w:val="00120588"/>
    <w:rsid w:val="001308EB"/>
    <w:rsid w:val="00140CC3"/>
    <w:rsid w:val="00144B38"/>
    <w:rsid w:val="00156A98"/>
    <w:rsid w:val="00162118"/>
    <w:rsid w:val="001632C0"/>
    <w:rsid w:val="001679EF"/>
    <w:rsid w:val="00167A9E"/>
    <w:rsid w:val="00171E81"/>
    <w:rsid w:val="00172A27"/>
    <w:rsid w:val="0017475A"/>
    <w:rsid w:val="001775F1"/>
    <w:rsid w:val="00180558"/>
    <w:rsid w:val="00194D15"/>
    <w:rsid w:val="001A1225"/>
    <w:rsid w:val="001C7273"/>
    <w:rsid w:val="001D0530"/>
    <w:rsid w:val="001D5FE5"/>
    <w:rsid w:val="001E5F55"/>
    <w:rsid w:val="001F24FB"/>
    <w:rsid w:val="00212156"/>
    <w:rsid w:val="00222103"/>
    <w:rsid w:val="00222F3D"/>
    <w:rsid w:val="00234984"/>
    <w:rsid w:val="0025226D"/>
    <w:rsid w:val="00260338"/>
    <w:rsid w:val="0026258F"/>
    <w:rsid w:val="00277395"/>
    <w:rsid w:val="00283C26"/>
    <w:rsid w:val="002844A9"/>
    <w:rsid w:val="00296375"/>
    <w:rsid w:val="002A0F8C"/>
    <w:rsid w:val="002C4446"/>
    <w:rsid w:val="002C47AF"/>
    <w:rsid w:val="002C7EA2"/>
    <w:rsid w:val="002D06F8"/>
    <w:rsid w:val="002D4173"/>
    <w:rsid w:val="002E4B26"/>
    <w:rsid w:val="002E7AB6"/>
    <w:rsid w:val="002F379E"/>
    <w:rsid w:val="00301937"/>
    <w:rsid w:val="00315504"/>
    <w:rsid w:val="00325911"/>
    <w:rsid w:val="00335ACE"/>
    <w:rsid w:val="0034079D"/>
    <w:rsid w:val="00341AA6"/>
    <w:rsid w:val="0034621F"/>
    <w:rsid w:val="00346EB3"/>
    <w:rsid w:val="00362F48"/>
    <w:rsid w:val="00367B40"/>
    <w:rsid w:val="0037779D"/>
    <w:rsid w:val="003A1F42"/>
    <w:rsid w:val="003C1574"/>
    <w:rsid w:val="003E3D35"/>
    <w:rsid w:val="003E7A58"/>
    <w:rsid w:val="003F3E01"/>
    <w:rsid w:val="003F778E"/>
    <w:rsid w:val="004019B6"/>
    <w:rsid w:val="00405375"/>
    <w:rsid w:val="004128F2"/>
    <w:rsid w:val="0043320A"/>
    <w:rsid w:val="0044255B"/>
    <w:rsid w:val="0044536A"/>
    <w:rsid w:val="00450E57"/>
    <w:rsid w:val="00462546"/>
    <w:rsid w:val="004639E3"/>
    <w:rsid w:val="0046412D"/>
    <w:rsid w:val="00471D3D"/>
    <w:rsid w:val="00474E32"/>
    <w:rsid w:val="00481943"/>
    <w:rsid w:val="00487AA2"/>
    <w:rsid w:val="004A020F"/>
    <w:rsid w:val="004A2D3B"/>
    <w:rsid w:val="004B2B2C"/>
    <w:rsid w:val="004D1E26"/>
    <w:rsid w:val="004E4AD4"/>
    <w:rsid w:val="004E5FD1"/>
    <w:rsid w:val="004F4FCC"/>
    <w:rsid w:val="00502087"/>
    <w:rsid w:val="00535796"/>
    <w:rsid w:val="00537C74"/>
    <w:rsid w:val="005403BB"/>
    <w:rsid w:val="00543A05"/>
    <w:rsid w:val="00544DB3"/>
    <w:rsid w:val="00553CCE"/>
    <w:rsid w:val="005820DC"/>
    <w:rsid w:val="005A5796"/>
    <w:rsid w:val="005A6697"/>
    <w:rsid w:val="005B1F4C"/>
    <w:rsid w:val="005C066C"/>
    <w:rsid w:val="005C7BB4"/>
    <w:rsid w:val="005D0674"/>
    <w:rsid w:val="005E133E"/>
    <w:rsid w:val="005E5EFA"/>
    <w:rsid w:val="005F0236"/>
    <w:rsid w:val="005F0AF5"/>
    <w:rsid w:val="00604569"/>
    <w:rsid w:val="00613975"/>
    <w:rsid w:val="00614C1A"/>
    <w:rsid w:val="00626FA4"/>
    <w:rsid w:val="0064570F"/>
    <w:rsid w:val="00646221"/>
    <w:rsid w:val="006512D3"/>
    <w:rsid w:val="00651B40"/>
    <w:rsid w:val="006540D8"/>
    <w:rsid w:val="00654713"/>
    <w:rsid w:val="006552A3"/>
    <w:rsid w:val="006560CE"/>
    <w:rsid w:val="006622FA"/>
    <w:rsid w:val="006711C7"/>
    <w:rsid w:val="00676D29"/>
    <w:rsid w:val="00690EBF"/>
    <w:rsid w:val="006A1652"/>
    <w:rsid w:val="006A1F5C"/>
    <w:rsid w:val="006A2650"/>
    <w:rsid w:val="006B494D"/>
    <w:rsid w:val="006D5289"/>
    <w:rsid w:val="00700982"/>
    <w:rsid w:val="007018F2"/>
    <w:rsid w:val="00703737"/>
    <w:rsid w:val="00706E71"/>
    <w:rsid w:val="007109E1"/>
    <w:rsid w:val="00716D5F"/>
    <w:rsid w:val="00720F5E"/>
    <w:rsid w:val="0072106F"/>
    <w:rsid w:val="00722DAD"/>
    <w:rsid w:val="00723656"/>
    <w:rsid w:val="00730A3F"/>
    <w:rsid w:val="00730E3A"/>
    <w:rsid w:val="00746580"/>
    <w:rsid w:val="007505A1"/>
    <w:rsid w:val="00751DB6"/>
    <w:rsid w:val="00755116"/>
    <w:rsid w:val="007940DC"/>
    <w:rsid w:val="00797BA4"/>
    <w:rsid w:val="007A1CCA"/>
    <w:rsid w:val="007A4D9E"/>
    <w:rsid w:val="007B0484"/>
    <w:rsid w:val="007B2B00"/>
    <w:rsid w:val="007B3250"/>
    <w:rsid w:val="007B3B10"/>
    <w:rsid w:val="007C5820"/>
    <w:rsid w:val="007C702E"/>
    <w:rsid w:val="007D2A55"/>
    <w:rsid w:val="007D7808"/>
    <w:rsid w:val="007E010E"/>
    <w:rsid w:val="007E346B"/>
    <w:rsid w:val="007F3B12"/>
    <w:rsid w:val="007F7934"/>
    <w:rsid w:val="00800E3A"/>
    <w:rsid w:val="00811D1F"/>
    <w:rsid w:val="00811F7B"/>
    <w:rsid w:val="00813B33"/>
    <w:rsid w:val="00816516"/>
    <w:rsid w:val="00820349"/>
    <w:rsid w:val="00832BBB"/>
    <w:rsid w:val="00841A38"/>
    <w:rsid w:val="0084731A"/>
    <w:rsid w:val="0085786E"/>
    <w:rsid w:val="008651C6"/>
    <w:rsid w:val="0086621E"/>
    <w:rsid w:val="008809D4"/>
    <w:rsid w:val="00883820"/>
    <w:rsid w:val="008A1479"/>
    <w:rsid w:val="008A20DA"/>
    <w:rsid w:val="008B0F0F"/>
    <w:rsid w:val="008B3181"/>
    <w:rsid w:val="008B7D52"/>
    <w:rsid w:val="008C0C58"/>
    <w:rsid w:val="008D21FF"/>
    <w:rsid w:val="008D38C3"/>
    <w:rsid w:val="008E045B"/>
    <w:rsid w:val="008E363B"/>
    <w:rsid w:val="008F54D5"/>
    <w:rsid w:val="009067FC"/>
    <w:rsid w:val="00906E8D"/>
    <w:rsid w:val="00912A69"/>
    <w:rsid w:val="009146E0"/>
    <w:rsid w:val="00921964"/>
    <w:rsid w:val="009305F9"/>
    <w:rsid w:val="00933D70"/>
    <w:rsid w:val="00935894"/>
    <w:rsid w:val="009378D2"/>
    <w:rsid w:val="009403DB"/>
    <w:rsid w:val="00941D97"/>
    <w:rsid w:val="009424F4"/>
    <w:rsid w:val="00944B47"/>
    <w:rsid w:val="009478E1"/>
    <w:rsid w:val="00952B77"/>
    <w:rsid w:val="009574FB"/>
    <w:rsid w:val="009606DF"/>
    <w:rsid w:val="009700D8"/>
    <w:rsid w:val="00974D16"/>
    <w:rsid w:val="0098636D"/>
    <w:rsid w:val="00997472"/>
    <w:rsid w:val="00997942"/>
    <w:rsid w:val="009A0ED6"/>
    <w:rsid w:val="009A12DB"/>
    <w:rsid w:val="009A3728"/>
    <w:rsid w:val="009B110D"/>
    <w:rsid w:val="009B277A"/>
    <w:rsid w:val="009B281E"/>
    <w:rsid w:val="009B2973"/>
    <w:rsid w:val="009C56B4"/>
    <w:rsid w:val="009E01BC"/>
    <w:rsid w:val="009E3BB0"/>
    <w:rsid w:val="009E7203"/>
    <w:rsid w:val="00A0754A"/>
    <w:rsid w:val="00A14A0E"/>
    <w:rsid w:val="00A14D48"/>
    <w:rsid w:val="00A22194"/>
    <w:rsid w:val="00A30B51"/>
    <w:rsid w:val="00A31668"/>
    <w:rsid w:val="00A33916"/>
    <w:rsid w:val="00A50790"/>
    <w:rsid w:val="00A51006"/>
    <w:rsid w:val="00A529D8"/>
    <w:rsid w:val="00A64C2A"/>
    <w:rsid w:val="00A769FA"/>
    <w:rsid w:val="00A80300"/>
    <w:rsid w:val="00A810CE"/>
    <w:rsid w:val="00A819F6"/>
    <w:rsid w:val="00A82741"/>
    <w:rsid w:val="00AA13BB"/>
    <w:rsid w:val="00AA24CB"/>
    <w:rsid w:val="00AA3E1D"/>
    <w:rsid w:val="00AA3E77"/>
    <w:rsid w:val="00AB4137"/>
    <w:rsid w:val="00AB7494"/>
    <w:rsid w:val="00AC541B"/>
    <w:rsid w:val="00AC5697"/>
    <w:rsid w:val="00AD1277"/>
    <w:rsid w:val="00AE11B4"/>
    <w:rsid w:val="00AE272F"/>
    <w:rsid w:val="00AF0F4E"/>
    <w:rsid w:val="00AF22EA"/>
    <w:rsid w:val="00B0463B"/>
    <w:rsid w:val="00B10185"/>
    <w:rsid w:val="00B102D2"/>
    <w:rsid w:val="00B1429A"/>
    <w:rsid w:val="00B14A00"/>
    <w:rsid w:val="00B23FB2"/>
    <w:rsid w:val="00B2500E"/>
    <w:rsid w:val="00B2670A"/>
    <w:rsid w:val="00B36826"/>
    <w:rsid w:val="00B40F8A"/>
    <w:rsid w:val="00B46493"/>
    <w:rsid w:val="00B52FF3"/>
    <w:rsid w:val="00B574AF"/>
    <w:rsid w:val="00B5754C"/>
    <w:rsid w:val="00B60BCA"/>
    <w:rsid w:val="00B65141"/>
    <w:rsid w:val="00B676D2"/>
    <w:rsid w:val="00B73462"/>
    <w:rsid w:val="00B80B0A"/>
    <w:rsid w:val="00B817CA"/>
    <w:rsid w:val="00B902C2"/>
    <w:rsid w:val="00B923D4"/>
    <w:rsid w:val="00BA0CF9"/>
    <w:rsid w:val="00BA21D7"/>
    <w:rsid w:val="00BA5D62"/>
    <w:rsid w:val="00BB22A6"/>
    <w:rsid w:val="00BB423A"/>
    <w:rsid w:val="00BD0633"/>
    <w:rsid w:val="00BE6E15"/>
    <w:rsid w:val="00BE774C"/>
    <w:rsid w:val="00BF3EFA"/>
    <w:rsid w:val="00C07FFB"/>
    <w:rsid w:val="00C206D6"/>
    <w:rsid w:val="00C2570C"/>
    <w:rsid w:val="00C30394"/>
    <w:rsid w:val="00C3153B"/>
    <w:rsid w:val="00C37ED0"/>
    <w:rsid w:val="00C41391"/>
    <w:rsid w:val="00C43B6B"/>
    <w:rsid w:val="00C572D2"/>
    <w:rsid w:val="00C72C23"/>
    <w:rsid w:val="00C7318F"/>
    <w:rsid w:val="00C739F1"/>
    <w:rsid w:val="00C77030"/>
    <w:rsid w:val="00C84697"/>
    <w:rsid w:val="00CA29B3"/>
    <w:rsid w:val="00CA61B2"/>
    <w:rsid w:val="00CC5A3F"/>
    <w:rsid w:val="00CD5B4D"/>
    <w:rsid w:val="00CE190F"/>
    <w:rsid w:val="00CF0BE2"/>
    <w:rsid w:val="00CF649C"/>
    <w:rsid w:val="00D00BB8"/>
    <w:rsid w:val="00D0611D"/>
    <w:rsid w:val="00D075B3"/>
    <w:rsid w:val="00D26860"/>
    <w:rsid w:val="00D32A47"/>
    <w:rsid w:val="00D40EC9"/>
    <w:rsid w:val="00D4491F"/>
    <w:rsid w:val="00D45233"/>
    <w:rsid w:val="00D463FE"/>
    <w:rsid w:val="00D605A8"/>
    <w:rsid w:val="00D6205F"/>
    <w:rsid w:val="00D706D5"/>
    <w:rsid w:val="00D70974"/>
    <w:rsid w:val="00D845A5"/>
    <w:rsid w:val="00D91B79"/>
    <w:rsid w:val="00D93E9D"/>
    <w:rsid w:val="00DA2118"/>
    <w:rsid w:val="00DB61E0"/>
    <w:rsid w:val="00DC3699"/>
    <w:rsid w:val="00DC5480"/>
    <w:rsid w:val="00DD6C9C"/>
    <w:rsid w:val="00DE2B03"/>
    <w:rsid w:val="00DE356A"/>
    <w:rsid w:val="00DE5563"/>
    <w:rsid w:val="00DF0250"/>
    <w:rsid w:val="00DF2FE3"/>
    <w:rsid w:val="00E046B2"/>
    <w:rsid w:val="00E10806"/>
    <w:rsid w:val="00E13F5D"/>
    <w:rsid w:val="00E26F29"/>
    <w:rsid w:val="00E3074A"/>
    <w:rsid w:val="00E327DE"/>
    <w:rsid w:val="00E43302"/>
    <w:rsid w:val="00E53E78"/>
    <w:rsid w:val="00E55686"/>
    <w:rsid w:val="00E57CCD"/>
    <w:rsid w:val="00E67745"/>
    <w:rsid w:val="00E87037"/>
    <w:rsid w:val="00EB3665"/>
    <w:rsid w:val="00EB4597"/>
    <w:rsid w:val="00EC60D9"/>
    <w:rsid w:val="00EC7653"/>
    <w:rsid w:val="00ED21BE"/>
    <w:rsid w:val="00ED57EC"/>
    <w:rsid w:val="00ED7711"/>
    <w:rsid w:val="00EE665A"/>
    <w:rsid w:val="00EF5ACF"/>
    <w:rsid w:val="00F00E17"/>
    <w:rsid w:val="00F03088"/>
    <w:rsid w:val="00F03368"/>
    <w:rsid w:val="00F102F2"/>
    <w:rsid w:val="00F11A2D"/>
    <w:rsid w:val="00F11D83"/>
    <w:rsid w:val="00F157DF"/>
    <w:rsid w:val="00F1580B"/>
    <w:rsid w:val="00F21425"/>
    <w:rsid w:val="00F21465"/>
    <w:rsid w:val="00F22736"/>
    <w:rsid w:val="00F25B0F"/>
    <w:rsid w:val="00F30209"/>
    <w:rsid w:val="00F302E9"/>
    <w:rsid w:val="00F315AE"/>
    <w:rsid w:val="00F35A74"/>
    <w:rsid w:val="00F43965"/>
    <w:rsid w:val="00F55915"/>
    <w:rsid w:val="00F648D8"/>
    <w:rsid w:val="00F760A4"/>
    <w:rsid w:val="00F85EEE"/>
    <w:rsid w:val="00F86919"/>
    <w:rsid w:val="00FA4319"/>
    <w:rsid w:val="00FA489C"/>
    <w:rsid w:val="00FA7BCE"/>
    <w:rsid w:val="00FA7C2B"/>
    <w:rsid w:val="00FB4C19"/>
    <w:rsid w:val="00FC0455"/>
    <w:rsid w:val="00FD4059"/>
    <w:rsid w:val="00FD4992"/>
    <w:rsid w:val="00FD4ABA"/>
    <w:rsid w:val="00FD68B6"/>
    <w:rsid w:val="00FE1717"/>
    <w:rsid w:val="00FF4AD2"/>
    <w:rsid w:val="00FF5E27"/>
    <w:rsid w:val="00FF69C9"/>
    <w:rsid w:val="014B52A2"/>
    <w:rsid w:val="017B7C84"/>
    <w:rsid w:val="018C13C8"/>
    <w:rsid w:val="02977D5A"/>
    <w:rsid w:val="02B3714D"/>
    <w:rsid w:val="030B2906"/>
    <w:rsid w:val="030C0A30"/>
    <w:rsid w:val="030F363A"/>
    <w:rsid w:val="031158C7"/>
    <w:rsid w:val="035060C8"/>
    <w:rsid w:val="03B10EED"/>
    <w:rsid w:val="050F7C41"/>
    <w:rsid w:val="05B84E9D"/>
    <w:rsid w:val="06655FCC"/>
    <w:rsid w:val="067F1931"/>
    <w:rsid w:val="06A83136"/>
    <w:rsid w:val="06BB1D69"/>
    <w:rsid w:val="06D849E3"/>
    <w:rsid w:val="07347E38"/>
    <w:rsid w:val="07A07BF6"/>
    <w:rsid w:val="080D690E"/>
    <w:rsid w:val="08A05F2E"/>
    <w:rsid w:val="08E43B13"/>
    <w:rsid w:val="08FA7E41"/>
    <w:rsid w:val="090B5543"/>
    <w:rsid w:val="091D3BD5"/>
    <w:rsid w:val="09716097"/>
    <w:rsid w:val="09FC4AF5"/>
    <w:rsid w:val="0A617A49"/>
    <w:rsid w:val="0A740EC6"/>
    <w:rsid w:val="0A752400"/>
    <w:rsid w:val="0AA21756"/>
    <w:rsid w:val="0AA83B44"/>
    <w:rsid w:val="0AA90EC0"/>
    <w:rsid w:val="0AE566AE"/>
    <w:rsid w:val="0B680A2B"/>
    <w:rsid w:val="0B9E444D"/>
    <w:rsid w:val="0BFA3EA9"/>
    <w:rsid w:val="0C7B4653"/>
    <w:rsid w:val="0CA83D5E"/>
    <w:rsid w:val="0CEA1FBF"/>
    <w:rsid w:val="0D2F3744"/>
    <w:rsid w:val="0D632F5A"/>
    <w:rsid w:val="0DB406CD"/>
    <w:rsid w:val="0DB5188A"/>
    <w:rsid w:val="0E396218"/>
    <w:rsid w:val="0EDA5E35"/>
    <w:rsid w:val="0EE76CFB"/>
    <w:rsid w:val="0F7B5093"/>
    <w:rsid w:val="0F834557"/>
    <w:rsid w:val="101C613B"/>
    <w:rsid w:val="10642EC0"/>
    <w:rsid w:val="10E16B8A"/>
    <w:rsid w:val="11356CD5"/>
    <w:rsid w:val="115D26B4"/>
    <w:rsid w:val="11E15880"/>
    <w:rsid w:val="11FE6C69"/>
    <w:rsid w:val="129B16E6"/>
    <w:rsid w:val="13A42ECD"/>
    <w:rsid w:val="13AC347F"/>
    <w:rsid w:val="13CD283D"/>
    <w:rsid w:val="14327E28"/>
    <w:rsid w:val="156972A1"/>
    <w:rsid w:val="16321ADC"/>
    <w:rsid w:val="16341343"/>
    <w:rsid w:val="163800C9"/>
    <w:rsid w:val="165F6DCC"/>
    <w:rsid w:val="16B632BB"/>
    <w:rsid w:val="171925FC"/>
    <w:rsid w:val="171E2633"/>
    <w:rsid w:val="174A6081"/>
    <w:rsid w:val="18482C3A"/>
    <w:rsid w:val="18894028"/>
    <w:rsid w:val="18DD6D07"/>
    <w:rsid w:val="192D03A2"/>
    <w:rsid w:val="19DD52EC"/>
    <w:rsid w:val="1A063956"/>
    <w:rsid w:val="1A5B5714"/>
    <w:rsid w:val="1AC76DF0"/>
    <w:rsid w:val="1AD02A29"/>
    <w:rsid w:val="1AFC6A9A"/>
    <w:rsid w:val="1B19291E"/>
    <w:rsid w:val="1BA43F54"/>
    <w:rsid w:val="1C1C1428"/>
    <w:rsid w:val="1C4346C6"/>
    <w:rsid w:val="1CDD12C2"/>
    <w:rsid w:val="1D906252"/>
    <w:rsid w:val="1DB10597"/>
    <w:rsid w:val="1E543774"/>
    <w:rsid w:val="1E6F1361"/>
    <w:rsid w:val="1EEC5F1F"/>
    <w:rsid w:val="1FB5426C"/>
    <w:rsid w:val="204721E4"/>
    <w:rsid w:val="20476A09"/>
    <w:rsid w:val="204A02A8"/>
    <w:rsid w:val="224C25C1"/>
    <w:rsid w:val="22F31550"/>
    <w:rsid w:val="234B4A63"/>
    <w:rsid w:val="23554D03"/>
    <w:rsid w:val="244A3F2C"/>
    <w:rsid w:val="24D863E2"/>
    <w:rsid w:val="24DE36B4"/>
    <w:rsid w:val="251951DE"/>
    <w:rsid w:val="25665B84"/>
    <w:rsid w:val="25D42860"/>
    <w:rsid w:val="26366DDC"/>
    <w:rsid w:val="26414662"/>
    <w:rsid w:val="270A0791"/>
    <w:rsid w:val="27804076"/>
    <w:rsid w:val="278F5A21"/>
    <w:rsid w:val="27D31BF2"/>
    <w:rsid w:val="28395EBC"/>
    <w:rsid w:val="28BC50FE"/>
    <w:rsid w:val="28C064AD"/>
    <w:rsid w:val="28EB14F7"/>
    <w:rsid w:val="29037894"/>
    <w:rsid w:val="299B7DC6"/>
    <w:rsid w:val="29ED237C"/>
    <w:rsid w:val="2A955869"/>
    <w:rsid w:val="2A98360F"/>
    <w:rsid w:val="2ACD0D74"/>
    <w:rsid w:val="2ADF6228"/>
    <w:rsid w:val="2AE40519"/>
    <w:rsid w:val="2B0867F9"/>
    <w:rsid w:val="2B400C25"/>
    <w:rsid w:val="2B490967"/>
    <w:rsid w:val="2BDE22FD"/>
    <w:rsid w:val="2D0A13E9"/>
    <w:rsid w:val="2D0A5BF5"/>
    <w:rsid w:val="2D750387"/>
    <w:rsid w:val="2DA64AEB"/>
    <w:rsid w:val="2DC342BC"/>
    <w:rsid w:val="2E8157DC"/>
    <w:rsid w:val="2E905A1F"/>
    <w:rsid w:val="2F76782F"/>
    <w:rsid w:val="2F9130A0"/>
    <w:rsid w:val="30AC6958"/>
    <w:rsid w:val="30BD0622"/>
    <w:rsid w:val="30C776F3"/>
    <w:rsid w:val="30F55FF5"/>
    <w:rsid w:val="31553C95"/>
    <w:rsid w:val="31753C5C"/>
    <w:rsid w:val="31CF3C0F"/>
    <w:rsid w:val="32D16C5C"/>
    <w:rsid w:val="330264F0"/>
    <w:rsid w:val="3353526D"/>
    <w:rsid w:val="33C76A3A"/>
    <w:rsid w:val="33FC5A9B"/>
    <w:rsid w:val="341F659E"/>
    <w:rsid w:val="34260F0B"/>
    <w:rsid w:val="350B7C3B"/>
    <w:rsid w:val="3533521C"/>
    <w:rsid w:val="35C125FA"/>
    <w:rsid w:val="35D443B2"/>
    <w:rsid w:val="364C391D"/>
    <w:rsid w:val="367479D5"/>
    <w:rsid w:val="369C23EC"/>
    <w:rsid w:val="36A04B73"/>
    <w:rsid w:val="36AC2EBA"/>
    <w:rsid w:val="370074BA"/>
    <w:rsid w:val="37500442"/>
    <w:rsid w:val="376B075D"/>
    <w:rsid w:val="38677946"/>
    <w:rsid w:val="38B92091"/>
    <w:rsid w:val="390053EE"/>
    <w:rsid w:val="39070333"/>
    <w:rsid w:val="3913381F"/>
    <w:rsid w:val="39316051"/>
    <w:rsid w:val="39CF6DF4"/>
    <w:rsid w:val="3A0F1908"/>
    <w:rsid w:val="3A157721"/>
    <w:rsid w:val="3A845288"/>
    <w:rsid w:val="3A874DFA"/>
    <w:rsid w:val="3BC44F5A"/>
    <w:rsid w:val="3C011D0B"/>
    <w:rsid w:val="3CBF1EF5"/>
    <w:rsid w:val="3CFC1C86"/>
    <w:rsid w:val="3D2832C7"/>
    <w:rsid w:val="3DEE2A12"/>
    <w:rsid w:val="3E1C544D"/>
    <w:rsid w:val="3E465454"/>
    <w:rsid w:val="3EB25A8F"/>
    <w:rsid w:val="3ED80551"/>
    <w:rsid w:val="3EF94F1B"/>
    <w:rsid w:val="3EFF2662"/>
    <w:rsid w:val="3F243990"/>
    <w:rsid w:val="3FA333A6"/>
    <w:rsid w:val="3FBA6DA0"/>
    <w:rsid w:val="40A14808"/>
    <w:rsid w:val="40AB152C"/>
    <w:rsid w:val="40D46C82"/>
    <w:rsid w:val="41126768"/>
    <w:rsid w:val="4125452D"/>
    <w:rsid w:val="41517290"/>
    <w:rsid w:val="41607D07"/>
    <w:rsid w:val="416E7E42"/>
    <w:rsid w:val="419C46E6"/>
    <w:rsid w:val="422E3A38"/>
    <w:rsid w:val="424F432E"/>
    <w:rsid w:val="425841AF"/>
    <w:rsid w:val="429D7E3F"/>
    <w:rsid w:val="42A16D5F"/>
    <w:rsid w:val="43AE6615"/>
    <w:rsid w:val="43B43D36"/>
    <w:rsid w:val="43E95B4A"/>
    <w:rsid w:val="44C27274"/>
    <w:rsid w:val="45157EEC"/>
    <w:rsid w:val="456E4E81"/>
    <w:rsid w:val="45767288"/>
    <w:rsid w:val="45C81AEB"/>
    <w:rsid w:val="46251D67"/>
    <w:rsid w:val="46405B25"/>
    <w:rsid w:val="46781838"/>
    <w:rsid w:val="46F5246C"/>
    <w:rsid w:val="47306BB6"/>
    <w:rsid w:val="478424CC"/>
    <w:rsid w:val="47DC187E"/>
    <w:rsid w:val="47F51E15"/>
    <w:rsid w:val="482079BC"/>
    <w:rsid w:val="483A0D83"/>
    <w:rsid w:val="48650A8D"/>
    <w:rsid w:val="48EA4432"/>
    <w:rsid w:val="48EB4379"/>
    <w:rsid w:val="49367F99"/>
    <w:rsid w:val="49BC705C"/>
    <w:rsid w:val="4A257073"/>
    <w:rsid w:val="4A7E5E83"/>
    <w:rsid w:val="4B096BFE"/>
    <w:rsid w:val="4B3814C1"/>
    <w:rsid w:val="4B506195"/>
    <w:rsid w:val="4C037D94"/>
    <w:rsid w:val="4C6D0CF6"/>
    <w:rsid w:val="4C7A46CB"/>
    <w:rsid w:val="4D117EAF"/>
    <w:rsid w:val="4D403780"/>
    <w:rsid w:val="4D482619"/>
    <w:rsid w:val="4DB93CE6"/>
    <w:rsid w:val="4DC71290"/>
    <w:rsid w:val="4DD96B8E"/>
    <w:rsid w:val="4E1D2F71"/>
    <w:rsid w:val="4E263853"/>
    <w:rsid w:val="4E6332C9"/>
    <w:rsid w:val="4E75187A"/>
    <w:rsid w:val="4EF56E02"/>
    <w:rsid w:val="4F2C2030"/>
    <w:rsid w:val="4F431A16"/>
    <w:rsid w:val="4F625CFC"/>
    <w:rsid w:val="50CB28C3"/>
    <w:rsid w:val="520A7A55"/>
    <w:rsid w:val="524D28B3"/>
    <w:rsid w:val="53071EA5"/>
    <w:rsid w:val="531E0F9C"/>
    <w:rsid w:val="53787CAE"/>
    <w:rsid w:val="5382152B"/>
    <w:rsid w:val="53E45164"/>
    <w:rsid w:val="54025339"/>
    <w:rsid w:val="543E66CC"/>
    <w:rsid w:val="54AA0D71"/>
    <w:rsid w:val="54E029AD"/>
    <w:rsid w:val="559744C0"/>
    <w:rsid w:val="559A547B"/>
    <w:rsid w:val="55D346A2"/>
    <w:rsid w:val="56DC1833"/>
    <w:rsid w:val="57775044"/>
    <w:rsid w:val="57A0738E"/>
    <w:rsid w:val="57D936E4"/>
    <w:rsid w:val="57FF5F11"/>
    <w:rsid w:val="580753FD"/>
    <w:rsid w:val="58387E39"/>
    <w:rsid w:val="58553E64"/>
    <w:rsid w:val="587B4B9C"/>
    <w:rsid w:val="58D073A5"/>
    <w:rsid w:val="590B5B1F"/>
    <w:rsid w:val="595F3D47"/>
    <w:rsid w:val="599B004C"/>
    <w:rsid w:val="5A2101BA"/>
    <w:rsid w:val="5A290CB4"/>
    <w:rsid w:val="5ABB5ED1"/>
    <w:rsid w:val="5AF847D6"/>
    <w:rsid w:val="5CB27A65"/>
    <w:rsid w:val="5CC26E3C"/>
    <w:rsid w:val="5CD129E8"/>
    <w:rsid w:val="5CE713B5"/>
    <w:rsid w:val="5D041D1A"/>
    <w:rsid w:val="5D9E11DA"/>
    <w:rsid w:val="5DA465C2"/>
    <w:rsid w:val="5DCB4BA6"/>
    <w:rsid w:val="5DCC7310"/>
    <w:rsid w:val="5DEF1AA3"/>
    <w:rsid w:val="5E185797"/>
    <w:rsid w:val="5E1E1CD6"/>
    <w:rsid w:val="5E984D81"/>
    <w:rsid w:val="5EBF5F80"/>
    <w:rsid w:val="5ED752A6"/>
    <w:rsid w:val="5ED942F1"/>
    <w:rsid w:val="5EF64554"/>
    <w:rsid w:val="5F5B246C"/>
    <w:rsid w:val="5F6E2768"/>
    <w:rsid w:val="5FA94BFF"/>
    <w:rsid w:val="60D93EF7"/>
    <w:rsid w:val="61555A6E"/>
    <w:rsid w:val="61C815F8"/>
    <w:rsid w:val="621C0D9D"/>
    <w:rsid w:val="62380E16"/>
    <w:rsid w:val="62F16AC3"/>
    <w:rsid w:val="63F83144"/>
    <w:rsid w:val="64373C6C"/>
    <w:rsid w:val="644B5969"/>
    <w:rsid w:val="64E83A14"/>
    <w:rsid w:val="650521AA"/>
    <w:rsid w:val="651A4726"/>
    <w:rsid w:val="66215E2C"/>
    <w:rsid w:val="66665840"/>
    <w:rsid w:val="670D2DDD"/>
    <w:rsid w:val="686F6D95"/>
    <w:rsid w:val="68A40B37"/>
    <w:rsid w:val="68B82CC6"/>
    <w:rsid w:val="68BC085A"/>
    <w:rsid w:val="69141461"/>
    <w:rsid w:val="69C6749B"/>
    <w:rsid w:val="6A1F0A75"/>
    <w:rsid w:val="6A5E56C2"/>
    <w:rsid w:val="6ACE4BFE"/>
    <w:rsid w:val="6ADB330F"/>
    <w:rsid w:val="6AF331DF"/>
    <w:rsid w:val="6B5E5F7B"/>
    <w:rsid w:val="6BAE6F0A"/>
    <w:rsid w:val="6BF9414D"/>
    <w:rsid w:val="6CB23185"/>
    <w:rsid w:val="6D8D0DA1"/>
    <w:rsid w:val="6D940955"/>
    <w:rsid w:val="6DA947E3"/>
    <w:rsid w:val="6DEC6D14"/>
    <w:rsid w:val="6E6E06F7"/>
    <w:rsid w:val="6E9F6FDD"/>
    <w:rsid w:val="6EE76E86"/>
    <w:rsid w:val="6F651FD5"/>
    <w:rsid w:val="6F7F0E86"/>
    <w:rsid w:val="6F810491"/>
    <w:rsid w:val="6FAC1AE5"/>
    <w:rsid w:val="708A757C"/>
    <w:rsid w:val="7151758B"/>
    <w:rsid w:val="71700044"/>
    <w:rsid w:val="71F10209"/>
    <w:rsid w:val="72F642DA"/>
    <w:rsid w:val="733323D9"/>
    <w:rsid w:val="73506D16"/>
    <w:rsid w:val="74262963"/>
    <w:rsid w:val="74457064"/>
    <w:rsid w:val="744C72C0"/>
    <w:rsid w:val="750C5711"/>
    <w:rsid w:val="7557241A"/>
    <w:rsid w:val="76A43029"/>
    <w:rsid w:val="76AE6010"/>
    <w:rsid w:val="76C10625"/>
    <w:rsid w:val="76F65095"/>
    <w:rsid w:val="77333075"/>
    <w:rsid w:val="77E50981"/>
    <w:rsid w:val="786D1EFA"/>
    <w:rsid w:val="789D7AA5"/>
    <w:rsid w:val="792F33AF"/>
    <w:rsid w:val="797A042B"/>
    <w:rsid w:val="79A1317A"/>
    <w:rsid w:val="7A540C70"/>
    <w:rsid w:val="7A660689"/>
    <w:rsid w:val="7ACA405F"/>
    <w:rsid w:val="7AE50058"/>
    <w:rsid w:val="7B851309"/>
    <w:rsid w:val="7BA050EE"/>
    <w:rsid w:val="7BD21C71"/>
    <w:rsid w:val="7CF41358"/>
    <w:rsid w:val="7D166A24"/>
    <w:rsid w:val="7DA04A2D"/>
    <w:rsid w:val="7DA77B98"/>
    <w:rsid w:val="7DF93C3C"/>
    <w:rsid w:val="7E154BC6"/>
    <w:rsid w:val="7EF0118F"/>
    <w:rsid w:val="7F015A3C"/>
    <w:rsid w:val="7F8226E2"/>
    <w:rsid w:val="7F847DC0"/>
    <w:rsid w:val="7F9B0FCB"/>
    <w:rsid w:val="7FE42AA2"/>
    <w:rsid w:val="7FF30F3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qFormat="1" w:unhideWhenUsed="0" w:uiPriority="99" w:name="index 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0"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qFormat="1" w:unhideWhenUsed="0" w:uiPriority="0" w:semiHidden="0" w:name="Body Text First Indent" w:locked="1"/>
    <w:lsdException w:qFormat="1" w:unhideWhenUsed="0" w:uiPriority="99" w:semiHidden="0" w:name="Body Text First Indent 2"/>
    <w:lsdException w:uiPriority="99" w:name="Note Heading" w:locked="1"/>
    <w:lsdException w:uiPriority="99" w:name="Body Text 2" w:locked="1"/>
    <w:lsdException w:qFormat="1" w:unhideWhenUsed="0" w:uiPriority="99" w:semiHidden="0" w:name="Body Text 3"/>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iPriority="99" w:name="Balloon Text" w:locked="1"/>
    <w:lsdException w:qFormat="1" w:unhideWhenUsed="0" w:uiPriority="0" w:semiHidden="0" w:name="Table Grid" w:locked="1"/>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5"/>
    <w:qFormat/>
    <w:uiPriority w:val="99"/>
    <w:pPr>
      <w:widowControl/>
      <w:spacing w:line="600" w:lineRule="exact"/>
      <w:outlineLvl w:val="0"/>
    </w:pPr>
    <w:rPr>
      <w:rFonts w:ascii="Times New Roman" w:hAnsi="Times New Roman" w:cs="Times New Roman"/>
      <w:b/>
      <w:bCs/>
      <w:kern w:val="36"/>
      <w:sz w:val="28"/>
      <w:szCs w:val="28"/>
    </w:rPr>
  </w:style>
  <w:style w:type="paragraph" w:styleId="3">
    <w:name w:val="heading 2"/>
    <w:basedOn w:val="1"/>
    <w:next w:val="1"/>
    <w:link w:val="36"/>
    <w:qFormat/>
    <w:uiPriority w:val="99"/>
    <w:pPr>
      <w:keepNext/>
      <w:keepLines/>
      <w:spacing w:line="600" w:lineRule="exact"/>
      <w:outlineLvl w:val="1"/>
    </w:pPr>
    <w:rPr>
      <w:rFonts w:ascii="Times New Roman" w:hAnsi="Times New Roman" w:cs="Times New Roman"/>
      <w:b/>
      <w:bCs/>
      <w:kern w:val="0"/>
      <w:sz w:val="28"/>
      <w:szCs w:val="28"/>
    </w:rPr>
  </w:style>
  <w:style w:type="paragraph" w:styleId="4">
    <w:name w:val="heading 3"/>
    <w:basedOn w:val="1"/>
    <w:next w:val="1"/>
    <w:link w:val="37"/>
    <w:qFormat/>
    <w:uiPriority w:val="99"/>
    <w:pPr>
      <w:keepNext/>
      <w:keepLines/>
      <w:spacing w:line="600" w:lineRule="exact"/>
      <w:outlineLvl w:val="2"/>
    </w:pPr>
    <w:rPr>
      <w:b/>
      <w:bCs/>
      <w:kern w:val="0"/>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locked/>
    <w:uiPriority w:val="99"/>
    <w:pPr>
      <w:adjustRightInd w:val="0"/>
      <w:snapToGrid w:val="0"/>
      <w:spacing w:line="360" w:lineRule="auto"/>
    </w:pPr>
    <w:rPr>
      <w:sz w:val="24"/>
    </w:rPr>
  </w:style>
  <w:style w:type="paragraph" w:styleId="6">
    <w:name w:val="annotation text"/>
    <w:basedOn w:val="1"/>
    <w:link w:val="41"/>
    <w:semiHidden/>
    <w:qFormat/>
    <w:uiPriority w:val="99"/>
    <w:pPr>
      <w:jc w:val="left"/>
    </w:pPr>
  </w:style>
  <w:style w:type="paragraph" w:styleId="7">
    <w:name w:val="Body Text 3"/>
    <w:basedOn w:val="1"/>
    <w:link w:val="42"/>
    <w:qFormat/>
    <w:uiPriority w:val="99"/>
    <w:pPr>
      <w:spacing w:after="120"/>
    </w:pPr>
    <w:rPr>
      <w:rFonts w:ascii="Times New Roman" w:hAnsi="Times New Roman" w:cs="Times New Roman"/>
      <w:sz w:val="16"/>
      <w:szCs w:val="16"/>
    </w:rPr>
  </w:style>
  <w:style w:type="paragraph" w:styleId="8">
    <w:name w:val="Body Text"/>
    <w:basedOn w:val="1"/>
    <w:next w:val="1"/>
    <w:link w:val="40"/>
    <w:qFormat/>
    <w:uiPriority w:val="99"/>
    <w:pPr>
      <w:widowControl/>
      <w:spacing w:before="100" w:beforeAutospacing="1" w:after="100" w:afterAutospacing="1"/>
      <w:jc w:val="left"/>
    </w:pPr>
    <w:rPr>
      <w:kern w:val="0"/>
      <w:sz w:val="20"/>
      <w:szCs w:val="20"/>
    </w:rPr>
  </w:style>
  <w:style w:type="paragraph" w:styleId="9">
    <w:name w:val="Body Text Indent"/>
    <w:basedOn w:val="1"/>
    <w:link w:val="38"/>
    <w:qFormat/>
    <w:uiPriority w:val="99"/>
    <w:pPr>
      <w:spacing w:after="120"/>
      <w:ind w:left="420" w:leftChars="200"/>
    </w:pPr>
    <w:rPr>
      <w:kern w:val="0"/>
      <w:sz w:val="20"/>
      <w:szCs w:val="20"/>
    </w:rPr>
  </w:style>
  <w:style w:type="paragraph" w:styleId="10">
    <w:name w:val="toc 3"/>
    <w:basedOn w:val="1"/>
    <w:next w:val="1"/>
    <w:semiHidden/>
    <w:qFormat/>
    <w:locked/>
    <w:uiPriority w:val="0"/>
    <w:pPr>
      <w:ind w:left="840" w:leftChars="400"/>
    </w:pPr>
  </w:style>
  <w:style w:type="paragraph" w:styleId="11">
    <w:name w:val="Plain Text"/>
    <w:basedOn w:val="1"/>
    <w:link w:val="43"/>
    <w:qFormat/>
    <w:uiPriority w:val="99"/>
    <w:rPr>
      <w:rFonts w:ascii="宋体" w:hAnsi="Courier New" w:cs="宋体"/>
    </w:rPr>
  </w:style>
  <w:style w:type="paragraph" w:styleId="12">
    <w:name w:val="Body Text Indent 2"/>
    <w:basedOn w:val="1"/>
    <w:link w:val="44"/>
    <w:qFormat/>
    <w:uiPriority w:val="99"/>
    <w:pPr>
      <w:ind w:firstLine="570"/>
    </w:pPr>
    <w:rPr>
      <w:kern w:val="0"/>
      <w:sz w:val="20"/>
      <w:szCs w:val="20"/>
    </w:rPr>
  </w:style>
  <w:style w:type="paragraph" w:styleId="13">
    <w:name w:val="Balloon Text"/>
    <w:basedOn w:val="1"/>
    <w:link w:val="63"/>
    <w:semiHidden/>
    <w:unhideWhenUsed/>
    <w:qFormat/>
    <w:locked/>
    <w:uiPriority w:val="99"/>
    <w:rPr>
      <w:sz w:val="18"/>
      <w:szCs w:val="18"/>
    </w:rPr>
  </w:style>
  <w:style w:type="paragraph" w:styleId="14">
    <w:name w:val="footer"/>
    <w:basedOn w:val="1"/>
    <w:link w:val="45"/>
    <w:qFormat/>
    <w:uiPriority w:val="99"/>
    <w:pPr>
      <w:tabs>
        <w:tab w:val="center" w:pos="4153"/>
        <w:tab w:val="right" w:pos="8306"/>
      </w:tabs>
      <w:snapToGrid w:val="0"/>
      <w:jc w:val="left"/>
    </w:pPr>
    <w:rPr>
      <w:kern w:val="0"/>
      <w:sz w:val="18"/>
      <w:szCs w:val="18"/>
    </w:rPr>
  </w:style>
  <w:style w:type="paragraph" w:styleId="15">
    <w:name w:val="header"/>
    <w:basedOn w:val="1"/>
    <w:link w:val="46"/>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semiHidden/>
    <w:qFormat/>
    <w:uiPriority w:val="99"/>
  </w:style>
  <w:style w:type="paragraph" w:styleId="17">
    <w:name w:val="index heading"/>
    <w:basedOn w:val="1"/>
    <w:next w:val="18"/>
    <w:semiHidden/>
    <w:qFormat/>
    <w:uiPriority w:val="99"/>
    <w:pPr>
      <w:spacing w:before="120" w:after="120"/>
      <w:jc w:val="left"/>
    </w:pPr>
    <w:rPr>
      <w:b/>
      <w:bCs/>
      <w:i/>
      <w:iCs/>
    </w:rPr>
  </w:style>
  <w:style w:type="paragraph" w:styleId="18">
    <w:name w:val="index 1"/>
    <w:basedOn w:val="1"/>
    <w:next w:val="1"/>
    <w:semiHidden/>
    <w:qFormat/>
    <w:uiPriority w:val="99"/>
    <w:pPr>
      <w:ind w:left="210" w:hanging="210"/>
      <w:jc w:val="left"/>
    </w:pPr>
  </w:style>
  <w:style w:type="paragraph" w:styleId="19">
    <w:name w:val="toc 2"/>
    <w:basedOn w:val="1"/>
    <w:next w:val="1"/>
    <w:semiHidden/>
    <w:qFormat/>
    <w:uiPriority w:val="99"/>
    <w:pPr>
      <w:ind w:left="420" w:leftChars="200"/>
    </w:p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1">
    <w:name w:val="Title"/>
    <w:basedOn w:val="1"/>
    <w:qFormat/>
    <w:locked/>
    <w:uiPriority w:val="0"/>
    <w:pPr>
      <w:spacing w:before="468" w:beforeLines="150" w:line="480" w:lineRule="auto"/>
      <w:jc w:val="center"/>
      <w:outlineLvl w:val="0"/>
    </w:pPr>
    <w:rPr>
      <w:rFonts w:ascii="Times New Roman" w:eastAsia="黑体"/>
      <w:b/>
      <w:sz w:val="32"/>
      <w:szCs w:val="24"/>
    </w:rPr>
  </w:style>
  <w:style w:type="paragraph" w:styleId="22">
    <w:name w:val="annotation subject"/>
    <w:basedOn w:val="6"/>
    <w:next w:val="6"/>
    <w:link w:val="62"/>
    <w:semiHidden/>
    <w:unhideWhenUsed/>
    <w:qFormat/>
    <w:locked/>
    <w:uiPriority w:val="99"/>
    <w:rPr>
      <w:b/>
      <w:bCs/>
    </w:rPr>
  </w:style>
  <w:style w:type="paragraph" w:styleId="23">
    <w:name w:val="Body Text First Indent"/>
    <w:basedOn w:val="8"/>
    <w:qFormat/>
    <w:locked/>
    <w:uiPriority w:val="0"/>
    <w:pPr>
      <w:tabs>
        <w:tab w:val="left" w:pos="0"/>
      </w:tabs>
      <w:autoSpaceDE w:val="0"/>
      <w:autoSpaceDN w:val="0"/>
      <w:adjustRightInd w:val="0"/>
      <w:spacing w:before="120" w:line="360" w:lineRule="auto"/>
      <w:ind w:firstLine="567"/>
    </w:pPr>
    <w:rPr>
      <w:rFonts w:ascii="宋体"/>
    </w:rPr>
  </w:style>
  <w:style w:type="paragraph" w:styleId="24">
    <w:name w:val="Body Text First Indent 2"/>
    <w:basedOn w:val="8"/>
    <w:next w:val="1"/>
    <w:link w:val="39"/>
    <w:qFormat/>
    <w:uiPriority w:val="99"/>
    <w:pPr>
      <w:tabs>
        <w:tab w:val="left" w:pos="0"/>
        <w:tab w:val="left" w:pos="870"/>
        <w:tab w:val="left" w:pos="3150"/>
      </w:tabs>
      <w:autoSpaceDE w:val="0"/>
      <w:autoSpaceDN w:val="0"/>
      <w:adjustRightInd w:val="0"/>
      <w:spacing w:line="360" w:lineRule="auto"/>
      <w:ind w:firstLine="527"/>
    </w:pPr>
    <w:rPr>
      <w:rFonts w:ascii="宋体" w:cs="宋体"/>
      <w:sz w:val="24"/>
      <w:szCs w:val="24"/>
    </w:rPr>
  </w:style>
  <w:style w:type="table" w:styleId="26">
    <w:name w:val="Table Grid"/>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8">
    <w:name w:val="Strong"/>
    <w:basedOn w:val="27"/>
    <w:qFormat/>
    <w:locked/>
    <w:uiPriority w:val="0"/>
    <w:rPr>
      <w:b/>
    </w:rPr>
  </w:style>
  <w:style w:type="character" w:styleId="29">
    <w:name w:val="page number"/>
    <w:basedOn w:val="27"/>
    <w:qFormat/>
    <w:uiPriority w:val="99"/>
  </w:style>
  <w:style w:type="character" w:styleId="30">
    <w:name w:val="Hyperlink"/>
    <w:basedOn w:val="27"/>
    <w:qFormat/>
    <w:uiPriority w:val="99"/>
    <w:rPr>
      <w:color w:val="auto"/>
      <w:u w:val="single"/>
    </w:rPr>
  </w:style>
  <w:style w:type="character" w:styleId="31">
    <w:name w:val="annotation reference"/>
    <w:basedOn w:val="27"/>
    <w:semiHidden/>
    <w:unhideWhenUsed/>
    <w:qFormat/>
    <w:locked/>
    <w:uiPriority w:val="99"/>
    <w:rPr>
      <w:sz w:val="21"/>
      <w:szCs w:val="21"/>
    </w:rPr>
  </w:style>
  <w:style w:type="paragraph" w:customStyle="1" w:styleId="32">
    <w:name w:val="样式1"/>
    <w:basedOn w:val="10"/>
    <w:next w:val="1"/>
    <w:qFormat/>
    <w:uiPriority w:val="99"/>
    <w:pPr>
      <w:spacing w:line="620" w:lineRule="exact"/>
      <w:ind w:firstLine="880" w:firstLineChars="200"/>
    </w:pPr>
    <w:rPr>
      <w:rFonts w:ascii="Times New Roman" w:hAnsi="Times New Roman" w:cs="Times New Roman"/>
      <w:kern w:val="0"/>
      <w:sz w:val="28"/>
      <w:szCs w:val="28"/>
    </w:rPr>
  </w:style>
  <w:style w:type="paragraph" w:customStyle="1" w:styleId="33">
    <w:name w:val="Default1"/>
    <w:basedOn w:val="34"/>
    <w:qFormat/>
    <w:uiPriority w:val="99"/>
    <w:pPr>
      <w:autoSpaceDE w:val="0"/>
      <w:autoSpaceDN w:val="0"/>
      <w:adjustRightInd w:val="0"/>
    </w:pPr>
    <w:rPr>
      <w:rFonts w:hAnsi="Times New Roman" w:eastAsia="宋体" w:cs="宋体"/>
      <w:color w:val="000000"/>
      <w:kern w:val="0"/>
    </w:rPr>
  </w:style>
  <w:style w:type="paragraph" w:customStyle="1" w:styleId="34">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character" w:customStyle="1" w:styleId="35">
    <w:name w:val="标题 1 Char"/>
    <w:basedOn w:val="27"/>
    <w:link w:val="2"/>
    <w:qFormat/>
    <w:locked/>
    <w:uiPriority w:val="99"/>
    <w:rPr>
      <w:rFonts w:ascii="Times New Roman" w:hAnsi="Times New Roman" w:eastAsia="宋体" w:cs="Times New Roman"/>
      <w:b/>
      <w:bCs/>
      <w:kern w:val="36"/>
      <w:sz w:val="28"/>
      <w:szCs w:val="28"/>
    </w:rPr>
  </w:style>
  <w:style w:type="character" w:customStyle="1" w:styleId="36">
    <w:name w:val="标题 2 Char"/>
    <w:basedOn w:val="27"/>
    <w:link w:val="3"/>
    <w:qFormat/>
    <w:locked/>
    <w:uiPriority w:val="99"/>
    <w:rPr>
      <w:rFonts w:ascii="Times New Roman" w:hAnsi="Times New Roman" w:eastAsia="宋体" w:cs="Times New Roman"/>
      <w:b/>
      <w:bCs/>
      <w:sz w:val="28"/>
      <w:szCs w:val="28"/>
    </w:rPr>
  </w:style>
  <w:style w:type="character" w:customStyle="1" w:styleId="37">
    <w:name w:val="标题 3 Char"/>
    <w:basedOn w:val="27"/>
    <w:link w:val="4"/>
    <w:semiHidden/>
    <w:qFormat/>
    <w:locked/>
    <w:uiPriority w:val="99"/>
    <w:rPr>
      <w:rFonts w:ascii="Calibri" w:hAnsi="Calibri" w:cs="Calibri"/>
      <w:b/>
      <w:bCs/>
      <w:sz w:val="32"/>
      <w:szCs w:val="32"/>
    </w:rPr>
  </w:style>
  <w:style w:type="character" w:customStyle="1" w:styleId="38">
    <w:name w:val="正文文本缩进 Char"/>
    <w:basedOn w:val="27"/>
    <w:link w:val="9"/>
    <w:semiHidden/>
    <w:qFormat/>
    <w:locked/>
    <w:uiPriority w:val="99"/>
    <w:rPr>
      <w:rFonts w:ascii="Calibri" w:hAnsi="Calibri" w:cs="Calibri"/>
      <w:sz w:val="21"/>
      <w:szCs w:val="21"/>
    </w:rPr>
  </w:style>
  <w:style w:type="character" w:customStyle="1" w:styleId="39">
    <w:name w:val="正文首行缩进 2 Char"/>
    <w:basedOn w:val="38"/>
    <w:link w:val="24"/>
    <w:semiHidden/>
    <w:qFormat/>
    <w:uiPriority w:val="99"/>
    <w:rPr>
      <w:rFonts w:ascii="Calibri" w:hAnsi="Calibri" w:cs="Calibri"/>
      <w:sz w:val="21"/>
      <w:szCs w:val="21"/>
    </w:rPr>
  </w:style>
  <w:style w:type="character" w:customStyle="1" w:styleId="40">
    <w:name w:val="正文文本 Char"/>
    <w:basedOn w:val="27"/>
    <w:link w:val="8"/>
    <w:semiHidden/>
    <w:qFormat/>
    <w:locked/>
    <w:uiPriority w:val="99"/>
    <w:rPr>
      <w:rFonts w:ascii="Calibri" w:hAnsi="Calibri" w:cs="Calibri"/>
      <w:sz w:val="21"/>
      <w:szCs w:val="21"/>
    </w:rPr>
  </w:style>
  <w:style w:type="character" w:customStyle="1" w:styleId="41">
    <w:name w:val="批注文字 Char"/>
    <w:basedOn w:val="27"/>
    <w:link w:val="6"/>
    <w:semiHidden/>
    <w:qFormat/>
    <w:uiPriority w:val="99"/>
    <w:rPr>
      <w:rFonts w:ascii="Calibri" w:hAnsi="Calibri" w:cs="Calibri"/>
      <w:szCs w:val="21"/>
    </w:rPr>
  </w:style>
  <w:style w:type="character" w:customStyle="1" w:styleId="42">
    <w:name w:val="正文文本 3 Char"/>
    <w:basedOn w:val="27"/>
    <w:link w:val="7"/>
    <w:qFormat/>
    <w:locked/>
    <w:uiPriority w:val="99"/>
    <w:rPr>
      <w:kern w:val="2"/>
      <w:sz w:val="16"/>
      <w:szCs w:val="16"/>
    </w:rPr>
  </w:style>
  <w:style w:type="character" w:customStyle="1" w:styleId="43">
    <w:name w:val="纯文本 Char"/>
    <w:basedOn w:val="27"/>
    <w:link w:val="11"/>
    <w:semiHidden/>
    <w:qFormat/>
    <w:uiPriority w:val="99"/>
    <w:rPr>
      <w:rFonts w:ascii="宋体" w:hAnsi="Courier New" w:cs="Courier New"/>
      <w:szCs w:val="21"/>
    </w:rPr>
  </w:style>
  <w:style w:type="character" w:customStyle="1" w:styleId="44">
    <w:name w:val="正文文本缩进 2 Char"/>
    <w:basedOn w:val="27"/>
    <w:link w:val="12"/>
    <w:semiHidden/>
    <w:qFormat/>
    <w:locked/>
    <w:uiPriority w:val="99"/>
    <w:rPr>
      <w:rFonts w:ascii="Calibri" w:hAnsi="Calibri" w:cs="Calibri"/>
      <w:sz w:val="21"/>
      <w:szCs w:val="21"/>
    </w:rPr>
  </w:style>
  <w:style w:type="character" w:customStyle="1" w:styleId="45">
    <w:name w:val="页脚 Char"/>
    <w:basedOn w:val="27"/>
    <w:link w:val="14"/>
    <w:semiHidden/>
    <w:qFormat/>
    <w:locked/>
    <w:uiPriority w:val="99"/>
    <w:rPr>
      <w:rFonts w:ascii="Calibri" w:hAnsi="Calibri" w:cs="Calibri"/>
      <w:sz w:val="18"/>
      <w:szCs w:val="18"/>
    </w:rPr>
  </w:style>
  <w:style w:type="character" w:customStyle="1" w:styleId="46">
    <w:name w:val="页眉 Char"/>
    <w:basedOn w:val="27"/>
    <w:link w:val="15"/>
    <w:semiHidden/>
    <w:qFormat/>
    <w:locked/>
    <w:uiPriority w:val="99"/>
    <w:rPr>
      <w:rFonts w:ascii="Calibri" w:hAnsi="Calibri" w:cs="Calibri"/>
      <w:sz w:val="18"/>
      <w:szCs w:val="18"/>
    </w:rPr>
  </w:style>
  <w:style w:type="paragraph" w:customStyle="1" w:styleId="47">
    <w:name w:val="样式 标题 2"/>
    <w:basedOn w:val="3"/>
    <w:qFormat/>
    <w:uiPriority w:val="99"/>
    <w:pPr>
      <w:adjustRightInd w:val="0"/>
      <w:snapToGrid w:val="0"/>
      <w:spacing w:before="120" w:after="120" w:line="240" w:lineRule="auto"/>
      <w:textAlignment w:val="baseline"/>
    </w:pPr>
    <w:rPr>
      <w:rFonts w:ascii="Arial" w:hAnsi="Arial" w:cs="Arial"/>
    </w:rPr>
  </w:style>
  <w:style w:type="paragraph" w:customStyle="1" w:styleId="48">
    <w:name w:val="样式 10 磅"/>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49">
    <w:name w:val="question-title2"/>
    <w:basedOn w:val="27"/>
    <w:qFormat/>
    <w:uiPriority w:val="99"/>
  </w:style>
  <w:style w:type="paragraph" w:customStyle="1" w:styleId="50">
    <w:name w:val="Char Char1 Char Char Char Char Char Char Char Char Char Char Char Char Char Char Char1 Char1 Char Char Char Char Char Char Char Char Char"/>
    <w:basedOn w:val="1"/>
    <w:autoRedefine/>
    <w:qFormat/>
    <w:uiPriority w:val="99"/>
    <w:pPr>
      <w:widowControl/>
      <w:spacing w:after="160" w:line="240" w:lineRule="exact"/>
      <w:jc w:val="left"/>
    </w:pPr>
    <w:rPr>
      <w:rFonts w:ascii="Verdana" w:hAnsi="Verdana" w:cs="Verdana"/>
      <w:kern w:val="0"/>
      <w:sz w:val="20"/>
      <w:szCs w:val="20"/>
      <w:lang w:eastAsia="en-US"/>
    </w:rPr>
  </w:style>
  <w:style w:type="paragraph" w:customStyle="1" w:styleId="51">
    <w:name w:val="Default1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2">
    <w:name w:val="List Paragraph"/>
    <w:basedOn w:val="1"/>
    <w:qFormat/>
    <w:uiPriority w:val="99"/>
    <w:pPr>
      <w:ind w:firstLine="420" w:firstLineChars="200"/>
    </w:pPr>
  </w:style>
  <w:style w:type="paragraph" w:customStyle="1" w:styleId="53">
    <w:name w:val="Char"/>
    <w:basedOn w:val="1"/>
    <w:qFormat/>
    <w:uiPriority w:val="99"/>
    <w:pPr>
      <w:spacing w:line="360" w:lineRule="auto"/>
      <w:ind w:firstLine="200" w:firstLineChars="200"/>
    </w:pPr>
    <w:rPr>
      <w:rFonts w:ascii="宋体" w:hAnsi="宋体" w:cs="宋体"/>
      <w:sz w:val="24"/>
      <w:szCs w:val="24"/>
    </w:rPr>
  </w:style>
  <w:style w:type="paragraph" w:customStyle="1" w:styleId="54">
    <w:name w:val="Default"/>
    <w:basedOn w:val="55"/>
    <w:next w:val="24"/>
    <w:qFormat/>
    <w:uiPriority w:val="99"/>
    <w:pPr>
      <w:autoSpaceDE w:val="0"/>
      <w:autoSpaceDN w:val="0"/>
      <w:adjustRightInd w:val="0"/>
    </w:pPr>
    <w:rPr>
      <w:rFonts w:ascii="Arial" w:hAnsi="Arial" w:cs="Arial"/>
      <w:sz w:val="24"/>
    </w:rPr>
  </w:style>
  <w:style w:type="paragraph" w:customStyle="1" w:styleId="55">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56">
    <w:name w:val="No Spacing"/>
    <w:qFormat/>
    <w:uiPriority w:val="99"/>
    <w:rPr>
      <w:rFonts w:ascii="Times New Roman" w:hAnsi="Times New Roman" w:eastAsia="宋体" w:cs="Times New Roman"/>
      <w:sz w:val="22"/>
      <w:szCs w:val="22"/>
      <w:lang w:val="en-US" w:eastAsia="zh-CN" w:bidi="ar-SA"/>
    </w:rPr>
  </w:style>
  <w:style w:type="character" w:customStyle="1" w:styleId="57">
    <w:name w:val="Char Char5"/>
    <w:basedOn w:val="27"/>
    <w:autoRedefine/>
    <w:qFormat/>
    <w:uiPriority w:val="99"/>
    <w:rPr>
      <w:sz w:val="18"/>
      <w:szCs w:val="18"/>
    </w:rPr>
  </w:style>
  <w:style w:type="paragraph" w:customStyle="1" w:styleId="58">
    <w:name w:val="列出段落3"/>
    <w:autoRedefine/>
    <w:qFormat/>
    <w:uiPriority w:val="0"/>
    <w:pPr>
      <w:widowControl w:val="0"/>
      <w:spacing w:line="460" w:lineRule="exact"/>
      <w:ind w:firstLine="420" w:firstLineChars="200"/>
      <w:jc w:val="both"/>
    </w:pPr>
    <w:rPr>
      <w:rFonts w:ascii="Times New Roman" w:hAnsi="Times New Roman" w:eastAsia="宋体" w:cs="Times New Roman"/>
      <w:kern w:val="2"/>
      <w:sz w:val="21"/>
      <w:szCs w:val="22"/>
      <w:lang w:val="en-US" w:eastAsia="zh-CN" w:bidi="ar-SA"/>
    </w:rPr>
  </w:style>
  <w:style w:type="paragraph" w:customStyle="1" w:styleId="59">
    <w:name w:val="正文 New New New New New New New New New"/>
    <w:autoRedefine/>
    <w:qFormat/>
    <w:uiPriority w:val="0"/>
    <w:pPr>
      <w:widowControl w:val="0"/>
      <w:adjustRightInd w:val="0"/>
      <w:snapToGrid w:val="0"/>
      <w:spacing w:line="360" w:lineRule="auto"/>
      <w:ind w:firstLine="422" w:firstLineChars="200"/>
      <w:jc w:val="center"/>
    </w:pPr>
    <w:rPr>
      <w:rFonts w:ascii="宋体" w:hAnsi="宋体" w:eastAsia="宋体" w:cs="宋体"/>
      <w:b/>
      <w:kern w:val="2"/>
      <w:sz w:val="21"/>
      <w:szCs w:val="21"/>
      <w:shd w:val="clear" w:color="auto" w:fill="FFFFFF"/>
      <w:lang w:val="en-US" w:eastAsia="zh-CN" w:bidi="ar-SA"/>
    </w:rPr>
  </w:style>
  <w:style w:type="paragraph" w:customStyle="1" w:styleId="60">
    <w:name w:val="Char Char1 Char Char Char Char Char Char Char Char Char Char Char Char Char Char Char1 Char1 Char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61">
    <w:name w:val="报告表格"/>
    <w:basedOn w:val="1"/>
    <w:qFormat/>
    <w:uiPriority w:val="0"/>
    <w:pPr>
      <w:spacing w:line="300" w:lineRule="exact"/>
      <w:jc w:val="center"/>
    </w:pPr>
  </w:style>
  <w:style w:type="character" w:customStyle="1" w:styleId="62">
    <w:name w:val="批注主题 Char"/>
    <w:basedOn w:val="41"/>
    <w:link w:val="22"/>
    <w:semiHidden/>
    <w:qFormat/>
    <w:uiPriority w:val="99"/>
    <w:rPr>
      <w:rFonts w:ascii="Calibri" w:hAnsi="Calibri" w:cs="Calibri"/>
      <w:b/>
      <w:bCs/>
      <w:kern w:val="2"/>
      <w:sz w:val="21"/>
      <w:szCs w:val="21"/>
    </w:rPr>
  </w:style>
  <w:style w:type="character" w:customStyle="1" w:styleId="63">
    <w:name w:val="批注框文本 Char"/>
    <w:basedOn w:val="27"/>
    <w:link w:val="13"/>
    <w:semiHidden/>
    <w:qFormat/>
    <w:uiPriority w:val="99"/>
    <w:rPr>
      <w:rFonts w:ascii="Calibri" w:hAnsi="Calibri"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wmf"/><Relationship Id="rId11" Type="http://schemas.openxmlformats.org/officeDocument/2006/relationships/image" Target="media/image2.wmf"/><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80"/>
  </customShpExts>
</s:customData>
</file>

<file path=customXml/item2.xml><?xml version="1.0" encoding="utf-8"?>
<contractReview xmlns="http://schemas.wps.cn/vas-ai-hub/contract-review">
  <reviewItems>
    <reviewItem>
      <errorID>c978ce1b-77ad-4023-b507-2f27cc6d2a74</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1E146940</paraID>
      <start>28</start>
      <end>33</end>
      <status>ignored</status>
      <modifiedWord/>
      <trackRevisions>false</trackRevisions>
    </reviewItem>
    <reviewItem>
      <errorID>ec68451b-8d12-4ed9-a770-318d7012a7ad</errorID>
      <errorWord>法律、法规</errorWord>
      <group>L1_Word</group>
      <groupName>字词问题</groupName>
      <ability>L2_Typo</ability>
      <abilityName>字词错误</abilityName>
      <candidateList>
        <item>法律法规</item>
      </candidateList>
      <explain/>
      <paraID>1E146940</paraID>
      <start>37</start>
      <end>42</end>
      <status>ignored</status>
      <modifiedWord/>
      <trackRevisions>false</trackRevisions>
    </reviewItem>
    <reviewItem>
      <errorID>857197ae-6bb6-4fcf-b31c-d8f90afd18ad</errorID>
      <errorWord>前    言</errorWord>
      <group>L1_AI</group>
      <groupName>深度校对</groupName>
      <ability>L2_AI_Grammar</ability>
      <abilityName>语法纠错</abilityName>
      <candidateList>
        <item>前言</item>
      </candidateList>
      <explain/>
      <paraID>37C4BA3D</paraID>
      <start>1</start>
      <end>7</end>
      <status>ignored</status>
      <modifiedWord/>
      <trackRevisions>false</trackRevisions>
    </reviewItem>
    <reviewItem>
      <errorID>ee8bb8e8-5f7c-4d70-947a-7204d2022bdf</errorID>
      <errorWord>[2024]</errorWord>
      <group>L1_Punc</group>
      <groupName>标点问题</groupName>
      <ability>L2_Punc</ability>
      <abilityName>标点符号检查</abilityName>
      <candidateList>
        <item>〔2024〕</item>
      </candidateList>
      <explain/>
      <paraID>36A9EEAD</paraID>
      <start>241</start>
      <end>247</end>
      <status>modified</status>
      <modifiedWord>〔2024〕</modifiedWord>
      <trackRevisions>false</trackRevisions>
    </reviewItem>
    <reviewItem>
      <errorID>e347c73b-1435-4e61-a53d-56f36c77069a</errorID>
      <errorWord>根据</errorWord>
      <group>L1_AI</group>
      <groupName>深度校对</groupName>
      <ability>L2_AI_Punc</ability>
      <abilityName>标点纠错</abilityName>
      <candidateList>
        <item>，根据</item>
      </candidateList>
      <explain/>
      <paraID>39916991</paraID>
      <start>2</start>
      <end>5</end>
      <status>modified</status>
      <modifiedWord>，根据</modifiedWord>
      <trackRevisions>false</trackRevisions>
    </reviewItem>
    <reviewItem>
      <errorID>36a85588-618b-4bfb-84e7-d4ac07a100b2</errorID>
      <errorWord>〔2021〕第88号</errorWord>
      <group>L1_Knowledge</group>
      <groupName>知识性问题</groupName>
      <ability>L2_Knowledge</ability>
      <abilityName>其他知识</abilityName>
      <candidateList>
        <item>〔2021〕88号</item>
      </candidateList>
      <explain>发文字号格式错误。</explain>
      <paraID>39916991</paraID>
      <start>73</start>
      <end>83</end>
      <status>ignored</status>
      <modifiedWord/>
      <trackRevisions>false</trackRevisions>
    </reviewItem>
    <reviewItem>
      <errorID>2bd68c79-3e86-42a2-a195-ddc418d5fb03</errorID>
      <errorWord>〔2011〕第591号</errorWord>
      <group>L1_Knowledge</group>
      <groupName>知识性问题</groupName>
      <ability>L2_Knowledge</ability>
      <abilityName>其他知识</abilityName>
      <candidateList>
        <item>〔2011〕591号</item>
      </candidateList>
      <explain>发文字号格式错误。</explain>
      <paraID>39916991</paraID>
      <start>103</start>
      <end>114</end>
      <status>ignored</status>
      <modifiedWord/>
      <trackRevisions>false</trackRevisions>
    </reviewItem>
    <reviewItem>
      <errorID>6f1bab47-21df-4524-8c95-8ffd1a9c1684</errorID>
      <errorWord>〔2013〕第645号</errorWord>
      <group>L1_Knowledge</group>
      <groupName>知识性问题</groupName>
      <ability>L2_Knowledge</ability>
      <abilityName>其他知识</abilityName>
      <candidateList>
        <item>〔2013〕645号</item>
      </candidateList>
      <explain>发文字号格式错误。</explain>
      <paraID>39916991</paraID>
      <start>115</start>
      <end>126</end>
      <status>ignored</status>
      <modifiedWord/>
      <trackRevisions>false</trackRevisions>
    </reviewItem>
    <reviewItem>
      <errorID>077ab1b0-324e-40ba-a2b0-c850a80b79de</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39916991</paraID>
      <start>131</start>
      <end>145</end>
      <status>ignored</status>
      <modifiedWord/>
      <trackRevisions>false</trackRevisions>
    </reviewItem>
    <reviewItem>
      <errorID>0b79e0b7-2773-4736-94f8-cf6d819f0113</errorID>
      <errorWord>安</errorWord>
      <group>L1_AI</group>
      <groupName>深度校对</groupName>
      <ability>L2_AI_Punc</ability>
      <abilityName>标点纠错</abilityName>
      <candidateList>
        <item>（安</item>
      </candidateList>
      <explain/>
      <paraID>39916991</paraID>
      <start>146</start>
      <end>147</end>
      <status>ignored</status>
      <modifiedWord/>
      <trackRevisions>false</trackRevisions>
    </reviewItem>
    <reviewItem>
      <errorID>155ef2e8-febd-426b-8ae2-6eb749d0a20d</errorID>
      <errorWord>（</errorWord>
      <group>L1_AI</group>
      <groupName>深度校对</groupName>
      <ability>L2_AI_Punc</ability>
      <abilityName>标点纠错</abilityName>
      <candidateList>
        <item>，</item>
      </candidateList>
      <explain/>
      <paraID>39916991</paraID>
      <start>155</start>
      <end>156</end>
      <status>ignored</status>
      <modifiedWord/>
      <trackRevisions>false</trackRevisions>
    </reviewItem>
    <reviewItem>
      <errorID>f1707e64-7a86-4a63-9480-2545c61e2c7c</errorID>
      <errorWord>安</errorWord>
      <group>L1_AI</group>
      <groupName>深度校对</groupName>
      <ability>L2_AI_Punc</ability>
      <abilityName>标点纠错</abilityName>
      <candidateList>
        <item>（安</item>
      </candidateList>
      <explain/>
      <paraID>39916991</paraID>
      <start>188</start>
      <end>189</end>
      <status>ignored</status>
      <modifiedWord/>
      <trackRevisions>false</trackRevisions>
    </reviewItem>
    <reviewItem>
      <errorID>e6985f4a-9e0c-4a74-86bc-83ee53a0e2c5</errorID>
      <errorWord>局</errorWord>
      <group>L1_Word</group>
      <groupName>字词问题</groupName>
      <ability>L2_Typo</ability>
      <abilityName>字词错误</abilityName>
      <candidateList>
        <item>局第</item>
      </candidateList>
      <explain/>
      <paraID>39916991</paraID>
      <start>191</start>
      <end>192</end>
      <status>ignored</status>
      <modifiedWord/>
      <trackRevisions>false</trackRevisions>
    </reviewItem>
    <reviewItem>
      <errorID>55490193-094a-4f86-8398-98b95046af42</errorID>
      <errorWord>45</errorWord>
      <group>L1_AI</group>
      <groupName>深度校对</groupName>
      <ability>L2_AI_Grammar</ability>
      <abilityName>语法纠错</abilityName>
      <candidateList>
        <item>令第45</item>
      </candidateList>
      <explain/>
      <paraID>39916991</paraID>
      <start>192</start>
      <end>194</end>
      <status>ignored</status>
      <modifiedWord/>
      <trackRevisions>false</trackRevisions>
    </reviewItem>
    <reviewItem>
      <errorID>fa85e30b-0168-4acf-b869-0b7ff3f5f5ce</errorID>
      <errorWord>号令（</errorWord>
      <group>L1_AI</group>
      <groupName>深度校对</groupName>
      <ability>L2_AI_Word</ability>
      <abilityName>字词纠错</abilityName>
      <candidateList>
        <item>号，</item>
      </candidateList>
      <explain/>
      <paraID>39916991</paraID>
      <start>194</start>
      <end>197</end>
      <status>ignored</status>
      <modifiedWord/>
      <trackRevisions>false</trackRevisions>
    </reviewItem>
    <reviewItem>
      <errorID>865ee53d-24f5-469e-8eda-219941bbe73c</errorID>
      <errorWord>进行了</errorWord>
      <group>L1_AI</group>
      <groupName>深度校对</groupName>
      <ability>L2_AI_Word</ability>
      <abilityName>字词纠错</abilityName>
      <candidateList>
        <item>进行</item>
      </candidateList>
      <explain/>
      <paraID>20F04088</paraID>
      <start>42</start>
      <end>44</end>
      <status>modified</status>
      <modifiedWord>进行</modifiedWord>
      <trackRevisions>false</trackRevisions>
    </reviewItem>
    <reviewItem>
      <errorID>dd9938e4-9eb7-4912-8599-fe59b4f3af59</errorID>
      <errorWord>进行了</errorWord>
      <group>L1_AI</group>
      <groupName>深度校对</groupName>
      <ability>L2_AI_Word</ability>
      <abilityName>字词纠错</abilityName>
      <candidateList>
        <item>进行</item>
      </candidateList>
      <explain/>
      <paraID>20F04088</paraID>
      <start>50</start>
      <end>52</end>
      <status>modified</status>
      <modifiedWord>进行</modifiedWord>
      <trackRevisions>false</trackRevisions>
    </reviewItem>
    <reviewItem>
      <errorID>3a75712d-bad5-4ed8-bc0e-d1aa6cbc9d80</errorID>
      <errorWord>。</errorWord>
      <group>L1_AI</group>
      <groupName>深度校对</groupName>
      <ability>L2_AI_Word</ability>
      <abilityName>字词纠错</abilityName>
      <candidateList>
        <item>的。</item>
      </candidateList>
      <explain/>
      <paraID>34EAD0E9</paraID>
      <start>33</start>
      <end>35</end>
      <status>modified</status>
      <modifiedWord>的。</modifiedWord>
      <trackRevisions>false</trackRevisions>
    </reviewItem>
    <reviewItem>
      <errorID>a4810e6a-93d7-4bf8-9def-df245db617f6</errorID>
      <errorWord>公平</errorWord>
      <group>L1_AI</group>
      <groupName>深度校对</groupName>
      <ability>L2_AI_Word</ability>
      <abilityName>字词纠错</abilityName>
      <candidateList>
        <item>公平性</item>
      </candidateList>
      <explain/>
      <paraID>166BBAB8</paraID>
      <start>6</start>
      <end>9</end>
      <status>modified</status>
      <modifiedWord>公平性</modifiedWord>
      <trackRevisions>false</trackRevisions>
    </reviewItem>
    <reviewItem>
      <errorID>8931e4b4-9677-4399-ba5f-887023e8016b</errorID>
      <errorWord>法律、法规</errorWord>
      <group>L1_Word</group>
      <groupName>字词问题</groupName>
      <ability>L2_Typo</ability>
      <abilityName>字词错误</abilityName>
      <candidateList>
        <item>法律法规</item>
      </candidateList>
      <explain/>
      <paraID>166BBAB8</paraID>
      <start>30</start>
      <end>35</end>
      <status>ignored</status>
      <modifiedWord/>
      <trackRevisions>false</trackRevisions>
    </reviewItem>
    <reviewItem>
      <errorID>6d5fdbc1-5eab-446f-8b6a-47955931d662</errorID>
      <errorWord>法律、法规</errorWord>
      <group>L1_Word</group>
      <groupName>字词问题</groupName>
      <ability>L2_Typo</ability>
      <abilityName>字词错误</abilityName>
      <candidateList>
        <item>法律法规</item>
      </candidateList>
      <explain/>
      <paraID>2A694DBD</paraID>
      <start>5</start>
      <end>10</end>
      <status>ignored</status>
      <modifiedWord/>
      <trackRevisions>false</trackRevisions>
    </reviewItem>
    <reviewItem>
      <errorID>c5230da7-132d-497c-9a1d-0b304638fd75</errorID>
      <errorWord>【2021】</errorWord>
      <group>L1_AI</group>
      <groupName>深度校对</groupName>
      <ability>L2_AI_Punc</ability>
      <abilityName>标点纠错</abilityName>
      <candidateList>
        <item>〔2021〕</item>
      </candidateList>
      <explain/>
      <paraID> F662A85</paraID>
      <start>20</start>
      <end>26</end>
      <status>ignored</status>
      <modifiedWord/>
      <trackRevisions>false</trackRevisions>
    </reviewItem>
    <reviewItem>
      <errorID>5eead8c2-9d18-4e59-81e6-672843f4f88a</errorID>
      <errorWord>实施</errorWord>
      <group>L1_AI</group>
      <groupName>深度校对</groupName>
      <ability>L2_AI_Word</ability>
      <abilityName>字词纠错</abilityName>
      <candidateList>
        <item>施行</item>
      </candidateList>
      <explain/>
      <paraID> F662A85</paraID>
      <start>43</start>
      <end>45</end>
      <status>ignored</status>
      <modifiedWord/>
      <trackRevisions>false</trackRevisions>
    </reviewItem>
    <reviewItem>
      <errorID>3fab8ff3-418d-41ca-bd0d-4792791251a0</errorID>
      <errorWord>【2021】</errorWord>
      <group>L1_AI</group>
      <groupName>深度校对</groupName>
      <ability>L2_AI_Punc</ability>
      <abilityName>标点纠错</abilityName>
      <candidateList>
        <item>〔2021〕</item>
      </candidateList>
      <explain/>
      <paraID> CA556C6</paraID>
      <start>18</start>
      <end>24</end>
      <status>ignored</status>
      <modifiedWord/>
      <trackRevisions>false</trackRevisions>
    </reviewItem>
    <reviewItem>
      <errorID>27d941b6-7a9a-470b-b58b-d261740fc316</errorID>
      <errorWord>【1994】第28号</errorWord>
      <group>L1_Knowledge</group>
      <groupName>知识性问题</groupName>
      <ability>L2_Knowledge</ability>
      <abilityName>其他知识</abilityName>
      <candidateList>
        <item>〔1994〕28号</item>
      </candidateList>
      <explain>发文字号格式错误。</explain>
      <paraID>64A4BDD9</paraID>
      <start>18</start>
      <end>28</end>
      <status>ignored</status>
      <modifiedWord/>
      <trackRevisions>false</trackRevisions>
    </reviewItem>
    <reviewItem>
      <errorID>dbe40c83-1fa3-4097-a99e-9f467a8c3ca5</errorID>
      <errorWord>）（</errorWord>
      <group>L1_AI</group>
      <groupName>深度校对</groupName>
      <ability>L2_AI_Punc</ability>
      <abilityName>标点纠错</abilityName>
      <candidateList>
        <item>，</item>
      </candidateList>
      <explain/>
      <paraID>64A4BDD9</paraID>
      <start>28</start>
      <end>30</end>
      <status>ignored</status>
      <modifiedWord/>
      <trackRevisions>false</trackRevisions>
    </reviewItem>
    <reviewItem>
      <errorID>38b9e7d0-8e7b-4d65-a938-b5d52ee68c8d</errorID>
      <errorWord>主席令</errorWord>
      <group>L1_AI</group>
      <groupName>深度校对</groupName>
      <ability>L2_AI_Grammar</ability>
      <abilityName>语法纠错</abilityName>
      <candidateList>
        <item>国家主席令</item>
      </candidateList>
      <explain/>
      <paraID> 509D39C</paraID>
      <start>16</start>
      <end>19</end>
      <status>ignored</status>
      <modifiedWord/>
      <trackRevisions>false</trackRevisions>
    </reviewItem>
    <reviewItem>
      <errorID>d425671f-9de5-4c3a-89ed-87802d8ff179</errorID>
      <errorWord>国务院令</errorWord>
      <group>L1_AI</group>
      <groupName>深度校对</groupName>
      <ability>L2_AI_Punc</ability>
      <abilityName>标点纠错</abilityName>
      <candidateList>
        <item>（国务院令</item>
      </candidateList>
      <explain/>
      <paraID>7B36040D</paraID>
      <start>13</start>
      <end>17</end>
      <status>ignored</status>
      <modifiedWord/>
      <trackRevisions>false</trackRevisions>
    </reviewItem>
    <reviewItem>
      <errorID>f48c725e-5891-45dc-96ad-63d880a07bee</errorID>
      <errorWord>【2011】第591号</errorWord>
      <group>L1_Knowledge</group>
      <groupName>知识性问题</groupName>
      <ability>L2_Knowledge</ability>
      <abilityName>其他知识</abilityName>
      <candidateList>
        <item>〔2011〕591号</item>
      </candidateList>
      <explain>发文字号格式错误。</explain>
      <paraID>7B36040D</paraID>
      <start>17</start>
      <end>28</end>
      <status>ignored</status>
      <modifiedWord/>
      <trackRevisions>false</trackRevisions>
    </reviewItem>
    <reviewItem>
      <errorID>f9379b7e-e34b-4a90-a575-19f8e706c2d4</errorID>
      <errorWord>（</errorWord>
      <group>L1_AI</group>
      <groupName>深度校对</groupName>
      <ability>L2_AI_Punc</ability>
      <abilityName>标点纠错</abilityName>
      <candidateList>
        <item>，</item>
      </candidateList>
      <explain/>
      <paraID>7B36040D</paraID>
      <start>28</start>
      <end>29</end>
      <status>ignored</status>
      <modifiedWord/>
      <trackRevisions>false</trackRevisions>
    </reviewItem>
    <reviewItem>
      <errorID>cf71395d-af25-46b1-806a-60288048d728</errorID>
      <errorWord>第</errorWord>
      <group>L1_AI</group>
      <groupName>深度校对</groupName>
      <ability>L2_AI_Word</ability>
      <abilityName>字词纠错</abilityName>
      <candidateList>
        <item>经第</item>
      </candidateList>
      <explain/>
      <paraID>7B36040D</paraID>
      <start>34</start>
      <end>35</end>
      <status>ignored</status>
      <modifiedWord/>
      <trackRevisions>false</trackRevisions>
    </reviewItem>
    <reviewItem>
      <errorID>f7629b9b-88cb-429c-8dc6-ca91dba55f63</errorID>
      <errorWord>国务院令</errorWord>
      <group>L1_AI</group>
      <groupName>深度校对</groupName>
      <ability>L2_AI_Punc</ability>
      <abilityName>标点纠错</abilityName>
      <candidateList>
        <item>（国务院令</item>
      </candidateList>
      <explain/>
      <paraID>2B619CFD</paraID>
      <start>12</start>
      <end>16</end>
      <status>ignored</status>
      <modifiedWord/>
      <trackRevisions>false</trackRevisions>
    </reviewItem>
    <reviewItem>
      <errorID>2ae9cfa1-bf67-4654-8068-e080ebc4ad53</errorID>
      <errorWord>【2005】第445号</errorWord>
      <group>L1_Knowledge</group>
      <groupName>知识性问题</groupName>
      <ability>L2_Knowledge</ability>
      <abilityName>其他知识</abilityName>
      <candidateList>
        <item>〔2005〕445号</item>
      </candidateList>
      <explain>发文字号格式错误。</explain>
      <paraID>2B619CFD</paraID>
      <start>16</start>
      <end>27</end>
      <status>ignored</status>
      <modifiedWord/>
      <trackRevisions>false</trackRevisions>
    </reviewItem>
    <reviewItem>
      <errorID>2706fcaf-2bf8-4d58-94df-fb55dafad5e9</errorID>
      <errorWord>（</errorWord>
      <group>L1_AI</group>
      <groupName>深度校对</groupName>
      <ability>L2_AI_Punc</ability>
      <abilityName>标点纠错</abilityName>
      <candidateList>
        <item>，</item>
      </candidateList>
      <explain/>
      <paraID>2B619CFD</paraID>
      <start>27</start>
      <end>28</end>
      <status>ignored</status>
      <modifiedWord/>
      <trackRevisions>false</trackRevisions>
    </reviewItem>
    <reviewItem>
      <errorID>b58356a5-3d34-4db2-83a7-f573e343c7aa</errorID>
      <errorWord>国务院</errorWord>
      <group>L1_AI</group>
      <groupName>深度校对</groupName>
      <ability>L2_AI_Grammar</ability>
      <abilityName>语法纠错</abilityName>
      <candidateList>
        <item>经</item>
      </candidateList>
      <explain/>
      <paraID>2B619CFD</paraID>
      <start>33</start>
      <end>36</end>
      <status>ignored</status>
      <modifiedWord/>
      <trackRevisions>false</trackRevisions>
    </reviewItem>
    <reviewItem>
      <errorID>54a4726f-f40a-4be9-ac7d-bd17734e8ea6</errorID>
      <errorWord>号令</errorWord>
      <group>L1_AI</group>
      <groupName>深度校对</groupName>
      <ability>L2_AI_Word</ability>
      <abilityName>字词纠错</abilityName>
      <candidateList>
        <item>号</item>
      </candidateList>
      <explain/>
      <paraID>2B619CFD</paraID>
      <start>40</start>
      <end>42</end>
      <status>ignored</status>
      <modifiedWord/>
      <trackRevisions>false</trackRevisions>
    </reviewItem>
    <reviewItem>
      <errorID>7a76e0ed-6056-45a3-a13f-dcbcedb92c30</errorID>
      <errorWord>国务院</errorWord>
      <group>L1_AI</group>
      <groupName>深度校对</groupName>
      <ability>L2_AI_Grammar</ability>
      <abilityName>语法纠错</abilityName>
      <candidateList>
        <item>经</item>
      </candidateList>
      <explain/>
      <paraID>2B619CFD</paraID>
      <start>48</start>
      <end>51</end>
      <status>ignored</status>
      <modifiedWord/>
      <trackRevisions>false</trackRevisions>
    </reviewItem>
    <reviewItem>
      <errorID>2953a372-a262-441b-865b-c8642ad52994</errorID>
      <errorWord>修改</errorWord>
      <group>L1_AI</group>
      <groupName>深度校对</groupName>
      <ability>L2_AI_Word</ability>
      <abilityName>字词纠错</abilityName>
      <candidateList>
        <item>修订</item>
      </candidateList>
      <explain/>
      <paraID>2B619CFD</paraID>
      <start>56</start>
      <end>58</end>
      <status>ignored</status>
      <modifiedWord/>
      <trackRevisions>false</trackRevisions>
    </reviewItem>
    <reviewItem>
      <errorID>8c81c6e4-fb12-4340-b5db-0c243ca7a7f9</errorID>
      <errorWord>国务院令</errorWord>
      <group>L1_AI</group>
      <groupName>深度校对</groupName>
      <ability>L2_AI_Punc</ability>
      <abilityName>标点纠错</abilityName>
      <candidateList>
        <item>（国务院令</item>
      </candidateList>
      <explain/>
      <paraID>30C92800</paraID>
      <start>12</start>
      <end>16</end>
      <status>ignored</status>
      <modifiedWord/>
      <trackRevisions>false</trackRevisions>
    </reviewItem>
    <reviewItem>
      <errorID>644cf63c-e4f4-4ae8-932c-71eaa4bb9ce1</errorID>
      <errorWord>【2019】第708号</errorWord>
      <group>L1_Knowledge</group>
      <groupName>知识性问题</groupName>
      <ability>L2_Knowledge</ability>
      <abilityName>其他知识</abilityName>
      <candidateList>
        <item>〔2019〕708号</item>
      </candidateList>
      <explain>发文字号格式错误。</explain>
      <paraID>30C92800</paraID>
      <start>16</start>
      <end>27</end>
      <status>ignored</status>
      <modifiedWord/>
      <trackRevisions>false</trackRevisions>
    </reviewItem>
    <reviewItem>
      <errorID>7ccf34ab-818d-4a92-9950-a5e5535a68ec</errorID>
      <errorWord>（</errorWord>
      <group>L1_AI</group>
      <groupName>深度校对</groupName>
      <ability>L2_AI_Punc</ability>
      <abilityName>标点纠错</abilityName>
      <candidateList>
        <item>，</item>
      </candidateList>
      <explain/>
      <paraID>30C92800</paraID>
      <start>27</start>
      <end>28</end>
      <status>ignored</status>
      <modifiedWord/>
      <trackRevisions>false</trackRevisions>
    </reviewItem>
    <reviewItem>
      <errorID>6081e459-0bd3-4694-adbf-eb822dfc9eb3</errorID>
      <errorWord>日</errorWord>
      <group>L1_AI</group>
      <groupName>深度校对</groupName>
      <ability>L2_AI_Word</ability>
      <abilityName>字词纠错</abilityName>
      <candidateList>
        <item>日经</item>
      </candidateList>
      <explain/>
      <paraID>30C92800</paraID>
      <start>37</start>
      <end>38</end>
      <status>ignored</status>
      <modifiedWord/>
      <trackRevisions>false</trackRevisions>
    </reviewItem>
    <reviewItem>
      <errorID>24da71a7-00bb-4bc1-8fe9-ea65eb9a9c32</errorID>
      <errorWord>2019</errorWord>
      <group>L1_AI</group>
      <groupName>深度校对</groupName>
      <ability>L2_AI_Word</ability>
      <abilityName>字词纠错</abilityName>
      <candidateList>
        <item>自2019</item>
      </candidateList>
      <explain/>
      <paraID>30C92800</paraID>
      <start>52</start>
      <end>56</end>
      <status>ignored</status>
      <modifiedWord/>
      <trackRevisions>false</trackRevisions>
    </reviewItem>
    <reviewItem>
      <errorID>c9db4d1b-3363-429d-afa7-b0749e505024</errorID>
      <errorWord>日</errorWord>
      <group>L1_AI</group>
      <groupName>深度校对</groupName>
      <ability>L2_AI_Word</ability>
      <abilityName>字词纠错</abilityName>
      <candidateList>
        <item>月</item>
      </candidateList>
      <explain/>
      <paraID>30C92800</paraID>
      <start>58</start>
      <end>59</end>
      <status>modified</status>
      <modifiedWord>月</modifiedWord>
      <trackRevisions>false</trackRevisions>
    </reviewItem>
    <reviewItem>
      <errorID>9e47eb72-2386-43fd-b828-fa04875533f3</errorID>
      <errorWord>&lt;</errorWord>
      <group>L1_Format</group>
      <groupName>格式问题</groupName>
      <ability>L2_HalfPunc</ability>
      <abilityName>全半角检查</abilityName>
      <candidateList>
        <item>〈</item>
      </candidateList>
      <explain>文本全半角错误。</explain>
      <paraID>60E6D848</paraID>
      <start>77</start>
      <end>78</end>
      <status>modified</status>
      <modifiedWord>〈</modifiedWord>
      <trackRevisions>false</trackRevisions>
    </reviewItem>
    <reviewItem>
      <errorID>3299d128-56fa-4da0-bfe7-232dd4b5789d</errorID>
      <errorWord>&gt;</errorWord>
      <group>L1_Format</group>
      <groupName>格式问题</groupName>
      <ability>L2_HalfPunc</ability>
      <abilityName>全半角检查</abilityName>
      <candidateList>
        <item>〉</item>
      </candidateList>
      <explain>文本全半角错误。</explain>
      <paraID>60E6D848</paraID>
      <start>92</start>
      <end>93</end>
      <status>modified</status>
      <modifiedWord>〉</modifiedWord>
      <trackRevisions>false</trackRevisions>
    </reviewItem>
    <reviewItem>
      <errorID>9d556993-dad3-417a-82f4-8f37d6216a29</errorID>
      <errorWord>36</errorWord>
      <group>L1_AI</group>
      <groupName>深度校对</groupName>
      <ability>L2_AI_Word</ability>
      <abilityName>字词纠错</abilityName>
      <candidateList>
        <item>第36</item>
      </candidateList>
      <explain/>
      <paraID>6D762EAB</paraID>
      <start>29</start>
      <end>31</end>
      <status>ignored</status>
      <modifiedWord/>
      <trackRevisions>false</trackRevisions>
    </reviewItem>
    <reviewItem>
      <errorID>0b5ff02d-6cd2-41e6-bfc3-635caca68ea3</errorID>
      <errorWord>第</errorWord>
      <group>L1_AI</group>
      <groupName>深度校对</groupName>
      <ability>L2_AI_Word</ability>
      <abilityName>字词纠错</abilityName>
      <candidateList>
        <item>经第</item>
      </candidateList>
      <explain/>
      <paraID>6D762EAB</paraID>
      <start>33</start>
      <end>34</end>
      <status>ignored</status>
      <modifiedWord/>
      <trackRevisions>false</trackRevisions>
    </reviewItem>
    <reviewItem>
      <errorID>3c214c7e-3414-4ff5-b6f7-76add3b7d040</errorID>
      <errorWord>第</errorWord>
      <group>L1_AI</group>
      <groupName>深度校对</groupName>
      <ability>L2_AI_Word</ability>
      <abilityName>字词纠错</abilityName>
      <candidateList>
        <item>经第</item>
      </candidateList>
      <explain/>
      <paraID>3A1C3025</paraID>
      <start>32</start>
      <end>33</end>
      <status>ignored</status>
      <modifiedWord/>
      <trackRevisions>false</trackRevisions>
    </reviewItem>
    <reviewItem>
      <errorID>0fba40b9-de4a-49dd-87ef-3f7cab5875d4</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40AF5497</paraID>
      <start>1</start>
      <end>15</end>
      <status>ignored</status>
      <modifiedWord/>
      <trackRevisions>false</trackRevisions>
    </reviewItem>
    <reviewItem>
      <errorID>bf0e1f6a-6deb-47c1-b78a-acfc5d7ef32e</errorID>
      <errorWord>[2022]136号</errorWord>
      <group>L1_Knowledge</group>
      <groupName>知识性问题</groupName>
      <ability>L2_Knowledge</ability>
      <abilityName>其他知识</abilityName>
      <candidateList>
        <item>〔2022〕136号</item>
      </candidateList>
      <explain>发文字号格式错误。</explain>
      <paraID>6EBC16D8</paraID>
      <start>22</start>
      <end>32</end>
      <status>ignored</status>
      <modifiedWord/>
      <trackRevisions>false</trackRevisions>
    </reviewItem>
    <reviewItem>
      <errorID>9bb936cf-d78a-4dc7-8a1f-9c1d88f8eba6</errorID>
      <errorWord>&lt;</errorWord>
      <group>L1_Format</group>
      <groupName>格式问题</groupName>
      <ability>L2_HalfPunc</ability>
      <abilityName>全半角检查</abilityName>
      <candidateList>
        <item>〈</item>
      </candidateList>
      <explain>文本全半角错误。</explain>
      <paraID>7A8F4B5F</paraID>
      <start>5</start>
      <end>6</end>
      <status>modified</status>
      <modifiedWord>〈</modifiedWord>
      <trackRevisions>false</trackRevisions>
    </reviewItem>
    <reviewItem>
      <errorID>ebd89450-33dc-41d9-a385-07e4f0850273</errorID>
      <errorWord>&gt;的通知》</errorWord>
      <group>L1_Punc</group>
      <groupName>标点问题</groupName>
      <ability>L2_Punc</ability>
      <abilityName>标点符号检查</abilityName>
      <candidateList>
        <item>〉的通知》</item>
      </candidateList>
      <explain/>
      <paraID>7A8F4B5F</paraID>
      <start>18</start>
      <end>23</end>
      <status>modified</status>
      <modifiedWord>〉的通知》</modifiedWord>
      <trackRevisions>false</trackRevisions>
    </reviewItem>
    <reviewItem>
      <errorID>a7907d3c-ae69-4294-aed8-572fb1548698</errorID>
      <errorWord>〔2020〕第5号</errorWord>
      <group>L1_Knowledge</group>
      <groupName>知识性问题</groupName>
      <ability>L2_Knowledge</ability>
      <abilityName>其他知识</abilityName>
      <candidateList>
        <item>〔2020〕5号</item>
      </candidateList>
      <explain>发文字号格式错误。</explain>
      <paraID>7324521C</paraID>
      <start>31</start>
      <end>40</end>
      <status>ignored</status>
      <modifiedWord/>
      <trackRevisions>false</trackRevisions>
    </reviewItem>
    <reviewItem>
      <errorID>1bea9f93-3d72-4bef-b3d6-1b9ec3caa330</errorID>
      <errorWord>中共中央办公厅、国务院办公厅厅</errorWord>
      <group>L1_Political</group>
      <groupName>政治性问题</groupName>
      <ability>L2_Keyword</ability>
      <abilityName>固定表述</abilityName>
      <candidateList>
        <item>中共中央办公厅、国务院办公厅</item>
      </candidateList>
      <explain>词汇“中共中央办公厅、国务院办公厅”在特定场景下为固定表述形式，请确认此处的“中共中央办公厅、国务院办公厅厅”是否存在不当。</explain>
      <paraID>5429D314</paraID>
      <start>23</start>
      <end>38</end>
      <status>ignored</status>
      <modifiedWord/>
      <trackRevisions>false</trackRevisions>
    </reviewItem>
    <reviewItem>
      <errorID>3860b11b-2903-4b0a-b756-cfe6bf12f4f3</errorID>
      <errorWord>[2020]第3号</errorWord>
      <group>L1_Knowledge</group>
      <groupName>知识性问题</groupName>
      <ability>L2_Knowledge</ability>
      <abilityName>其他知识</abilityName>
      <candidateList>
        <item>〔2020〕3号</item>
      </candidateList>
      <explain>发文字号格式错误。</explain>
      <paraID>5429D314</paraID>
      <start>39</start>
      <end>48</end>
      <status>ignored</status>
      <modifiedWord/>
      <trackRevisions>false</trackRevisions>
    </reviewItem>
    <reviewItem>
      <errorID>f5b3a74f-f696-4369-a262-9ca484cf2a37</errorID>
      <errorWord>(</errorWord>
      <group>L1_Format</group>
      <groupName>格式问题</groupName>
      <ability>L2_HalfPunc</ability>
      <abilityName>全半角检查</abilityName>
      <candidateList>
        <item>（</item>
      </candidateList>
      <explain>文本全半角错误。</explain>
      <paraID>2C0F8D46</paraID>
      <start>16</start>
      <end>17</end>
      <status>modified</status>
      <modifiedWord>（</modifiedWord>
      <trackRevisions>false</trackRevisions>
    </reviewItem>
    <reviewItem>
      <errorID>899cf942-ced7-4b43-af25-cf5cd0cacc40</errorID>
      <errorWord>)</errorWord>
      <group>L1_Format</group>
      <groupName>格式问题</groupName>
      <ability>L2_HalfPunc</ability>
      <abilityName>全半角检查</abilityName>
      <candidateList>
        <item>）</item>
      </candidateList>
      <explain>文本全半角错误。</explain>
      <paraID>2C0F8D46</paraID>
      <start>19</start>
      <end>20</end>
      <status>modified</status>
      <modifiedWord>）</modifiedWord>
      <trackRevisions>false</trackRevisions>
    </reviewItem>
    <reviewItem>
      <errorID>c98491e9-92e6-4f6c-a430-70e6c0187e98</errorID>
      <errorWord>［2003］</errorWord>
      <group>L1_Punc</group>
      <groupName>标点问题</groupName>
      <ability>L2_Punc</ability>
      <abilityName>标点符号检查</abilityName>
      <candidateList>
        <item>〔2003〕</item>
      </candidateList>
      <explain/>
      <paraID>2C0F8D46</paraID>
      <start>28</start>
      <end>34</end>
      <status>ignored</status>
      <modifiedWord/>
      <trackRevisions>false</trackRevisions>
    </reviewItem>
    <reviewItem>
      <errorID>c0cfa7d2-2f89-41ef-952b-02b6ca69312f</errorID>
      <errorWord>[2003]142号</errorWord>
      <group>L1_Knowledge</group>
      <groupName>知识性问题</groupName>
      <ability>L2_Knowledge</ability>
      <abilityName>其他知识</abilityName>
      <candidateList>
        <item>〔2003〕142号</item>
      </candidateList>
      <explain>发文字号格式错误。</explain>
      <paraID>468DDBAA</paraID>
      <start>13</start>
      <end>23</end>
      <status>ignored</status>
      <modifiedWord/>
      <trackRevisions>false</trackRevisions>
    </reviewItem>
    <reviewItem>
      <errorID>acfb08f3-6669-49ff-8f99-b941ea714f63</errorID>
      <errorWord>（</errorWord>
      <group>L1_Punc</group>
      <groupName>标点问题</groupName>
      <ability>L2_Punc</ability>
      <abilityName>标点符号检查</abilityName>
      <candidateList/>
      <explain/>
      <paraID>1E9674FA</paraID>
      <start>12</start>
      <end>13</end>
      <status>ignored</status>
      <modifiedWord/>
      <trackRevisions>false</trackRevisions>
    </reviewItem>
    <reviewItem>
      <errorID>bc968cd2-9a5b-4c1b-bcab-62e21fb15e38</errorID>
      <errorWord>[2017]121号</errorWord>
      <group>L1_Knowledge</group>
      <groupName>知识性问题</groupName>
      <ability>L2_Knowledge</ability>
      <abilityName>其他知识</abilityName>
      <candidateList>
        <item>〔2017〕121号</item>
      </candidateList>
      <explain>发文字号格式错误。</explain>
      <paraID>3417566B</paraID>
      <start>43</start>
      <end>53</end>
      <status>ignored</status>
      <modifiedWord/>
      <trackRevisions>false</trackRevisions>
    </reviewItem>
    <reviewItem>
      <errorID>d531ac3b-ab80-49a6-bed1-9314d9aaf6ce</errorID>
      <errorWord>(</errorWord>
      <group>L1_Format</group>
      <groupName>格式问题</groupName>
      <ability>L2_HalfPunc</ability>
      <abilityName>全半角检查</abilityName>
      <candidateList>
        <item>（</item>
      </candidateList>
      <explain>文本全半角错误。</explain>
      <paraID>3F22743B</paraID>
      <start>26</start>
      <end>27</end>
      <status>modified</status>
      <modifiedWord>（</modifiedWord>
      <trackRevisions>false</trackRevisions>
    </reviewItem>
    <reviewItem>
      <errorID>09ee2ed9-ab3d-4b59-a9fa-94495ec7ea19</errorID>
      <errorWord>(2017)140号</errorWord>
      <group>L1_Knowledge</group>
      <groupName>知识性问题</groupName>
      <ability>L2_Knowledge</ability>
      <abilityName>其他知识</abilityName>
      <candidateList>
        <item>〔2017〕140号</item>
      </candidateList>
      <explain>发文字号格式错误。</explain>
      <paraID>3F22743B</paraID>
      <start>31</start>
      <end>41</end>
      <status>ignored</status>
      <modifiedWord/>
      <trackRevisions>false</trackRevisions>
    </reviewItem>
    <reviewItem>
      <errorID>dc2ff2c1-4e67-4302-8d65-0926abfc5e3b</errorID>
      <errorWord>)</errorWord>
      <group>L1_Format</group>
      <groupName>格式问题</groupName>
      <ability>L2_HalfPunc</ability>
      <abilityName>全半角检查</abilityName>
      <candidateList>
        <item>）</item>
      </candidateList>
      <explain>文本全半角错误。</explain>
      <paraID>3F22743B</paraID>
      <start>41</start>
      <end>42</end>
      <status>modified</status>
      <modifiedWord>）</modifiedWord>
      <trackRevisions>false</trackRevisions>
    </reviewItem>
    <reviewItem>
      <errorID>ad6e3bc4-849c-4b8e-aef0-85ae20dcf64a</errorID>
      <errorWord>[2021]第252号</errorWord>
      <group>L1_Knowledge</group>
      <groupName>知识性问题</groupName>
      <ability>L2_Knowledge</ability>
      <abilityName>其他知识</abilityName>
      <candidateList>
        <item>〔2021〕252号</item>
      </candidateList>
      <explain>发文字号格式错误。</explain>
      <paraID>754F923B</paraID>
      <start>25</start>
      <end>36</end>
      <status>ignored</status>
      <modifiedWord/>
      <trackRevisions>false</trackRevisions>
    </reviewItem>
    <reviewItem>
      <errorID>a42dff36-1731-4006-a0a1-629bf817b09e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73920F35</paraID>
      <start>46</start>
      <end>47</end>
      <status>ignored</status>
      <modifiedWord/>
      <trackRevisions>false</trackRevisions>
    </reviewItem>
    <reviewItem>
      <errorID>9a37c995-ce71-41bc-80b8-8f71c0c2d855</errorID>
      <errorWord>&lt;</errorWord>
      <group>L1_Format</group>
      <groupName>格式问题</groupName>
      <ability>L2_HalfPunc</ability>
      <abilityName>全半角检查</abilityName>
      <candidateList>
        <item>〈</item>
      </candidateList>
      <explain>文本全半角错误。</explain>
      <paraID>5568C946</paraID>
      <start>16</start>
      <end>17</end>
      <status>modified</status>
      <modifiedWord>〈</modifiedWord>
      <trackRevisions>false</trackRevisions>
    </reviewItem>
    <reviewItem>
      <errorID>35080a5e-36e5-4928-8dad-6b71f40c7ba7</errorID>
      <errorWord>&gt;的通知》</errorWord>
      <group>L1_Punc</group>
      <groupName>标点问题</groupName>
      <ability>L2_Punc</ability>
      <abilityName>标点符号检查</abilityName>
      <candidateList>
        <item>〉的通知》</item>
      </candidateList>
      <explain/>
      <paraID>5568C946</paraID>
      <start>25</start>
      <end>30</end>
      <status>modified</status>
      <modifiedWord>〉的通知》</modifiedWord>
      <trackRevisions>false</trackRevisions>
    </reviewItem>
    <reviewItem>
      <errorID>c32b16d1-43ea-4baa-804b-7f828e97da58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69CCEE1B</paraID>
      <start>48</start>
      <end>49</end>
      <status>ignored</status>
      <modifiedWord/>
      <trackRevisions>false</trackRevisions>
    </reviewItem>
    <reviewItem>
      <errorID>1dce1b7d-73be-4e5a-8e0d-aa8ad16dd3aa</errorID>
      <errorWord>:</errorWord>
      <group>L1_Format</group>
      <groupName>格式问题</groupName>
      <ability>L2_HalfPunc</ability>
      <abilityName>全半角检查</abilityName>
      <candidateList>
        <item>：</item>
      </candidateList>
      <explain>文本全半角错误。</explain>
      <paraID>70038F52</paraID>
      <start>20</start>
      <end>21</end>
      <status>modified</status>
      <modifiedWord>：</modifiedWord>
      <trackRevisions>false</trackRevisions>
    </reviewItem>
    <reviewItem>
      <errorID>f3292cdf-2677-460c-802b-534ad99af0cd</errorID>
      <errorWord>法律、法规</errorWord>
      <group>L1_Word</group>
      <groupName>字词问题</groupName>
      <ability>L2_Typo</ability>
      <abilityName>字词错误</abilityName>
      <candidateList>
        <item>法律法规</item>
      </candidateList>
      <explain/>
      <paraID>79729ECE</paraID>
      <start>45</start>
      <end>50</end>
      <status>ignored</status>
      <modifiedWord/>
      <trackRevisions>false</trackRevisions>
    </reviewItem>
    <reviewItem>
      <errorID>38122a86-a52e-478b-9735-7da7b0d9efae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603DCCE1</paraID>
      <start>0</start>
      <end>2</end>
      <status>ignored</status>
      <modifiedWord/>
      <trackRevisions>false</trackRevisions>
    </reviewItem>
    <reviewItem>
      <errorID>bedd62d8-86ef-4a54-92fc-989787ada01b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51ADCF24</paraID>
      <start>0</start>
      <end>2</end>
      <status>ignored</status>
      <modifiedWord/>
      <trackRevisions>false</trackRevisions>
    </reviewItem>
    <reviewItem>
      <errorID>833ae952-a77b-4422-a0b0-5be84c72f501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2D9BA947</paraID>
      <start>0</start>
      <end>2</end>
      <status>ignored</status>
      <modifiedWord/>
      <trackRevisions>false</trackRevisions>
    </reviewItem>
    <reviewItem>
      <errorID>f8e1d3c3-e585-4931-83d1-0a621d24986c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2602073E</paraID>
      <start>0</start>
      <end>2</end>
      <status>ignored</status>
      <modifiedWord/>
      <trackRevisions>false</trackRevisions>
    </reviewItem>
    <reviewItem>
      <errorID>f121b2d8-5b27-48ae-81a3-b4f8044f6423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6E3B5702</paraID>
      <start>0</start>
      <end>2</end>
      <status>ignored</status>
      <modifiedWord/>
      <trackRevisions>false</trackRevisions>
    </reviewItem>
    <reviewItem>
      <errorID>ddb93c75-dab9-4de2-a1e1-6c1e916ad92d</errorID>
      <errorWord>方</errorWord>
      <group>L1_Word</group>
      <groupName>字词问题</groupName>
      <ability>L2_Typo</ability>
      <abilityName>字词错误</abilityName>
      <candidateList>
        <item>方式</item>
      </candidateList>
      <explain/>
      <paraID>6E3B5702</paraID>
      <start>12</start>
      <end>14</end>
      <status>modified</status>
      <modifiedWord>方式</modifiedWord>
      <trackRevisions>false</trackRevisions>
    </reviewItem>
    <reviewItem>
      <errorID>cbff0bc9-1e29-4485-81ed-a176e18d449a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2E85D79E</paraID>
      <start>0</start>
      <end>2</end>
      <status>ignored</status>
      <modifiedWord/>
      <trackRevisions>false</trackRevisions>
    </reviewItem>
    <reviewItem>
      <errorID>b2e29515-5eb7-4a3c-8732-bb4d9d7162e4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1CA31695</paraID>
      <start>0</start>
      <end>2</end>
      <status>ignored</status>
      <modifiedWord/>
      <trackRevisions>false</trackRevisions>
    </reviewItem>
    <reviewItem>
      <errorID>a5dbb4bf-98a3-4716-b235-02d3dcfa9b40</errorID>
      <errorWord>[2024]</errorWord>
      <group>L1_Punc</group>
      <groupName>标点问题</groupName>
      <ability>L2_Punc</ability>
      <abilityName>标点符号检查</abilityName>
      <candidateList>
        <item>〔2024〕</item>
      </candidateList>
      <explain/>
      <paraID>163D46C2</paraID>
      <start>241</start>
      <end>247</end>
      <status>modified</status>
      <modifiedWord>〔2024〕</modifiedWord>
      <trackRevisions>false</trackRevisions>
    </reviewItem>
    <reviewItem>
      <errorID>c3f04ecb-c775-40a8-b01b-bb145fdea1fd</errorID>
      <errorWord>护</errorWord>
      <group>L1_Word</group>
      <groupName>字词问题</groupName>
      <ability>L2_Typo</ability>
      <abilityName>字词错误</abilityName>
      <candidateList>
        <item>护地</item>
      </candidateList>
      <explain/>
      <paraID>52ACB481</paraID>
      <start>46</start>
      <end>47</end>
      <status>ignored</status>
      <modifiedWord/>
      <trackRevisions>false</trackRevisions>
    </reviewItem>
    <reviewItem>
      <errorID>c3a20338-3cdb-4734-9736-f4eb67826eab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64008698</paraID>
      <start>1</start>
      <end>2</end>
      <status>ignored</status>
      <modifiedWord/>
      <trackRevisions>false</trackRevisions>
    </reviewItem>
    <reviewItem>
      <errorID>11753674-ff12-4acc-92d3-934b944156c3</errorID>
      <errorWord>；</errorWord>
      <group>L1_Format</group>
      <groupName>格式问题</groupName>
      <ability>L2_HalfPunc</ability>
      <abilityName>全半角检查</abilityName>
      <candidateList>
        <item>; </item>
      </candidateList>
      <explain>文本全半角错误。</explain>
      <paraID>64008698</paraID>
      <start>9</start>
      <end>11</end>
      <status>modified</status>
      <modifiedWord>; </modifiedWord>
      <trackRevisions>false</trackRevisions>
    </reviewItem>
    <reviewItem>
      <errorID>6c53c633-1ab2-4320-9ac9-6c173e1b9169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48BF71C9</paraID>
      <start>0</start>
      <end>2</end>
      <status>ignored</status>
      <modifiedWord/>
      <trackRevisions>false</trackRevisions>
    </reviewItem>
    <reviewItem>
      <errorID>e3ba501e-31e3-43b5-a68f-17884a61f4d0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5079419D</paraID>
      <start>0</start>
      <end>2</end>
      <status>ignored</status>
      <modifiedWord/>
      <trackRevisions>false</trackRevisions>
    </reviewItem>
    <reviewItem>
      <errorID>5b41dbf8-7663-48b4-a6ba-b9bd890d8fda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1ECCD2ED</paraID>
      <start>0</start>
      <end>2</end>
      <status>ignored</status>
      <modifiedWord/>
      <trackRevisions>false</trackRevisions>
    </reviewItem>
    <reviewItem>
      <errorID>74038ac6-7e1b-4400-9f0c-5c38be490d47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33514C31</paraID>
      <start>0</start>
      <end>2</end>
      <status>ignored</status>
      <modifiedWord/>
      <trackRevisions>false</trackRevisions>
    </reviewItem>
    <reviewItem>
      <errorID>56f67f3c-9ee8-4eb6-9e74-27742b863e9e</errorID>
      <errorWord>配</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24D2347E</paraID>
      <start>71</start>
      <end>73</end>
      <status>modified</status>
      <modifiedWord>配备</modifiedWord>
      <trackRevisions>false</trackRevisions>
    </reviewItem>
    <reviewItem>
      <errorID>0ef0fe34-cea4-43a4-833e-139563053ddd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1D58927F</paraID>
      <start>0</start>
      <end>2</end>
      <status>ignored</status>
      <modifiedWord/>
      <trackRevisions>false</trackRevisions>
    </reviewItem>
    <reviewItem>
      <errorID>7c6cfe8f-dee8-432c-967e-cfd7c6bf0a93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1DEE8D00</paraID>
      <start>0</start>
      <end>2</end>
      <status>ignored</status>
      <modifiedWord/>
      <trackRevisions>false</trackRevisions>
    </reviewItem>
    <reviewItem>
      <errorID>a98002f9-1785-4df9-ade4-267e1e18d91e</errorID>
      <errorWord>液位监测仪</errorWord>
      <group>L1_Word</group>
      <groupName>字词问题</groupName>
      <ability>L2_Typo</ability>
      <abilityName>字词错误</abilityName>
      <candidateList>
        <item>液位检测仪</item>
      </candidateList>
      <explain/>
      <paraID>4A15E3D1</paraID>
      <start>71</start>
      <end>76</end>
      <status>ignored</status>
      <modifiedWord/>
      <trackRevisions>false</trackRevisions>
    </reviewItem>
    <reviewItem>
      <errorID>2680c923-e66c-4cdb-b453-6accaec8ae10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47F5C482</paraID>
      <start>0</start>
      <end>2</end>
      <status>ignored</status>
      <modifiedWord/>
      <trackRevisions>false</trackRevisions>
    </reviewItem>
    <reviewItem>
      <errorID>bb03ebb3-f442-42eb-922d-aeac47ffa266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357E137E</paraID>
      <start>0</start>
      <end>2</end>
      <status>ignored</status>
      <modifiedWord/>
      <trackRevisions>false</trackRevisions>
    </reviewItem>
    <reviewItem>
      <errorID>711859dc-13c4-4359-ba60-93973cc70c41</errorID>
      <errorWord>导除器</errorWord>
      <group>L1_Word</group>
      <groupName>字词问题</groupName>
      <ability>L2_Typo</ability>
      <abilityName>字词错误</abilityName>
      <candidateList>
        <item>消除器</item>
      </candidateList>
      <explain/>
      <paraID>3A4251EB</paraID>
      <start>28</start>
      <end>31</end>
      <status>ignored</status>
      <modifiedWord/>
      <trackRevisions>false</trackRevisions>
    </reviewItem>
    <reviewItem>
      <errorID>ce22f084-ff7d-4304-a05b-dd5cdf50e39a</errorID>
      <errorWord>液位监测仪</errorWord>
      <group>L1_Word</group>
      <groupName>字词问题</groupName>
      <ability>L2_Typo</ability>
      <abilityName>字词错误</abilityName>
      <candidateList>
        <item>液位检测仪</item>
      </candidateList>
      <explain/>
      <paraID>40662CE9</paraID>
      <start>4</start>
      <end>9</end>
      <status>ignored</status>
      <modifiedWord/>
      <trackRevisions>false</trackRevisions>
    </reviewItem>
    <reviewItem>
      <errorID>19c9f359-6b87-48e8-a021-a7c8a2c982da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3862236A</paraID>
      <start>18</start>
      <end>20</end>
      <status>modified</status>
      <modifiedWord>”“</modifiedWord>
      <trackRevisions>false</trackRevisions>
    </reviewItem>
    <reviewItem>
      <errorID>34232ca9-933c-44da-bac3-e27f59f7ed15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6180553A</paraID>
      <start>0</start>
      <end>2</end>
      <status>ignored</status>
      <modifiedWord/>
      <trackRevisions>false</trackRevisions>
    </reviewItem>
    <reviewItem>
      <errorID>afbc72e1-37d1-4f90-8218-2be333d711fb</errorID>
      <errorWord>制</errorWord>
      <group>L1_Word</group>
      <groupName>字词问题</groupName>
      <ability>L2_Typo</ability>
      <abilityName>字词错误</abilityName>
      <candidateList>
        <item>制度</item>
      </candidateList>
      <explain/>
      <paraID> E8E3F5B</paraID>
      <start>177</start>
      <end>179</end>
      <status>modified</status>
      <modifiedWord>制度</modifiedWord>
      <trackRevisions>false</trackRevisions>
    </reviewItem>
    <reviewItem>
      <errorID>f2ddb0eb-7f78-4e66-8b6a-4200fc6ebdf9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5A179EE8</paraID>
      <start>5</start>
      <end>10</end>
      <status>ignored</status>
      <modifiedWord/>
      <trackRevisions>false</trackRevisions>
    </reviewItem>
    <reviewItem>
      <errorID>23a3a0ed-7222-462e-aa3f-6f10dbaa2bf5</errorID>
      <errorWord>，</errorWord>
      <group>L1_Word</group>
      <groupName>字词问题</groupName>
      <ability>L2_Typo</ability>
      <abilityName>字词错误</abilityName>
      <candidateList>
        <item>，对</item>
      </candidateList>
      <explain/>
      <paraID>3F55B720</paraID>
      <start>15</start>
      <end>17</end>
      <status>modified</status>
      <modifiedWord>，对</modifiedWord>
      <trackRevisions>false</trackRevisions>
    </reviewItem>
    <reviewItem>
      <errorID>f710e38d-8f82-4c36-aeb0-e5da1a432979</errorID>
      <errorWord>～</errorWord>
      <group>L1_Format</group>
      <groupName>格式问题</groupName>
      <ability>L2_HalfPunc</ability>
      <abilityName>全半角检查</abilityName>
      <candidateList>
        <item>~</item>
      </candidateList>
      <explain>文本全半角错误。</explain>
      <paraID> 6B5A141</paraID>
      <start>3</start>
      <end>4</end>
      <status>modified</status>
      <modifiedWord>~</modifiedWord>
      <trackRevisions>false</trackRevisions>
    </reviewItem>
    <reviewItem>
      <errorID>66c23ab9-2333-42ca-9fc4-937ec37842ae</errorID>
      <errorWord>～</errorWord>
      <group>L1_Format</group>
      <groupName>格式问题</groupName>
      <ability>L2_HalfPunc</ability>
      <abilityName>全半角检查</abilityName>
      <candidateList>
        <item>~</item>
      </candidateList>
      <explain>文本全半角错误。</explain>
      <paraID>136C1CDB</paraID>
      <start>2</start>
      <end>3</end>
      <status>modified</status>
      <modifiedWord>~</modifiedWord>
      <trackRevisions>false</trackRevisions>
    </reviewItem>
    <reviewItem>
      <errorID>e5ec2f70-e141-453d-baff-5bf520dc26ef</errorID>
      <errorWord>～</errorWord>
      <group>L1_Format</group>
      <groupName>格式问题</groupName>
      <ability>L2_HalfPunc</ability>
      <abilityName>全半角检查</abilityName>
      <candidateList>
        <item>~</item>
      </candidateList>
      <explain>文本全半角错误。</explain>
      <paraID>35F535A1</paraID>
      <start>3</start>
      <end>4</end>
      <status>modified</status>
      <modifiedWord>~</modifiedWord>
      <trackRevisions>false</trackRevisions>
    </reviewItem>
    <reviewItem>
      <errorID>f8f3b0b4-f005-4b1a-8197-7c619c18674c</errorID>
      <errorWord>,</errorWord>
      <group>L1_Format</group>
      <groupName>格式问题</groupName>
      <ability>L2_HalfPunc</ability>
      <abilityName>全半角检查</abilityName>
      <candidateList>
        <item>，</item>
      </candidateList>
      <explain>文本全半角错误。</explain>
      <paraID>16C547D2</paraID>
      <start>4</start>
      <end>5</end>
      <status>modified</status>
      <modifiedWord>，</modifiedWord>
      <trackRevisions>false</trackRevisions>
    </reviewItem>
    <reviewItem>
      <errorID>a639c4cc-6fa7-433b-91a5-acb7713cfa04</errorID>
      <errorWord>,</errorWord>
      <group>L1_Format</group>
      <groupName>格式问题</groupName>
      <ability>L2_HalfPunc</ability>
      <abilityName>全半角检查</abilityName>
      <candidateList>
        <item>，</item>
      </candidateList>
      <explain>文本全半角错误。</explain>
      <paraID> 7ACF244</paraID>
      <start>8</start>
      <end>9</end>
      <status>modified</status>
      <modifiedWord>，</modifiedWord>
      <trackRevisions>false</trackRevisions>
    </reviewItem>
    <reviewItem>
      <errorID>cc2b2d0e-a474-49b9-be56-32b75d269292</errorID>
      <errorWord>,</errorWord>
      <group>L1_Format</group>
      <groupName>格式问题</groupName>
      <ability>L2_HalfPunc</ability>
      <abilityName>全半角检查</abilityName>
      <candidateList>
        <item>，</item>
      </candidateList>
      <explain>文本全半角错误。</explain>
      <paraID>72DDF436</paraID>
      <start>3</start>
      <end>4</end>
      <status>modified</status>
      <modifiedWord>，</modifiedWord>
      <trackRevisions>false</trackRevisions>
    </reviewItem>
    <reviewItem>
      <errorID>4c3b76ab-9a78-4a14-8ab1-3029692a5a79</errorID>
      <errorWord>,</errorWord>
      <group>L1_Format</group>
      <groupName>格式问题</groupName>
      <ability>L2_HalfPunc</ability>
      <abilityName>全半角检查</abilityName>
      <candidateList>
        <item>，</item>
      </candidateList>
      <explain>文本全半角错误。</explain>
      <paraID> 23EE4C0</paraID>
      <start>4</start>
      <end>5</end>
      <status>modified</status>
      <modifiedWord>，</modifiedWord>
      <trackRevisions>false</trackRevisions>
    </reviewItem>
    <reviewItem>
      <errorID>d871d303-1a69-4cd3-a70d-27342d164dd4</errorID>
      <errorWord>-</errorWord>
      <group>L1_Format</group>
      <groupName>格式问题</groupName>
      <ability>L2_HalfPunc</ability>
      <abilityName>全半角检查</abilityName>
      <candidateList>
        <item>－</item>
      </candidateList>
      <explain>文本全半角错误。</explain>
      <paraID>564BCE68</paraID>
      <start>6</start>
      <end>7</end>
      <status>modified</status>
      <modifiedWord>－</modifiedWord>
      <trackRevisions>false</trackRevisions>
    </reviewItem>
    <reviewItem>
      <errorID>e22abccb-2715-4319-a2fc-2707a83d7d8e</errorID>
      <errorWord>,</errorWord>
      <group>L1_Format</group>
      <groupName>格式问题</groupName>
      <ability>L2_HalfPunc</ability>
      <abilityName>全半角检查</abilityName>
      <candidateList>
        <item>，</item>
      </candidateList>
      <explain>文本全半角错误。</explain>
      <paraID>564BCE68</paraID>
      <start>11</start>
      <end>12</end>
      <status>modified</status>
      <modifiedWord>，</modifiedWord>
      <trackRevisions>false</trackRevisions>
    </reviewItem>
    <reviewItem>
      <errorID>68f5c318-2614-4a68-b6e5-6fc81f77fbd8</errorID>
      <errorWord>-</errorWord>
      <group>L1_Format</group>
      <groupName>格式问题</groupName>
      <ability>L2_HalfPunc</ability>
      <abilityName>全半角检查</abilityName>
      <candidateList>
        <item>－</item>
      </candidateList>
      <explain>文本全半角错误。</explain>
      <paraID>1E138444</paraID>
      <start>6</start>
      <end>7</end>
      <status>modified</status>
      <modifiedWord>－</modifiedWord>
      <trackRevisions>false</trackRevisions>
    </reviewItem>
    <reviewItem>
      <errorID>bc7d554f-d22d-486c-8dcb-3e99acb4342a</errorID>
      <errorWord>,</errorWord>
      <group>L1_Format</group>
      <groupName>格式问题</groupName>
      <ability>L2_HalfPunc</ability>
      <abilityName>全半角检查</abilityName>
      <candidateList>
        <item>，</item>
      </candidateList>
      <explain>文本全半角错误。</explain>
      <paraID>1E138444</paraID>
      <start>11</start>
      <end>12</end>
      <status>modified</status>
      <modifiedWord>，</modifiedWord>
      <trackRevisions>false</trackRevisions>
    </reviewItem>
    <reviewItem>
      <errorID>3d09680f-e9fd-4679-9b2a-0b7b94f4e8a6</errorID>
      <errorWord>～</errorWord>
      <group>L1_Format</group>
      <groupName>格式问题</groupName>
      <ability>L2_HalfPunc</ability>
      <abilityName>全半角检查</abilityName>
      <candidateList>
        <item>~</item>
      </candidateList>
      <explain>文本全半角错误。</explain>
      <paraID>5EB75CCD</paraID>
      <start>3</start>
      <end>4</end>
      <status>modified</status>
      <modifiedWord>~</modifiedWord>
      <trackRevisions>false</trackRevisions>
    </reviewItem>
    <reviewItem>
      <errorID>9c9b6755-74dd-475f-88b2-21c145b6443f</errorID>
      <errorWord>,</errorWord>
      <group>L1_Format</group>
      <groupName>格式问题</groupName>
      <ability>L2_HalfPunc</ability>
      <abilityName>全半角检查</abilityName>
      <candidateList>
        <item>，</item>
      </candidateList>
      <explain>文本全半角错误。</explain>
      <paraID>64B08516</paraID>
      <start>4</start>
      <end>5</end>
      <status>modified</status>
      <modifiedWord>，</modifiedWord>
      <trackRevisions>false</trackRevisions>
    </reviewItem>
    <reviewItem>
      <errorID>74dcb803-e198-4778-af7d-bb75a6e10935</errorID>
      <errorWord>；</errorWord>
      <group>L1_Format</group>
      <groupName>格式问题</groupName>
      <ability>L2_HalfPunc</ability>
      <abilityName>全半角检查</abilityName>
      <candidateList>
        <item>; </item>
      </candidateList>
      <explain>文本全半角错误。</explain>
      <paraID>709FFD8A</paraID>
      <start>8</start>
      <end>10</end>
      <status>modified</status>
      <modifiedWord>; </modifiedWord>
      <trackRevisions>false</trackRevisions>
    </reviewItem>
    <reviewItem>
      <errorID>937027f9-a1e3-4b10-bc6d-b91b697f0f20</errorID>
      <errorWord>饱和蒸气</errorWord>
      <group>L1_Word</group>
      <groupName>字词问题</groupName>
      <ability>L2_Typo</ability>
      <abilityName>字词错误</abilityName>
      <candidateList>
        <item>饱和蒸汽</item>
      </candidateList>
      <explain/>
      <paraID> CA20B72</paraID>
      <start>0</start>
      <end>4</end>
      <status>modified</status>
      <modifiedWord>饱和蒸汽</modifiedWord>
      <trackRevisions>false</trackRevisions>
    </reviewItem>
    <reviewItem>
      <errorID>e786e326-9cb5-4029-a689-c03a691e066c</errorID>
      <errorWord>走道</errorWord>
      <group>L1_Word</group>
      <groupName>字词问题</groupName>
      <ability>L2_Typo</ability>
      <abilityName>字词错误</abilityName>
      <candidateList>
        <item>通道</item>
      </candidateList>
      <explain>存在字形相近字词的误用。</explain>
      <paraID>7D808FE3</paraID>
      <start>110</start>
      <end>112</end>
      <status>modified</status>
      <modifiedWord>通道</modifiedWord>
      <trackRevisions>false</trackRevisions>
    </reviewItem>
    <reviewItem>
      <errorID>89890d74-27e0-49b0-abba-728dc8097955</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40609A23</paraID>
      <start>108</start>
      <end>111</end>
      <status>modified</status>
      <modifiedWord>其他不</modifiedWord>
      <trackRevisions>false</trackRevisions>
    </reviewItem>
    <reviewItem>
      <errorID>19263fa6-f23e-4965-9d56-1b99de6dfd6f</errorID>
      <errorWord>有粘性的</errorWord>
      <group>L1_Word</group>
      <groupName>字词问题</groupName>
      <ability>L2_Alias</ability>
      <abilityName>也作/曾用词</abilityName>
      <candidateList>
        <item>有黏性的</item>
      </candidateList>
      <explain>词汇[有粘性的]为不规范表述或旧称，其规范书面表述为[有黏性的]。</explain>
      <paraID> 12450A0</paraID>
      <start>7</start>
      <end>11</end>
      <status>ignored</status>
      <modifiedWord/>
      <trackRevisions>false</trackRevisions>
    </reviewItem>
    <reviewItem>
      <errorID>2583dcf1-7087-4880-a5e6-d7904c59eaab</errorID>
      <errorWord>饱和蒸气</errorWord>
      <group>L1_Word</group>
      <groupName>字词问题</groupName>
      <ability>L2_Typo</ability>
      <abilityName>字词错误</abilityName>
      <candidateList>
        <item>饱和蒸汽</item>
      </candidateList>
      <explain/>
      <paraID>3478BC79</paraID>
      <start>0</start>
      <end>4</end>
      <status>modified</status>
      <modifiedWord>饱和蒸汽</modifiedWord>
      <trackRevisions>false</trackRevisions>
    </reviewItem>
    <reviewItem>
      <errorID>d32cd7a1-4396-425f-9fcb-bedd45963da9</errorID>
      <errorWord>建规</errorWord>
      <group>L1_Word</group>
      <groupName>字词问题</groupName>
      <ability>L2_Typo</ability>
      <abilityName>字词错误</abilityName>
      <candidateList>
        <item>建筑</item>
      </candidateList>
      <explain/>
      <paraID>30AD737A</paraID>
      <start>0</start>
      <end>2</end>
      <status>modified</status>
      <modifiedWord>建筑</modifiedWord>
      <trackRevisions>false</trackRevisions>
    </reviewItem>
    <reviewItem>
      <errorID>4a4df4c6-93bb-4c1e-8f57-e2ab142f2f41</errorID>
      <errorWord>0.6%-7.5%</errorWord>
      <group>L1_Knowledge</group>
      <groupName>知识性问题</groupName>
      <ability>L2_Knowledge</ability>
      <abilityName>其他知识</abilityName>
      <candidateList>
        <item>0.6%—7.5%</item>
      </candidateList>
      <explain>1. “0.6%-7.5%”中的单位“%”仅出现在后一个数字上，容易引起歧义；根据《现代汉语标点符号数字用法规范手册》，数字表示范围两边需要使用统一的格式。2. 根据标点国标 4.13 中的规则，数字、时间或地域连接符应使用（视觉上更长的）“—”或“～”。</explain>
      <paraID>390DA1D6</paraID>
      <start>9</start>
      <end>18</end>
      <status>ignored</status>
      <modifiedWord/>
      <trackRevisions>false</trackRevisions>
    </reviewItem>
    <reviewItem>
      <errorID>d349ef08-3fe3-4a9d-8ed3-df080ae890c0</errorID>
      <errorWord>性肺炎</errorWord>
      <group>L1_Word</group>
      <groupName>字词问题</groupName>
      <ability>L2_Typo</ability>
      <abilityName>字词错误</abilityName>
      <candidateList>
        <item>肺炎</item>
      </candidateList>
      <explain/>
      <paraID>6D2830FB</paraID>
      <start>37</start>
      <end>40</end>
      <status>ignored</status>
      <modifiedWord/>
      <trackRevisions>false</trackRevisions>
    </reviewItem>
    <reviewItem>
      <errorID>1d2cefe0-131e-4d7b-9e57-e912fe95d461</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6D2830FB</paraID>
      <start>62</start>
      <end>65</end>
      <status>ignored</status>
      <modifiedWord/>
      <trackRevisions>false</trackRevisions>
    </reviewItem>
    <reviewItem>
      <errorID>6b20edde-0c44-496b-815a-0f45b5b8b23f</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4BA00C26</paraID>
      <start>85</start>
      <end>88</end>
      <status>ignored</status>
      <modifiedWord/>
      <trackRevisions>false</trackRevisions>
    </reviewItem>
    <reviewItem>
      <errorID>16034b44-d524-488b-879b-5199c4ca7dfd</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4BA00C26</paraID>
      <start>138</start>
      <end>141</end>
      <status>ignored</status>
      <modifiedWord/>
      <trackRevisions>false</trackRevisions>
    </reviewItem>
    <reviewItem>
      <errorID>480779d4-cac7-4b5a-b320-d010443984a3</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 DF73405</paraID>
      <start>25</start>
      <end>28</end>
      <status>ignored</status>
      <modifiedWord/>
      <trackRevisions>false</trackRevisions>
    </reviewItem>
    <reviewItem>
      <errorID>7d5db603-4cb4-4c62-961a-f1358431cb91</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1CF6B57C</paraID>
      <start>46</start>
      <end>49</end>
      <status>ignored</status>
      <modifiedWord/>
      <trackRevisions>false</trackRevisions>
    </reviewItem>
    <reviewItem>
      <errorID>76d5dbcb-e86e-4261-8051-3891b31e6f6c</errorID>
      <errorWord>左侧位</errorWord>
      <group>L1_Word</group>
      <groupName>字词问题</groupName>
      <ability>L2_Typo</ability>
      <abilityName>字词错误</abilityName>
      <candidateList>
        <item>左侧</item>
      </candidateList>
      <explain/>
      <paraID>3EF6CBC7</paraID>
      <start>21</start>
      <end>24</end>
      <status>ignored</status>
      <modifiedWord/>
      <trackRevisions>false</trackRevisions>
    </reviewItem>
    <reviewItem>
      <errorID>0889bc9c-5283-4263-ab5c-0c7215240827</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2B45C8FD</paraID>
      <start>52</start>
      <end>55</end>
      <status>modified</status>
      <modifiedWord>其他不</modifiedWord>
      <trackRevisions>false</trackRevisions>
    </reviewItem>
    <reviewItem>
      <errorID>55c08f58-4663-472c-9bfb-8851d646cf12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376DE7A8</paraID>
      <start>0</start>
      <end>2</end>
      <status>ignored</status>
      <modifiedWord/>
      <trackRevisions>false</trackRevisions>
    </reviewItem>
    <reviewItem>
      <errorID>61afa41e-a930-4e05-8428-845f273358a1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434120BB</paraID>
      <start>0</start>
      <end>2</end>
      <status>ignored</status>
      <modifiedWord/>
      <trackRevisions>false</trackRevisions>
    </reviewItem>
    <reviewItem>
      <errorID>9446fc89-6aa7-488b-866c-1de10c51ecc3</errorID>
      <errorWord>辩识</errorWord>
      <group>L1_Word</group>
      <groupName>字词问题</groupName>
      <ability>L2_Typo</ability>
      <abilityName>字词错误</abilityName>
      <candidateList>
        <item>辨识</item>
      </candidateList>
      <explain>〈动〉辨认；识别：～足迹｜烟雨蒙蒙，远处景物～不清。</explain>
      <paraID>434120BB</paraID>
      <start>8</start>
      <end>10</end>
      <status>ignored</status>
      <modifiedWord/>
      <trackRevisions>false</trackRevisions>
    </reviewItem>
    <reviewItem>
      <errorID>2ed04167-f977-408f-95c4-6cba7f99c4da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641EEE9D</paraID>
      <start>0</start>
      <end>2</end>
      <status>ignored</status>
      <modifiedWord/>
      <trackRevisions>false</trackRevisions>
    </reviewItem>
    <reviewItem>
      <errorID>7ae9e864-660a-4a01-8cd9-d5f13f0ec241</errorID>
      <errorWord>辩识</errorWord>
      <group>L1_Word</group>
      <groupName>字词问题</groupName>
      <ability>L2_Typo</ability>
      <abilityName>字词错误</abilityName>
      <candidateList>
        <item>辨识</item>
      </candidateList>
      <explain>〈动〉辨认；识别：～足迹｜烟雨蒙蒙，远处景物～不清。</explain>
      <paraID>641EEE9D</paraID>
      <start>10</start>
      <end>12</end>
      <status>ignored</status>
      <modifiedWord/>
      <trackRevisions>false</trackRevisions>
    </reviewItem>
    <reviewItem>
      <errorID>c9aa81d2-b95b-4187-beb6-8ad0dfcbe6bc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7763A1BA</paraID>
      <start>0</start>
      <end>2</end>
      <status>ignored</status>
      <modifiedWord/>
      <trackRevisions>false</trackRevisions>
    </reviewItem>
    <reviewItem>
      <errorID>4ac04e9f-c8bb-4abd-a8bd-ef240ad23fd9</errorID>
      <errorWord>辩识</errorWord>
      <group>L1_Word</group>
      <groupName>字词问题</groupName>
      <ability>L2_Typo</ability>
      <abilityName>字词错误</abilityName>
      <candidateList>
        <item>辨识</item>
      </candidateList>
      <explain>〈动〉辨认；识别：～足迹｜烟雨蒙蒙，远处景物～不清。</explain>
      <paraID>7763A1BA</paraID>
      <start>7</start>
      <end>9</end>
      <status>ignored</status>
      <modifiedWord/>
      <trackRevisions>false</trackRevisions>
    </reviewItem>
    <reviewItem>
      <errorID>30a18c3e-0b1b-4fb3-88eb-003f5861940a</errorID>
      <errorWord>监控化学品管理条例</errorWord>
      <group>L1_Knowledge</group>
      <groupName>知识性问题</groupName>
      <ability>L2_Knowledge</ability>
      <abilityName>其他知识</abilityName>
      <candidateList>
        <item>中华人民共和国监控化学品管理条例</item>
      </candidateList>
      <explain>当前法律法规名称使用简称，请注意是否应当使用全称。</explain>
      <paraID>54D0FADC</paraID>
      <start>3</start>
      <end>12</end>
      <status>ignored</status>
      <modifiedWord/>
      <trackRevisions>false</trackRevisions>
    </reviewItem>
    <reviewItem>
      <errorID>266c6ced-f2b5-4a29-9be3-7de37e80f8d1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5CA90272</paraID>
      <start>0</start>
      <end>2</end>
      <status>ignored</status>
      <modifiedWord/>
      <trackRevisions>false</trackRevisions>
    </reviewItem>
    <reviewItem>
      <errorID>ff394d01-da68-486c-9d05-829e799819fd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27F2F4A3</paraID>
      <start>0</start>
      <end>2</end>
      <status>ignored</status>
      <modifiedWord/>
      <trackRevisions>false</trackRevisions>
    </reviewItem>
    <reviewItem>
      <errorID>a16887b6-92ba-4fd2-9740-3f115033bf7e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21A8D824</paraID>
      <start>0</start>
      <end>2</end>
      <status>ignored</status>
      <modifiedWord/>
      <trackRevisions>false</trackRevisions>
    </reviewItem>
    <reviewItem>
      <errorID>122d6586-b964-438f-943d-2df5f7cf568f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22214E8F</paraID>
      <start>0</start>
      <end>2</end>
      <status>ignored</status>
      <modifiedWord/>
      <trackRevisions>false</trackRevisions>
    </reviewItem>
    <reviewItem>
      <errorID>bbc151d3-ce05-4466-8f00-9da20d36c652</errorID>
      <errorWord>首</errorWord>
      <group>L1_Word</group>
      <groupName>字词问题</groupName>
      <ability>L2_Typo</ability>
      <abilityName>字词错误</abilityName>
      <candidateList>
        <item>首批</item>
      </candidateList>
      <explain/>
      <paraID>76471055</paraID>
      <start>83</start>
      <end>84</end>
      <status>ignored</status>
      <modifiedWord/>
      <trackRevisions>false</trackRevisions>
    </reviewItem>
    <reviewItem>
      <errorID>1ec6a0b3-8177-450b-90e3-e601cf943323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2F42BD6D</paraID>
      <start>0</start>
      <end>2</end>
      <status>ignored</status>
      <modifiedWord/>
      <trackRevisions>false</trackRevisions>
    </reviewItem>
    <reviewItem>
      <errorID>e1ef2e69-8caa-4f59-8c76-19bc079cf9b0</errorID>
      <errorWord>,</errorWord>
      <group>L1_Format</group>
      <groupName>格式问题</groupName>
      <ability>L2_HalfPunc</ability>
      <abilityName>全半角检查</abilityName>
      <candidateList>
        <item>，</item>
      </candidateList>
      <explain>文本全半角错误。</explain>
      <paraID>2F1D06E7</paraID>
      <start>4</start>
      <end>5</end>
      <status>modified</status>
      <modifiedWord>，</modifiedWord>
      <trackRevisions>false</trackRevisions>
    </reviewItem>
    <reviewItem>
      <errorID>df3d4910-12b9-4761-8a57-9fee1e9f0eb9</errorID>
      <errorWord>,</errorWord>
      <group>L1_Format</group>
      <groupName>格式问题</groupName>
      <ability>L2_HalfPunc</ability>
      <abilityName>全半角检查</abilityName>
      <candidateList>
        <item>，</item>
      </candidateList>
      <explain>文本全半角错误。</explain>
      <paraID>14D569C7</paraID>
      <start>8</start>
      <end>9</end>
      <status>modified</status>
      <modifiedWord>，</modifiedWord>
      <trackRevisions>false</trackRevisions>
    </reviewItem>
    <reviewItem>
      <errorID>1ad68545-1e66-45ce-88d7-802bd9080e98</errorID>
      <errorWord>,</errorWord>
      <group>L1_Format</group>
      <groupName>格式问题</groupName>
      <ability>L2_HalfPunc</ability>
      <abilityName>全半角检查</abilityName>
      <candidateList>
        <item>，</item>
      </candidateList>
      <explain>文本全半角错误。</explain>
      <paraID>67C96DB7</paraID>
      <start>3</start>
      <end>4</end>
      <status>modified</status>
      <modifiedWord>，</modifiedWord>
      <trackRevisions>false</trackRevisions>
    </reviewItem>
    <reviewItem>
      <errorID>0fe6be32-dec8-444d-85fe-7a45465c6576</errorID>
      <errorWord>,</errorWord>
      <group>L1_Format</group>
      <groupName>格式问题</groupName>
      <ability>L2_HalfPunc</ability>
      <abilityName>全半角检查</abilityName>
      <candidateList>
        <item>，</item>
      </candidateList>
      <explain>文本全半角错误。</explain>
      <paraID>5FFC3A42</paraID>
      <start>4</start>
      <end>5</end>
      <status>modified</status>
      <modifiedWord>，</modifiedWord>
      <trackRevisions>false</trackRevisions>
    </reviewItem>
    <reviewItem>
      <errorID>2b0b9d7c-bf31-4b23-acf3-8f0c5549dcc0</errorID>
      <errorWord>-</errorWord>
      <group>L1_Format</group>
      <groupName>格式问题</groupName>
      <ability>L2_HalfPunc</ability>
      <abilityName>全半角检查</abilityName>
      <candidateList>
        <item>－</item>
      </candidateList>
      <explain>文本全半角错误。</explain>
      <paraID>6D1E4754</paraID>
      <start>6</start>
      <end>7</end>
      <status>modified</status>
      <modifiedWord>－</modifiedWord>
      <trackRevisions>false</trackRevisions>
    </reviewItem>
    <reviewItem>
      <errorID>52039d24-3a40-4881-a3df-c57bcf7dc422</errorID>
      <errorWord>,</errorWord>
      <group>L1_Format</group>
      <groupName>格式问题</groupName>
      <ability>L2_HalfPunc</ability>
      <abilityName>全半角检查</abilityName>
      <candidateList>
        <item>，</item>
      </candidateList>
      <explain>文本全半角错误。</explain>
      <paraID>6D1E4754</paraID>
      <start>11</start>
      <end>12</end>
      <status>modified</status>
      <modifiedWord>，</modifiedWord>
      <trackRevisions>false</trackRevisions>
    </reviewItem>
    <reviewItem>
      <errorID>9709e4de-b1ca-4db4-ba9b-97f9ea63a5db</errorID>
      <errorWord>-</errorWord>
      <group>L1_Format</group>
      <groupName>格式问题</groupName>
      <ability>L2_HalfPunc</ability>
      <abilityName>全半角检查</abilityName>
      <candidateList>
        <item>－</item>
      </candidateList>
      <explain>文本全半角错误。</explain>
      <paraID>577D4B99</paraID>
      <start>6</start>
      <end>7</end>
      <status>modified</status>
      <modifiedWord>－</modifiedWord>
      <trackRevisions>false</trackRevisions>
    </reviewItem>
    <reviewItem>
      <errorID>51d9b57f-a6c0-425d-8f75-4b88f527e4d5</errorID>
      <errorWord>,</errorWord>
      <group>L1_Format</group>
      <groupName>格式问题</groupName>
      <ability>L2_HalfPunc</ability>
      <abilityName>全半角检查</abilityName>
      <candidateList>
        <item>，</item>
      </candidateList>
      <explain>文本全半角错误。</explain>
      <paraID>577D4B99</paraID>
      <start>11</start>
      <end>12</end>
      <status>modified</status>
      <modifiedWord>，</modifiedWord>
      <trackRevisions>false</trackRevisions>
    </reviewItem>
    <reviewItem>
      <errorID>1687d79d-94de-44f7-a766-0104681c28e0</errorID>
      <errorWord>,</errorWord>
      <group>L1_Format</group>
      <groupName>格式问题</groupName>
      <ability>L2_HalfPunc</ability>
      <abilityName>全半角检查</abilityName>
      <candidateList>
        <item>，</item>
      </candidateList>
      <explain>文本全半角错误。</explain>
      <paraID>450C999D</paraID>
      <start>4</start>
      <end>5</end>
      <status>modified</status>
      <modifiedWord>，</modifiedWord>
      <trackRevisions>false</trackRevisions>
    </reviewItem>
    <reviewItem>
      <errorID>6aa35c72-a247-47a3-b0a3-8f704a214f3d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1D93C38</paraID>
      <start>0</start>
      <end>2</end>
      <status>ignored</status>
      <modifiedWord/>
      <trackRevisions>false</trackRevisions>
    </reviewItem>
    <reviewItem>
      <errorID>413b0f2e-928e-44e1-8434-086bd0ed7436</errorID>
      <errorWord>,</errorWord>
      <group>L1_Format</group>
      <groupName>格式问题</groupName>
      <ability>L2_HalfPunc</ability>
      <abilityName>全半角检查</abilityName>
      <candidateList>
        <item>，</item>
      </candidateList>
      <explain>文本全半角错误。</explain>
      <paraID>2CCF9F21</paraID>
      <start>4</start>
      <end>5</end>
      <status>modified</status>
      <modifiedWord>，</modifiedWord>
      <trackRevisions>false</trackRevisions>
    </reviewItem>
    <reviewItem>
      <errorID>f61aaa82-9594-475c-af1a-a629d085b352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7C333A02</paraID>
      <start>0</start>
      <end>2</end>
      <status>ignored</status>
      <modifiedWord/>
      <trackRevisions>false</trackRevisions>
    </reviewItem>
    <reviewItem>
      <errorID>86e78012-df4c-472d-94bb-2ff2b09b2814</errorID>
      <errorWord>分分</errorWord>
      <group>L1_Word</group>
      <groupName>字词问题</groupName>
      <ability>L2_Typo</ability>
      <abilityName>字词错误</abilityName>
      <candidateList>
        <item>分</item>
      </candidateList>
      <explain/>
      <paraID>536E0944</paraID>
      <start>5</start>
      <end>6</end>
      <status>modified</status>
      <modifiedWord>分</modifiedWord>
      <trackRevisions>false</trackRevisions>
    </reviewItem>
    <reviewItem>
      <errorID>8fc21f93-9e82-4ab6-a926-5f07c54ea737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73D85157</paraID>
      <start>0</start>
      <end>2</end>
      <status>ignored</status>
      <modifiedWord/>
      <trackRevisions>false</trackRevisions>
    </reviewItem>
    <reviewItem>
      <errorID>fabe043c-b891-4362-829c-9cb4e0b9f23a</errorID>
      <errorWord>各类</errorWord>
      <group>L1_Word</group>
      <groupName>字词问题</groupName>
      <ability>L2_Typo</ability>
      <abilityName>字词错误</abilityName>
      <candidateList>
        <item>种类</item>
      </candidateList>
      <explain/>
      <paraID>2AACE357</paraID>
      <start>101</start>
      <end>103</end>
      <status>modified</status>
      <modifiedWord>种类</modifiedWord>
      <trackRevisions>false</trackRevisions>
    </reviewItem>
    <reviewItem>
      <errorID>a75f7d9e-2f06-4041-965a-b3383a1d4eef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39E88E4B</paraID>
      <start>0</start>
      <end>2</end>
      <status>ignored</status>
      <modifiedWord/>
      <trackRevisions>false</trackRevisions>
    </reviewItem>
    <reviewItem>
      <errorID>80d16185-43a5-4a16-9f30-c032e13ed100</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25F523E8</paraID>
      <start>93</start>
      <end>96</end>
      <status>ignored</status>
      <modifiedWord/>
      <trackRevisions>false</trackRevisions>
    </reviewItem>
    <reviewItem>
      <errorID>4afb830b-7779-49c0-94f9-5db4aa77e00f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15C68838</paraID>
      <start>0</start>
      <end>2</end>
      <status>ignored</status>
      <modifiedWord/>
      <trackRevisions>false</trackRevisions>
    </reviewItem>
    <reviewItem>
      <errorID>fb5344cc-f76f-45f7-a4d0-1307a206240d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52C3288F</paraID>
      <start>125</start>
      <end>126</end>
      <status>modified</status>
      <modifiedWord>地</modifiedWord>
      <trackRevisions>false</trackRevisions>
    </reviewItem>
    <reviewItem>
      <errorID>3485aefa-2a88-4443-ac10-db3a26797fe4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742643CF</paraID>
      <start>0</start>
      <end>2</end>
      <status>ignored</status>
      <modifiedWord/>
      <trackRevisions>false</trackRevisions>
    </reviewItem>
    <reviewItem>
      <errorID>a77492e6-4455-4415-8fc1-915f496ba9b5</errorID>
      <errorWord>以致于</errorWord>
      <group>L1_Word</group>
      <groupName>字词问题</groupName>
      <ability>L2_Typo</ability>
      <abilityName>字词错误</abilityName>
      <candidateList>
        <item>以至于</item>
      </candidateList>
      <explain>存在发音相同字词的误用。</explain>
      <paraID> A800C66</paraID>
      <start>72</start>
      <end>75</end>
      <status>modified</status>
      <modifiedWord>以至于</modifiedWord>
      <trackRevisions>false</trackRevisions>
    </reviewItem>
    <reviewItem>
      <errorID>3b9e154c-6b99-491a-a240-26aa4a66c3a0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4D311562</paraID>
      <start>0</start>
      <end>2</end>
      <status>ignored</status>
      <modifiedWord/>
      <trackRevisions>false</trackRevisions>
    </reviewItem>
    <reviewItem>
      <errorID>97d8f8fd-7463-43cf-a450-7c44dea8b2e1</errorID>
      <errorWord>-</errorWord>
      <group>L1_Format</group>
      <groupName>格式问题</groupName>
      <ability>L2_HalfPunc</ability>
      <abilityName>全半角检查</abilityName>
      <candidateList>
        <item>－</item>
      </candidateList>
      <explain>文本全半角错误。</explain>
      <paraID>637ECF6F</paraID>
      <start>45</start>
      <end>46</end>
      <status>modified</status>
      <modifiedWord>－</modifiedWord>
      <trackRevisions>false</trackRevisions>
    </reviewItem>
    <reviewItem>
      <errorID>2ac49845-6a49-46f9-8cb7-6c35f81b2dd1</errorID>
      <errorWord>,</errorWord>
      <group>L1_Format</group>
      <groupName>格式问题</groupName>
      <ability>L2_HalfPunc</ability>
      <abilityName>全半角检查</abilityName>
      <candidateList>
        <item>，</item>
      </candidateList>
      <explain>文本全半角错误。</explain>
      <paraID>637ECF6F</paraID>
      <start>50</start>
      <end>51</end>
      <status>modified</status>
      <modifiedWord>，</modifiedWord>
      <trackRevisions>false</trackRevisions>
    </reviewItem>
    <reviewItem>
      <errorID>de1dc096-e47e-48f0-9cd7-6ff7f5193243</errorID>
      <errorWord>-</errorWord>
      <group>L1_Format</group>
      <groupName>格式问题</groupName>
      <ability>L2_HalfPunc</ability>
      <abilityName>全半角检查</abilityName>
      <candidateList>
        <item>－</item>
      </candidateList>
      <explain>文本全半角错误。</explain>
      <paraID>637ECF6F</paraID>
      <start>61</start>
      <end>62</end>
      <status>modified</status>
      <modifiedWord>－</modifiedWord>
      <trackRevisions>false</trackRevisions>
    </reviewItem>
    <reviewItem>
      <errorID>b876e68b-9b05-4c70-9d70-b360fe57cf77</errorID>
      <errorWord>,</errorWord>
      <group>L1_Format</group>
      <groupName>格式问题</groupName>
      <ability>L2_HalfPunc</ability>
      <abilityName>全半角检查</abilityName>
      <candidateList>
        <item>，</item>
      </candidateList>
      <explain>文本全半角错误。</explain>
      <paraID>637ECF6F</paraID>
      <start>66</start>
      <end>67</end>
      <status>modified</status>
      <modifiedWord>，</modifiedWord>
      <trackRevisions>false</trackRevisions>
    </reviewItem>
    <reviewItem>
      <errorID>548853b8-4454-494d-b46a-87ce3b76d969</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6F54E48F</paraID>
      <start>10</start>
      <end>11</end>
      <status>modified</status>
      <modifiedWord>且</modifiedWord>
      <trackRevisions>false</trackRevisions>
    </reviewItem>
    <reviewItem>
      <errorID>91a3903c-3d46-4758-810d-2ecfd66e510c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34D355C</paraID>
      <start>0</start>
      <end>2</end>
      <status>ignored</status>
      <modifiedWord/>
      <trackRevisions>false</trackRevisions>
    </reviewItem>
    <reviewItem>
      <errorID>a7590186-38aa-4140-b73f-ad4b24da07ca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277F664D</paraID>
      <start>0</start>
      <end>2</end>
      <status>ignored</status>
      <modifiedWord/>
      <trackRevisions>false</trackRevisions>
    </reviewItem>
    <reviewItem>
      <errorID>854264fb-16cd-4388-b877-ea495e39d8de</errorID>
      <errorWord>出现磨擦</errorWord>
      <group>L1_Word</group>
      <groupName>字词问题</groupName>
      <ability>L2_Variant</ability>
      <abilityName>异形词</abilityName>
      <candidateList>
        <item>出现摩擦</item>
      </candidateList>
      <explain>词汇[出现磨擦]的规范词形写作[出现摩擦]。</explain>
      <paraID>5A1AB289</paraID>
      <start>17</start>
      <end>21</end>
      <status>modified</status>
      <modifiedWord>出现摩擦</modifiedWord>
      <trackRevisions>false</trackRevisions>
    </reviewItem>
    <reviewItem>
      <errorID>47de5cd1-ed14-4dec-8b46-285f3491ce10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7A408B75</paraID>
      <start>0</start>
      <end>2</end>
      <status>ignored</status>
      <modifiedWord/>
      <trackRevisions>false</trackRevisions>
    </reviewItem>
    <reviewItem>
      <errorID>0bce7e5e-dbd6-4563-a81a-6219cf780c3a</errorID>
      <errorWord>植物神经</errorWord>
      <group>L1_Knowledge</group>
      <groupName>知识性问题</groupName>
      <ability>L2_Term</ability>
      <abilityName>专业术语</abilityName>
      <candidateList>
        <item>自主神经</item>
      </candidateList>
      <explain>医学名词[植物神经]为不规范表述或旧称，其规范书面表述为[自主神经]。</explain>
      <paraID>7A57841A</paraID>
      <start>115</start>
      <end>119</end>
      <status>modified</status>
      <modifiedWord>自主神经</modifiedWord>
      <trackRevisions>false</trackRevisions>
    </reviewItem>
    <reviewItem>
      <errorID>e6c6f522-827a-4817-b231-8bb9be4e3a84</errorID>
      <errorWord>性肺炎</errorWord>
      <group>L1_Word</group>
      <groupName>字词问题</groupName>
      <ability>L2_Typo</ability>
      <abilityName>字词错误</abilityName>
      <candidateList>
        <item>肺炎</item>
      </candidateList>
      <explain/>
      <paraID>2FDC0AE2</paraID>
      <start>20</start>
      <end>23</end>
      <status>ignored</status>
      <modifiedWord/>
      <trackRevisions>false</trackRevisions>
    </reviewItem>
    <reviewItem>
      <errorID>750b5529-4e05-449c-8c97-138a08805de4</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2FDC0AE2</paraID>
      <start>45</start>
      <end>48</end>
      <status>ignored</status>
      <modifiedWord/>
      <trackRevisions>false</trackRevisions>
    </reviewItem>
    <reviewItem>
      <errorID>705f1a08-5ba9-4aab-bdd5-3f7165904f9f</errorID>
      <errorWord>带防护面具</errorWord>
      <group>L1_Word</group>
      <groupName>字词问题</groupName>
      <ability>L2_Typo</ability>
      <abilityName>字词错误</abilityName>
      <candidateList>
        <item>戴防护面具</item>
      </candidateList>
      <explain/>
      <paraID>2D0BF536</paraID>
      <start>55</start>
      <end>60</end>
      <status>modified</status>
      <modifiedWord>戴防护面具</modifiedWord>
      <trackRevisions>false</trackRevisions>
    </reviewItem>
    <reviewItem>
      <errorID>f8d5d0ea-ec4c-4120-b0e0-b63515459a10</errorID>
      <errorWord>采用其它方式</errorWord>
      <group>L1_Word</group>
      <groupName>字词问题</groupName>
      <ability>L2_Alias</ability>
      <abilityName>也作/曾用词</abilityName>
      <candidateList>
        <item>采用其他方式</item>
      </candidateList>
      <explain>词汇[采用其它方式]为不规范表述或旧称，其规范书面表述为[采用其他方式]。</explain>
      <paraID>14DA551D</paraID>
      <start>52</start>
      <end>58</end>
      <status>modified</status>
      <modifiedWord>采用其他方式</modifiedWord>
      <trackRevisions>false</trackRevisions>
    </reviewItem>
    <reviewItem>
      <errorID>cc02305b-7296-4112-b3bd-e7126cb69172</errorID>
      <errorWord>.</errorWord>
      <group>L1_Format</group>
      <groupName>格式问题</groupName>
      <ability>L2_HalfPunc</ability>
      <abilityName>全半角检查</abilityName>
      <candidateList>
        <item>。</item>
      </candidateList>
      <explain>文本全半角错误。</explain>
      <paraID>3C134A1B</paraID>
      <start>98</start>
      <end>99</end>
      <status>modified</status>
      <modifiedWord>。</modifiedWord>
      <trackRevisions>false</trackRevisions>
    </reviewItem>
    <reviewItem>
      <errorID>1c73173d-c954-4447-8420-d3c3b2d97a5c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5A569475</paraID>
      <start>0</start>
      <end>2</end>
      <status>ignored</status>
      <modifiedWord/>
      <trackRevisions>false</trackRevisions>
    </reviewItem>
    <reviewItem>
      <errorID>6ca42cb9-e17c-4ac7-92b9-36f76a4014a1</errorID>
      <errorWord>可</errorWord>
      <group>L1_Word</group>
      <groupName>字词问题</groupName>
      <ability>L2_Typo</ability>
      <abilityName>字词错误</abilityName>
      <candidateList>
        <item>可能</item>
      </candidateList>
      <explain/>
      <paraID>5BC74571</paraID>
      <start>30</start>
      <end>32</end>
      <status>modified</status>
      <modifiedWord>可能</modifiedWord>
      <trackRevisions>false</trackRevisions>
    </reviewItem>
    <reviewItem>
      <errorID>526652d0-a0cb-4ed1-8645-f5f789d46287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6DA4404C</paraID>
      <start>0</start>
      <end>2</end>
      <status>ignored</status>
      <modifiedWord/>
      <trackRevisions>false</trackRevisions>
    </reviewItem>
    <reviewItem>
      <errorID>46988d34-c076-4c3a-93ec-8af2a954685a</errorID>
      <errorWord>的的</errorWord>
      <group>L1_Word</group>
      <groupName>字词问题</groupName>
      <ability>L2_Typo</ability>
      <abilityName>字词错误</abilityName>
      <candidateList>
        <item>的</item>
      </candidateList>
      <explain>“的”常用于连接修饰语与名词性中心语，表示属性、所属或描述。</explain>
      <paraID> 602CDB7</paraID>
      <start>35</start>
      <end>36</end>
      <status>modified</status>
      <modifiedWord>的</modifiedWord>
      <trackRevisions>false</trackRevisions>
    </reviewItem>
    <reviewItem>
      <errorID>0133e79e-8254-4a36-809c-bc4f93f99ede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2180898C</paraID>
      <start>0</start>
      <end>2</end>
      <status>ignored</status>
      <modifiedWord/>
      <trackRevisions>false</trackRevisions>
    </reviewItem>
    <reviewItem>
      <errorID>dfcef8b2-bd70-4ec1-a75b-89caad46d68d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1FF98D18</paraID>
      <start>0</start>
      <end>2</end>
      <status>ignored</status>
      <modifiedWord/>
      <trackRevisions>false</trackRevisions>
    </reviewItem>
    <reviewItem>
      <errorID>7c266bb6-3ea9-43a0-832d-1d116667b2eb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427B81BC</paraID>
      <start>0</start>
      <end>2</end>
      <status>ignored</status>
      <modifiedWord/>
      <trackRevisions>false</trackRevisions>
    </reviewItem>
    <reviewItem>
      <errorID>56671ab2-890e-41a7-ae06-387523385474</errorID>
      <errorWord>来自于</errorWord>
      <group>L1_Word</group>
      <groupName>字词问题</groupName>
      <ability>L2_Typo</ability>
      <abilityName>字词错误</abilityName>
      <candidateList>
        <item>来自</item>
      </candidateList>
      <explain/>
      <paraID>3A42FF68</paraID>
      <start>11</start>
      <end>13</end>
      <status>modified</status>
      <modifiedWord>来自</modifiedWord>
      <trackRevisions>false</trackRevisions>
    </reviewItem>
    <reviewItem>
      <errorID>2354db74-bf8d-47ef-bcd1-61a8eee7b161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2359BCFF</paraID>
      <start>0</start>
      <end>2</end>
      <status>ignored</status>
      <modifiedWord/>
      <trackRevisions>false</trackRevisions>
    </reviewItem>
    <reviewItem>
      <errorID>1cf68fca-be06-4c5e-adb0-361e291b7c96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3315BDDA</paraID>
      <start>2</start>
      <end>4</end>
      <status>ignored</status>
      <modifiedWord/>
      <trackRevisions>false</trackRevisions>
    </reviewItem>
    <reviewItem>
      <errorID>9987320d-e9d3-41ab-ba4a-51ca9bf9831c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7EC07C55</paraID>
      <start>2</start>
      <end>4</end>
      <status>ignored</status>
      <modifiedWord/>
      <trackRevisions>false</trackRevisions>
    </reviewItem>
    <reviewItem>
      <errorID>0f3a39b2-4062-46b8-99b2-1618a1551a41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640424AB</paraID>
      <start>2</start>
      <end>4</end>
      <status>ignored</status>
      <modifiedWord/>
      <trackRevisions>false</trackRevisions>
    </reviewItem>
    <reviewItem>
      <errorID>ae0f5fd1-30ce-4884-a94c-f246631cde8e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55CAFD39</paraID>
      <start>0</start>
      <end>2</end>
      <status>ignored</status>
      <modifiedWord/>
      <trackRevisions>false</trackRevisions>
    </reviewItem>
    <reviewItem>
      <errorID>942c3f0d-ac2e-49a7-a132-9b47491b4043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1A99DEC0</paraID>
      <start>2</start>
      <end>4</end>
      <status>ignored</status>
      <modifiedWord/>
      <trackRevisions>false</trackRevisions>
    </reviewItem>
    <reviewItem>
      <errorID>91ba9eb5-641e-44a8-92c4-239801d243d8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1FB9E5E1</paraID>
      <start>2</start>
      <end>4</end>
      <status>ignored</status>
      <modifiedWord/>
      <trackRevisions>false</trackRevisions>
    </reviewItem>
    <reviewItem>
      <errorID>3103d35a-9527-45d5-880f-d92ec6387446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3C474AC3</paraID>
      <start>0</start>
      <end>2</end>
      <status>ignored</status>
      <modifiedWord/>
      <trackRevisions>false</trackRevisions>
    </reviewItem>
    <reviewItem>
      <errorID>4ee8872e-d5bb-4a7c-927c-4abf7675705e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1F6C1F40</paraID>
      <start>0</start>
      <end>2</end>
      <status>ignored</status>
      <modifiedWord/>
      <trackRevisions>false</trackRevisions>
    </reviewItem>
    <reviewItem>
      <errorID>3304778e-42c8-426e-9df1-dbcc20281e97</errorID>
      <errorWord>，</errorWord>
      <group>L1_Word</group>
      <groupName>字词问题</groupName>
      <ability>L2_Typo</ability>
      <abilityName>字词错误</abilityName>
      <candidateList>
        <item>，在</item>
      </candidateList>
      <explain/>
      <paraID>7BC6AF3C</paraID>
      <start>25</start>
      <end>27</end>
      <status>modified</status>
      <modifiedWord>，在</modifiedWord>
      <trackRevisions>false</trackRevisions>
    </reviewItem>
    <reviewItem>
      <errorID>6d43472a-d492-42ef-a620-fa6b32741d0e</errorID>
      <errorWord>干粉灭火机</errorWord>
      <group>L1_Knowledge</group>
      <groupName>知识性问题</groupName>
      <ability>L2_Term</ability>
      <abilityName>专业术语</abilityName>
      <candidateList>
        <item>干粉灭火器</item>
      </candidateList>
      <explain/>
      <paraID>3BDC8A88</paraID>
      <start>178</start>
      <end>183</end>
      <status>modified</status>
      <modifiedWord>干粉灭火器</modifiedWord>
      <trackRevisions>false</trackRevisions>
    </reviewItem>
    <reviewItem>
      <errorID>7a98b87a-5e82-493c-85a6-91e11d505290</errorID>
      <errorWord>雨蓬</errorWord>
      <group>L1_Word</group>
      <groupName>字词问题</groupName>
      <ability>L2_Alias</ability>
      <abilityName>也作/曾用词</abilityName>
      <candidateList>
        <item>雨篷</item>
      </candidateList>
      <explain>词汇[雨蓬]为不规范表述或旧称，其规范书面表述为[雨篷]。</explain>
      <paraID>3BDC8A88</paraID>
      <start>222</start>
      <end>224</end>
      <status>modified</status>
      <modifiedWord>雨篷</modifiedWord>
      <trackRevisions>false</trackRevisions>
    </reviewItem>
    <reviewItem>
      <errorID>4a6492d1-1199-41ab-9864-cd3d138dcb11</errorID>
      <errorWord>雨蓬</errorWord>
      <group>L1_Word</group>
      <groupName>字词问题</groupName>
      <ability>L2_Alias</ability>
      <abilityName>也作/曾用词</abilityName>
      <candidateList>
        <item>雨篷</item>
      </candidateList>
      <explain>词汇[雨蓬]为不规范表述或旧称，其规范书面表述为[雨篷]。</explain>
      <paraID>3BDC8A88</paraID>
      <start>261</start>
      <end>263</end>
      <status>modified</status>
      <modifiedWord>雨篷</modifiedWord>
      <trackRevisions>false</trackRevisions>
    </reviewItem>
    <reviewItem>
      <errorID>4c799dcb-6c54-48c1-ab4f-cafb9f71af37</errorID>
      <errorWord>干粉灭火机</errorWord>
      <group>L1_Knowledge</group>
      <groupName>知识性问题</groupName>
      <ability>L2_Term</ability>
      <abilityName>专业术语</abilityName>
      <candidateList>
        <item>干粉灭火器</item>
      </candidateList>
      <explain/>
      <paraID>3CDE1FE2</paraID>
      <start>55</start>
      <end>60</end>
      <status>modified</status>
      <modifiedWord>干粉灭火器</modifiedWord>
      <trackRevisions>false</trackRevisions>
    </reviewItem>
    <reviewItem>
      <errorID>33625a34-fa2b-4ef1-8002-0218619355a5</errorID>
      <errorWord>非常罕见</errorWord>
      <group>L1_Word</group>
      <groupName>字词问题</groupName>
      <ability>L2_Typo</ability>
      <abilityName>字词错误</abilityName>
      <candidateList>
        <item>罕见</item>
      </candidateList>
      <explain/>
      <paraID> 8F3BCB2</paraID>
      <start>0</start>
      <end>4</end>
      <status>ignored</status>
      <modifiedWord/>
      <trackRevisions>false</trackRevisions>
    </reviewItem>
    <reviewItem>
      <errorID>07322cd1-3159-4cbd-b206-dfb8eb7c2a99</errorID>
      <errorWord>一半</errorWord>
      <group>L1_Word</group>
      <groupName>字词问题</groupName>
      <ability>L2_Typo</ability>
      <abilityName>字词错误</abilityName>
      <candidateList>
        <item>一般</item>
      </candidateList>
      <explain>存在发音相同字词的误用。</explain>
      <paraID>4AC701E2</paraID>
      <start>63</start>
      <end>65</end>
      <status>modified</status>
      <modifiedWord>一般</modifiedWord>
      <trackRevisions>false</trackRevisions>
    </reviewItem>
    <reviewItem>
      <errorID>66fb1bd9-5e37-47ff-a5e5-d00cca607846</errorID>
      <errorWord>～</errorWord>
      <group>L1_Format</group>
      <groupName>格式问题</groupName>
      <ability>L2_HalfPunc</ability>
      <abilityName>全半角检查</abilityName>
      <candidateList>
        <item>~</item>
      </candidateList>
      <explain>文本全半角错误。</explain>
      <paraID>5D90B4B3</paraID>
      <start>2</start>
      <end>3</end>
      <status>modified</status>
      <modifiedWord>~</modifiedWord>
      <trackRevisions>false</trackRevisions>
    </reviewItem>
    <reviewItem>
      <errorID>36381208-699c-4501-804c-ae4b4bae1bac</errorID>
      <errorWord>～</errorWord>
      <group>L1_Format</group>
      <groupName>格式问题</groupName>
      <ability>L2_HalfPunc</ability>
      <abilityName>全半角检查</abilityName>
      <candidateList>
        <item>~</item>
      </candidateList>
      <explain>文本全半角错误。</explain>
      <paraID>17635BDC</paraID>
      <start>3</start>
      <end>4</end>
      <status>modified</status>
      <modifiedWord>~</modifiedWord>
      <trackRevisions>false</trackRevisions>
    </reviewItem>
    <reviewItem>
      <errorID>fe961cbb-685c-4e22-818f-a13154649f24</errorID>
      <errorWord>＜</errorWord>
      <group>L1_Format</group>
      <groupName>格式问题</groupName>
      <ability>L2_HalfPunc</ability>
      <abilityName>全半角检查</abilityName>
      <candidateList>
        <item>&lt;</item>
      </candidateList>
      <explain>文本全半角错误。</explain>
      <paraID>6AE26E63</paraID>
      <start>0</start>
      <end>1</end>
      <status>ignored</status>
      <modifiedWord/>
      <trackRevisions>false</trackRevisions>
    </reviewItem>
    <reviewItem>
      <errorID>b5cc9c72-12fc-4381-8ffa-d29346c19445</errorID>
      <errorWord>～</errorWord>
      <group>L1_Format</group>
      <groupName>格式问题</groupName>
      <ability>L2_HalfPunc</ability>
      <abilityName>全半角检查</abilityName>
      <candidateList>
        <item>~</item>
      </candidateList>
      <explain>文本全半角错误。</explain>
      <paraID>338122C1</paraID>
      <start>2</start>
      <end>3</end>
      <status>modified</status>
      <modifiedWord>~</modifiedWord>
      <trackRevisions>false</trackRevisions>
    </reviewItem>
    <reviewItem>
      <errorID>ac213e12-11de-4c94-ab2a-0eba37976ad9</errorID>
      <errorWord>；；</errorWord>
      <group>L1_Punc</group>
      <groupName>标点问题</groupName>
      <ability>L2_Punc</ability>
      <abilityName>标点符号检查</abilityName>
      <candidateList>
        <item>；</item>
      </candidateList>
      <explain/>
      <paraID>6A7F6255</paraID>
      <start>4</start>
      <end>5</end>
      <status>modified</status>
      <modifiedWord>；</modifiedWord>
      <trackRevisions>false</trackRevisions>
    </reviewItem>
    <reviewItem>
      <errorID>127872a7-5cd4-4ca0-af4e-62551e4c632f</errorID>
      <errorWord>低于在</errorWord>
      <group>L1_Word</group>
      <groupName>字词问题</groupName>
      <ability>L2_Typo</ability>
      <abilityName>字词错误</abilityName>
      <candidateList>
        <item>低于</item>
      </candidateList>
      <explain/>
      <paraID>235A5B63</paraID>
      <start>1</start>
      <end>3</end>
      <status>modified</status>
      <modifiedWord>低于</modifiedWord>
      <trackRevisions>false</trackRevisions>
    </reviewItem>
    <reviewItem>
      <errorID>43da24e3-e7f1-4b40-b144-20fb385975cc</errorID>
      <errorWord>低于在</errorWord>
      <group>L1_Word</group>
      <groupName>字词问题</groupName>
      <ability>L2_Typo</ability>
      <abilityName>字词错误</abilityName>
      <candidateList>
        <item>低于</item>
      </candidateList>
      <explain/>
      <paraID>432222FF</paraID>
      <start>1</start>
      <end>3</end>
      <status>modified</status>
      <modifiedWord>低于</modifiedWord>
      <trackRevisions>false</trackRevisions>
    </reviewItem>
    <reviewItem>
      <errorID>babfeedb-57cb-4230-b63c-60cc763ef97a</errorID>
      <errorWord>～</errorWord>
      <group>L1_Format</group>
      <groupName>格式问题</groupName>
      <ability>L2_HalfPunc</ability>
      <abilityName>全半角检查</abilityName>
      <candidateList>
        <item>~</item>
      </candidateList>
      <explain>文本全半角错误。</explain>
      <paraID>5507D94E</paraID>
      <start>2</start>
      <end>3</end>
      <status>modified</status>
      <modifiedWord>~</modifiedWord>
      <trackRevisions>false</trackRevisions>
    </reviewItem>
    <reviewItem>
      <errorID>3be362be-a7ff-4f68-96c9-53a5bc919161</errorID>
      <errorWord>～</errorWord>
      <group>L1_Format</group>
      <groupName>格式问题</groupName>
      <ability>L2_HalfPunc</ability>
      <abilityName>全半角检查</abilityName>
      <candidateList>
        <item>~</item>
      </candidateList>
      <explain>文本全半角错误。</explain>
      <paraID>76CEFB1D</paraID>
      <start>1</start>
      <end>2</end>
      <status>modified</status>
      <modifiedWord>~</modifiedWord>
      <trackRevisions>false</trackRevisions>
    </reviewItem>
    <reviewItem>
      <errorID>d3dfb56b-50bb-4393-af4b-75a5242cd960</errorID>
      <errorWord>属</errorWord>
      <group>L1_Word</group>
      <groupName>字词问题</groupName>
      <ability>L2_Typo</ability>
      <abilityName>字词错误</abilityName>
      <candidateList>
        <item>属于</item>
      </candidateList>
      <explain/>
      <paraID>7FC80F3C</paraID>
      <start>12</start>
      <end>14</end>
      <status>modified</status>
      <modifiedWord>属于</modifiedWord>
      <trackRevisions>false</trackRevisions>
    </reviewItem>
    <reviewItem>
      <errorID>46cc3ece-be6e-4dcd-ab26-fb1925b6623a</errorID>
      <errorWord>油</errorWord>
      <group>L1_Word</group>
      <groupName>字词问题</groupName>
      <ability>L2_Typo</ability>
      <abilityName>字词错误</abilityName>
      <candidateList>
        <item>油等</item>
      </candidateList>
      <explain/>
      <paraID>29BB9516</paraID>
      <start>27</start>
      <end>28</end>
      <status>ignored</status>
      <modifiedWord/>
      <trackRevisions>false</trackRevisions>
    </reviewItem>
    <reviewItem>
      <errorID>94cd8400-59d4-415a-a7f9-bd195628d224</errorID>
      <errorWord>强</errorWord>
      <group>L1_Word</group>
      <groupName>字词问题</groupName>
      <ability>L2_Typo</ability>
      <abilityName>字词错误</abilityName>
      <candidateList>
        <item>强对</item>
      </candidateList>
      <explain/>
      <paraID>29BB9516</paraID>
      <start>64</start>
      <end>66</end>
      <status>modified</status>
      <modifiedWord>强对</modifiedWord>
      <trackRevisions>false</trackRevisions>
    </reviewItem>
    <reviewItem>
      <errorID>49a7c7c0-9aff-4907-9f8c-18f3ed629ee7</errorID>
      <errorWord>(</errorWord>
      <group>L1_Format</group>
      <groupName>格式问题</groupName>
      <ability>L2_HalfPunc</ability>
      <abilityName>全半角检查</abilityName>
      <candidateList>
        <item>（</item>
      </candidateList>
      <explain>文本全半角错误。</explain>
      <paraID>539AF97A</paraID>
      <start>35</start>
      <end>36</end>
      <status>modified</status>
      <modifiedWord>（</modifiedWord>
      <trackRevisions>false</trackRevisions>
    </reviewItem>
    <reviewItem>
      <errorID>67a3400a-e0f3-4621-9406-4dca445f6b80</errorID>
      <errorWord>)</errorWord>
      <group>L1_Format</group>
      <groupName>格式问题</groupName>
      <ability>L2_HalfPunc</ability>
      <abilityName>全半角检查</abilityName>
      <candidateList>
        <item>）</item>
      </candidateList>
      <explain>文本全半角错误。</explain>
      <paraID>539AF97A</paraID>
      <start>42</start>
      <end>43</end>
      <status>modified</status>
      <modifiedWord>）</modifiedWord>
      <trackRevisions>false</trackRevisions>
    </reviewItem>
    <reviewItem>
      <errorID>24b793b5-7057-4f42-9d9d-7c54365f4474</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12A5E6D9</paraID>
      <start>6</start>
      <end>11</end>
      <status>ignored</status>
      <modifiedWord/>
      <trackRevisions>false</trackRevisions>
    </reviewItem>
    <reviewItem>
      <errorID>a1e06145-d21b-4540-b287-3e290c15a5b2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12A5E6D9</paraID>
      <start>11</start>
      <end>13</end>
      <status>modified</status>
      <modifiedWord>》《</modifiedWord>
      <trackRevisions>false</trackRevisions>
    </reviewItem>
    <reviewItem>
      <errorID>1b633794-35d0-4c71-9185-f7bd3edde31f</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12A5E6D9</paraID>
      <start>13</start>
      <end>27</end>
      <status>ignored</status>
      <modifiedWord/>
      <trackRevisions>false</trackRevisions>
    </reviewItem>
    <reviewItem>
      <errorID>12056877-43be-42fd-823e-80d73b42f719</errorID>
      <errorWord>安全管理责任制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词汇“安全生产责任制”在特定场景下为固定表述形式，请确认此处的“安全管理责任制”是否存在不当。</explain>
      <paraID>7109C812</paraID>
      <start>8</start>
      <end>15</end>
      <status>ignored</status>
      <modifiedWord/>
      <trackRevisions>false</trackRevisions>
    </reviewItem>
    <reviewItem>
      <errorID>38af3c96-691e-4f00-8c2d-993ec63c4952</errorID>
      <errorWord>安全管理责任制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词汇“安全生产责任制”在特定场景下为固定表述形式，请确认此处的“安全管理责任制”是否存在不当。</explain>
      <paraID>6B2A468F</paraID>
      <start>8</start>
      <end>15</end>
      <status>ignored</status>
      <modifiedWord/>
      <trackRevisions>false</trackRevisions>
    </reviewItem>
    <reviewItem>
      <errorID>9ef4d428-390d-4629-9753-6b4328f08075</errorID>
      <errorWord>（</errorWord>
      <group>L1_Punc</group>
      <groupName>标点问题</groupName>
      <ability>L2_Punc</ability>
      <abilityName>标点符号检查</abilityName>
      <candidateList/>
      <explain>同一形式括号套用。</explain>
      <paraID>69BD570E</paraID>
      <start>18</start>
      <end>19</end>
      <status>ignored</status>
      <modifiedWord/>
      <trackRevisions>false</trackRevisions>
    </reviewItem>
    <reviewItem>
      <errorID>75099c57-ea84-46a8-a1f7-4e5f99b2b708</errorID>
      <errorWord>）</errorWord>
      <group>L1_Punc</group>
      <groupName>标点问题</groupName>
      <ability>L2_Punc</ability>
      <abilityName>标点符号检查</abilityName>
      <candidateList/>
      <explain>同一形式括号套用。</explain>
      <paraID>69BD570E</paraID>
      <start>32</start>
      <end>33</end>
      <status>ignored</status>
      <modifiedWord/>
      <trackRevisions>false</trackRevisions>
    </reviewItem>
    <reviewItem>
      <errorID>04252881-88dc-4900-af9d-eb2a67435b69</errorID>
      <errorWord>加汽</errorWord>
      <group>L1_Word</group>
      <groupName>字词问题</groupName>
      <ability>L2_Typo</ability>
      <abilityName>字词错误</abilityName>
      <candidateList>
        <item>加气</item>
      </candidateList>
      <explain/>
      <paraID>215B7171</paraID>
      <start>49</start>
      <end>51</end>
      <status>modified</status>
      <modifiedWord>加气</modifiedWord>
      <trackRevisions>false</trackRevisions>
    </reviewItem>
    <reviewItem>
      <errorID>10bf532f-11ad-4861-aa75-6b20dac688d4</errorID>
      <errorWord>.</errorWord>
      <group>L1_Format</group>
      <groupName>格式问题</groupName>
      <ability>L2_HalfPunc</ability>
      <abilityName>全半角检查</abilityName>
      <candidateList>
        <item>。</item>
      </candidateList>
      <explain>文本全半角错误。</explain>
      <paraID>7E4B78F5</paraID>
      <start>12</start>
      <end>13</end>
      <status>modified</status>
      <modifiedWord>。</modifiedWord>
      <trackRevisions>false</trackRevisions>
    </reviewItem>
    <reviewItem>
      <errorID>e29c2358-5335-4dbe-b29d-5d0c3d7044ef</errorID>
      <errorWord>小</errorWord>
      <group>L1_Word</group>
      <groupName>字词问题</groupName>
      <ability>L2_Typo</ability>
      <abilityName>字词错误</abilityName>
      <candidateList>
        <item>小于</item>
      </candidateList>
      <explain/>
      <paraID>5629E6EC</paraID>
      <start>40</start>
      <end>42</end>
      <status>modified</status>
      <modifiedWord>小于</modifiedWord>
      <trackRevisions>false</trackRevisions>
    </reviewItem>
    <reviewItem>
      <errorID>b051af25-d43c-432a-bea5-768e3df00c87</errorID>
      <errorWord>辅助服务</errorWord>
      <group>L1_Knowledge</group>
      <groupName>知识性问题</groupName>
      <ability>L2_Term</ability>
      <abilityName>专业术语</abilityName>
      <candidateList>
        <item>自助服务</item>
      </candidateList>
      <explain/>
      <paraID>5766B428</paraID>
      <start>4</start>
      <end>8</end>
      <status>ignored</status>
      <modifiedWord/>
      <trackRevisions>false</trackRevisions>
    </reviewItem>
    <reviewItem>
      <errorID>7f7e9444-9249-47d7-bac6-ef07d248292d</errorID>
      <errorWord>辅助服务</errorWord>
      <group>L1_Knowledge</group>
      <groupName>知识性问题</groupName>
      <ability>L2_Term</ability>
      <abilityName>专业术语</abilityName>
      <candidateList>
        <item>自助服务</item>
      </candidateList>
      <explain/>
      <paraID>553FEC0F</paraID>
      <start>4</start>
      <end>8</end>
      <status>ignored</status>
      <modifiedWord/>
      <trackRevisions>false</trackRevisions>
    </reviewItem>
    <reviewItem>
      <errorID>65715839-14d8-4e8c-93d0-34d177f03e83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4DA6932B</paraID>
      <start>0</start>
      <end>2</end>
      <status>ignored</status>
      <modifiedWord/>
      <trackRevisions>false</trackRevisions>
    </reviewItem>
    <reviewItem>
      <errorID>9c9cab77-8c62-45f3-9bb4-d17bea903e52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30E5E18</paraID>
      <start>0</start>
      <end>2</end>
      <status>ignored</status>
      <modifiedWord/>
      <trackRevisions>false</trackRevisions>
    </reviewItem>
    <reviewItem>
      <errorID>252cb37c-c13c-4f60-b034-eaf7d9a3a4d3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DB9C5F</paraID>
      <start>0</start>
      <end>2</end>
      <status>ignored</status>
      <modifiedWord/>
      <trackRevisions>false</trackRevisions>
    </reviewItem>
    <reviewItem>
      <errorID>511c3980-88e0-4634-b6a4-c1e59306597a</errorID>
      <errorWord>辅助服务</errorWord>
      <group>L1_Knowledge</group>
      <groupName>知识性问题</groupName>
      <ability>L2_Term</ability>
      <abilityName>专业术语</abilityName>
      <candidateList>
        <item>自助服务</item>
      </candidateList>
      <explain/>
      <paraID>7EF742F9</paraID>
      <start>12</start>
      <end>16</end>
      <status>ignored</status>
      <modifiedWord/>
      <trackRevisions>false</trackRevisions>
    </reviewItem>
    <reviewItem>
      <errorID>3c45ef50-4c69-4b05-834e-e2a495964318</errorID>
      <errorWord>~</errorWord>
      <group>L1_Format</group>
      <groupName>格式问题</groupName>
      <ability>L2_HalfPunc</ability>
      <abilityName>全半角检查</abilityName>
      <candidateList>
        <item>～</item>
      </candidateList>
      <explain>文本全半角错误。</explain>
      <paraID>16ADAE93</paraID>
      <start>68</start>
      <end>69</end>
      <status>modified</status>
      <modifiedWord>～</modifiedWord>
      <trackRevisions>false</trackRevisions>
    </reviewItem>
    <reviewItem>
      <errorID>fee2b18d-9282-445f-83d6-c64e911662bd</errorID>
      <errorWord>~</errorWord>
      <group>L1_Format</group>
      <groupName>格式问题</groupName>
      <ability>L2_HalfPunc</ability>
      <abilityName>全半角检查</abilityName>
      <candidateList>
        <item>～</item>
      </candidateList>
      <explain>文本全半角错误。</explain>
      <paraID>426CC00C</paraID>
      <start>102</start>
      <end>103</end>
      <status>modified</status>
      <modifiedWord>～</modifiedWord>
      <trackRevisions>false</trackRevisions>
    </reviewItem>
    <reviewItem>
      <errorID>bf0cf3b4-f7ad-4be0-a04c-8c9a447371f5</errorID>
      <errorWord>橇装式</errorWord>
      <group>L1_Word</group>
      <groupName>字词问题</groupName>
      <ability>L2_Typo</ability>
      <abilityName>字词错误</abilityName>
      <candidateList>
        <item>撬装式</item>
      </candidateList>
      <explain/>
      <paraID>3B72547A</paraID>
      <start>6</start>
      <end>9</end>
      <status>modified</status>
      <modifiedWord>撬装式</modifiedWord>
      <trackRevisions>false</trackRevisions>
    </reviewItem>
    <reviewItem>
      <errorID>e27e8aa1-1387-4718-a091-468d270d37d8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3871543F</paraID>
      <start>0</start>
      <end>2</end>
      <status>ignored</status>
      <modifiedWord/>
      <trackRevisions>false</trackRevisions>
    </reviewItem>
    <reviewItem>
      <errorID>e340af28-9d4f-494a-8504-91ed1658f7ea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7F7BB851</paraID>
      <start>0</start>
      <end>2</end>
      <status>ignored</status>
      <modifiedWord/>
      <trackRevisions>false</trackRevisions>
    </reviewItem>
    <reviewItem>
      <errorID>ee2521fb-111a-4597-bf08-9f854c9117e2</errorID>
      <errorWord>-</errorWord>
      <group>L1_Format</group>
      <groupName>格式问题</groupName>
      <ability>L2_HalfPunc</ability>
      <abilityName>全半角检查</abilityName>
      <candidateList>
        <item>－</item>
      </candidateList>
      <explain>文本全半角错误。</explain>
      <paraID>4E735093</paraID>
      <start>73</start>
      <end>74</end>
      <status>modified</status>
      <modifiedWord>－</modifiedWord>
      <trackRevisions>false</trackRevisions>
    </reviewItem>
    <reviewItem>
      <errorID>f21bb82c-beaa-4a63-9ccc-8fe6604023f6</errorID>
      <errorWord>（</errorWord>
      <group>L1_Format</group>
      <groupName>格式问题</groupName>
      <ability>L2_HalfPunc</ability>
      <abilityName>全半角检查</abilityName>
      <candidateList>
        <item>(</item>
      </candidateList>
      <explain>文本全半角错误。</explain>
      <paraID>779668CB</paraID>
      <start>8</start>
      <end>9</end>
      <status>modified</status>
      <modifiedWord>(</modifiedWord>
      <trackRevisions>false</trackRevisions>
    </reviewItem>
    <reviewItem>
      <errorID>c9c023a5-1ae4-498a-a1c2-8416bad25083</errorID>
      <errorWord>）</errorWord>
      <group>L1_Format</group>
      <groupName>格式问题</groupName>
      <ability>L2_HalfPunc</ability>
      <abilityName>全半角检查</abilityName>
      <candidateList>
        <item>)</item>
      </candidateList>
      <explain>文本全半角错误。</explain>
      <paraID>779668CB</paraID>
      <start>14</start>
      <end>15</end>
      <status>modified</status>
      <modifiedWord>)</modifiedWord>
      <trackRevisions>false</trackRevisions>
    </reviewItem>
    <reviewItem>
      <errorID>39b63f2b-9b49-47bf-8f8e-ec475000e8d9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1F28D71D</paraID>
      <start>0</start>
      <end>2</end>
      <status>ignored</status>
      <modifiedWord/>
      <trackRevisions>false</trackRevisions>
    </reviewItem>
    <reviewItem>
      <errorID>03923853-891d-47f2-824a-db75db41872e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52885D39</paraID>
      <start>0</start>
      <end>2</end>
      <status>ignored</status>
      <modifiedWord/>
      <trackRevisions>false</trackRevisions>
    </reviewItem>
    <reviewItem>
      <errorID>38b2f2ed-35e3-42a6-83ac-4c74822cf0f8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698624A5</paraID>
      <start>0</start>
      <end>2</end>
      <status>ignored</status>
      <modifiedWord/>
      <trackRevisions>false</trackRevisions>
    </reviewItem>
    <reviewItem>
      <errorID>2f1eb0c7-056c-40dc-b801-619778b449bd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63A543D8</paraID>
      <start>0</start>
      <end>2</end>
      <status>ignored</status>
      <modifiedWord/>
      <trackRevisions>false</trackRevisions>
    </reviewItem>
    <reviewItem>
      <errorID>de29a9d6-265d-446a-9731-511cd5a606fe</errorID>
      <errorWord>监测</errorWord>
      <group>L1_Word</group>
      <groupName>字词问题</groupName>
      <ability>L2_Typo</ability>
      <abilityName>字词错误</abilityName>
      <candidateList>
        <item>检测</item>
      </candidateList>
      <explain/>
      <paraID>63A543D8</paraID>
      <start>16</start>
      <end>18</end>
      <status>ignored</status>
      <modifiedWord/>
      <trackRevisions>false</trackRevisions>
    </reviewItem>
    <reviewItem>
      <errorID>88ca4232-cc4f-4758-8315-10560ab8f8ff</errorID>
      <errorWord>觉察</errorWord>
      <group>L1_Word</group>
      <groupName>字词问题</groupName>
      <ability>L2_Typo</ability>
      <abilityName>字词错误</abilityName>
      <candidateList>
        <item>观察</item>
      </candidateList>
      <explain>〈动〉仔细察看（事物或现象）：～地形｜～动静｜～问题。</explain>
      <paraID>67647A44</paraID>
      <start>88</start>
      <end>90</end>
      <status>ignored</status>
      <modifiedWord/>
      <trackRevisions>false</trackRevisions>
    </reviewItem>
    <reviewItem>
      <errorID>be136d3f-365f-4a86-96d3-790ed10c7e80</errorID>
      <errorWord>液位监测</errorWord>
      <group>L1_Word</group>
      <groupName>字词问题</groupName>
      <ability>L2_Typo</ability>
      <abilityName>字词错误</abilityName>
      <candidateList>
        <item>液位检测</item>
      </candidateList>
      <explain/>
      <paraID>2AAEE4E4</paraID>
      <start>49</start>
      <end>53</end>
      <status>ignored</status>
      <modifiedWord/>
      <trackRevisions>false</trackRevisions>
    </reviewItem>
    <reviewItem>
      <errorID>a1a10481-71be-4550-ae1f-b220aa574b68</errorID>
      <errorWord>大</errorWord>
      <group>L1_Word</group>
      <groupName>字词问题</groupName>
      <ability>L2_Typo</ability>
      <abilityName>字词错误</abilityName>
      <candidateList>
        <item>大于</item>
      </candidateList>
      <explain/>
      <paraID>2AAEE4E4</paraID>
      <start>75</start>
      <end>77</end>
      <status>modified</status>
      <modifiedWord>大于</modifiedWord>
      <trackRevisions>false</trackRevisions>
    </reviewItem>
    <reviewItem>
      <errorID>c45649c9-d9fe-4f47-bc36-982ce25ad201</errorID>
      <errorWord>(</errorWord>
      <group>L1_Format</group>
      <groupName>格式问题</groupName>
      <ability>L2_HalfPunc</ability>
      <abilityName>全半角检查</abilityName>
      <candidateList>
        <item>（</item>
      </candidateList>
      <explain>文本全半角错误。</explain>
      <paraID>13F6935D</paraID>
      <start>8</start>
      <end>9</end>
      <status>modified</status>
      <modifiedWord>（</modifiedWord>
      <trackRevisions>false</trackRevisions>
    </reviewItem>
    <reviewItem>
      <errorID>938f0b6c-4807-4cb9-a7c4-808dd73bb0dd</errorID>
      <errorWord>)</errorWord>
      <group>L1_Format</group>
      <groupName>格式问题</groupName>
      <ability>L2_HalfPunc</ability>
      <abilityName>全半角检查</abilityName>
      <candidateList>
        <item>）</item>
      </candidateList>
      <explain>文本全半角错误。</explain>
      <paraID>13F6935D</paraID>
      <start>12</start>
      <end>13</end>
      <status>modified</status>
      <modifiedWord>）</modifiedWord>
      <trackRevisions>false</trackRevisions>
    </reviewItem>
    <reviewItem>
      <errorID>2dd2c61b-2074-4acc-9494-39d661d6b397</errorID>
      <errorWord>接各</errorWord>
      <group>L1_Word</group>
      <groupName>字词问题</groupName>
      <ability>L2_Typo</ability>
      <abilityName>字词错误</abilityName>
      <candidateList>
        <item>接口</item>
      </candidateList>
      <explain/>
      <paraID>4EE62E2D</paraID>
      <start>21</start>
      <end>23</end>
      <status>modified</status>
      <modifiedWord>接口</modifiedWord>
      <trackRevisions>false</trackRevisions>
    </reviewItem>
    <reviewItem>
      <errorID>adeb6d61-b926-4546-99ec-f7d6ecfb70c6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2DBD403F</paraID>
      <start>0</start>
      <end>2</end>
      <status>ignored</status>
      <modifiedWord/>
      <trackRevisions>false</trackRevisions>
    </reviewItem>
    <reviewItem>
      <errorID>5ff419ca-a7e2-4475-b845-91739140ab4b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6E89C735</paraID>
      <start>0</start>
      <end>2</end>
      <status>ignored</status>
      <modifiedWord/>
      <trackRevisions>false</trackRevisions>
    </reviewItem>
    <reviewItem>
      <errorID>8d6306ac-a5df-476e-b9d9-168567498792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14BE1379</paraID>
      <start>0</start>
      <end>2</end>
      <status>ignored</status>
      <modifiedWord/>
      <trackRevisions>false</trackRevisions>
    </reviewItem>
    <reviewItem>
      <errorID>e066f902-9b25-43d2-997e-a371f94597e7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BFB180A</paraID>
      <start>0</start>
      <end>2</end>
      <status>ignored</status>
      <modifiedWord/>
      <trackRevisions>false</trackRevisions>
    </reviewItem>
    <reviewItem>
      <errorID>acd10c48-de25-404e-81c5-4104b6f286d3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438E4463</paraID>
      <start>0</start>
      <end>2</end>
      <status>ignored</status>
      <modifiedWord/>
      <trackRevisions>false</trackRevisions>
    </reviewItem>
    <reviewItem>
      <errorID>0b691e32-840b-455f-8178-16a4ef5c3d66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3F792003</paraID>
      <start>0</start>
      <end>2</end>
      <status>ignored</status>
      <modifiedWord/>
      <trackRevisions>false</trackRevisions>
    </reviewItem>
    <reviewItem>
      <errorID>163bdc3f-d4aa-46f4-89f5-34c2cb60c921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72413049</paraID>
      <start>0</start>
      <end>2</end>
      <status>ignored</status>
      <modifiedWord/>
      <trackRevisions>false</trackRevisions>
    </reviewItem>
    <reviewItem>
      <errorID>054afb27-5576-4feb-8468-4326511ff803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770B0CE1</paraID>
      <start>0</start>
      <end>2</end>
      <status>ignored</status>
      <modifiedWord/>
      <trackRevisions>false</trackRevisions>
    </reviewItem>
    <reviewItem>
      <errorID>66dd820e-5a1e-481e-97b5-1c1cf5ad738d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1A2223DF</paraID>
      <start>0</start>
      <end>2</end>
      <status>ignored</status>
      <modifiedWord/>
      <trackRevisions>false</trackRevisions>
    </reviewItem>
    <reviewItem>
      <errorID>c77f5554-5ef8-4c7d-a5c2-20d513d96ffd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2F841396</paraID>
      <start>0</start>
      <end>2</end>
      <status>ignored</status>
      <modifiedWord/>
      <trackRevisions>false</trackRevisions>
    </reviewItem>
    <reviewItem>
      <errorID>821f31a6-384c-4903-bfb9-14d64ca1c84a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7EE794D9</paraID>
      <start>0</start>
      <end>2</end>
      <status>ignored</status>
      <modifiedWord/>
      <trackRevisions>false</trackRevisions>
    </reviewItem>
    <reviewItem>
      <errorID>cab3bd4a-101b-470b-a892-e554f66ca9cf</errorID>
      <errorWord>~</errorWord>
      <group>L1_Format</group>
      <groupName>格式问题</groupName>
      <ability>L2_HalfPunc</ability>
      <abilityName>全半角检查</abilityName>
      <candidateList>
        <item>～</item>
      </candidateList>
      <explain>文本全半角错误。</explain>
      <paraID>7EE794D9</paraID>
      <start>17</start>
      <end>18</end>
      <status>modified</status>
      <modifiedWord>～</modifiedWord>
      <trackRevisions>false</trackRevisions>
    </reviewItem>
    <reviewItem>
      <errorID>73c7d22a-b496-4823-b513-7fc02b596557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3635E5F9</paraID>
      <start>0</start>
      <end>2</end>
      <status>ignored</status>
      <modifiedWord/>
      <trackRevisions>false</trackRevisions>
    </reviewItem>
    <reviewItem>
      <errorID>40294d20-0879-47e7-94d9-a2b3f561b9b5</errorID>
      <errorWord>~</errorWord>
      <group>L1_Format</group>
      <groupName>格式问题</groupName>
      <ability>L2_HalfPunc</ability>
      <abilityName>全半角检查</abilityName>
      <candidateList>
        <item>～</item>
      </candidateList>
      <explain>文本全半角错误。</explain>
      <paraID>3635E5F9</paraID>
      <start>38</start>
      <end>39</end>
      <status>modified</status>
      <modifiedWord>～</modifiedWord>
      <trackRevisions>false</trackRevisions>
    </reviewItem>
    <reviewItem>
      <errorID>6b8dfbea-8233-48f6-8e21-7ae5e7a76dd1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62E33D33</paraID>
      <start>0</start>
      <end>2</end>
      <status>ignored</status>
      <modifiedWord/>
      <trackRevisions>false</trackRevisions>
    </reviewItem>
    <reviewItem>
      <errorID>e327af80-d8ed-44c9-a76e-48a09188f593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2C250101</paraID>
      <start>0</start>
      <end>2</end>
      <status>ignored</status>
      <modifiedWord/>
      <trackRevisions>false</trackRevisions>
    </reviewItem>
    <reviewItem>
      <errorID>5c2430d0-3f6f-49bb-8cdd-1ef56aa876a0</errorID>
      <errorWord>过渡连接</errorWord>
      <group>L1_Knowledge</group>
      <groupName>知识性问题</groupName>
      <ability>L2_Term</ability>
      <abilityName>专业术语</abilityName>
      <candidateList>
        <item>过盈连接</item>
      </candidateList>
      <explain/>
      <paraID>4450EE74</paraID>
      <start>27</start>
      <end>31</end>
      <status>ignored</status>
      <modifiedWord/>
      <trackRevisions>false</trackRevisions>
    </reviewItem>
    <reviewItem>
      <errorID>c83054e7-0124-43ef-967d-083270fd1aa4</errorID>
      <errorWord>过渡连接</errorWord>
      <group>L1_Knowledge</group>
      <groupName>知识性问题</groupName>
      <ability>L2_Term</ability>
      <abilityName>专业术语</abilityName>
      <candidateList>
        <item>过盈连接</item>
      </candidateList>
      <explain/>
      <paraID>45447906</paraID>
      <start>25</start>
      <end>29</end>
      <status>ignored</status>
      <modifiedWord/>
      <trackRevisions>false</trackRevisions>
    </reviewItem>
    <reviewItem>
      <errorID>3e75f1dc-e527-4d45-83b4-8f3905549da8</errorID>
      <errorWord>连通软</errorWord>
      <group>L1_Word</group>
      <groupName>字词问题</groupName>
      <ability>L2_Typo</ability>
      <abilityName>字词错误</abilityName>
      <candidateList>
        <item>连通管</item>
      </candidateList>
      <explain/>
      <paraID>1EE362D5</paraID>
      <start>16</start>
      <end>19</end>
      <status>modified</status>
      <modifiedWord>连通管</modifiedWord>
      <trackRevisions>false</trackRevisions>
    </reviewItem>
    <reviewItem>
      <errorID>c93a7523-2655-4855-b23b-da24da3882e1</errorID>
      <errorWord>体电阻率</errorWord>
      <group>L1_Knowledge</group>
      <groupName>知识性问题</groupName>
      <ability>L2_Term</ability>
      <abilityName>专业术语</abilityName>
      <candidateList>
        <item>视电阻率</item>
      </candidateList>
      <explain/>
      <paraID>1EE362D5</paraID>
      <start>41</start>
      <end>45</end>
      <status>ignored</status>
      <modifiedWord/>
      <trackRevisions>false</trackRevisions>
    </reviewItem>
    <reviewItem>
      <errorID>b183e506-a482-4d83-b661-588d9529c9df</errorID>
      <errorWord>（</errorWord>
      <group>L1_Punc</group>
      <groupName>标点问题</groupName>
      <ability>L2_Punc</ability>
      <abilityName>标点符号检查</abilityName>
      <candidateList/>
      <explain/>
      <paraID>1EE362D5</paraID>
      <start>77</start>
      <end>78</end>
      <status>ignored</status>
      <modifiedWord/>
      <trackRevisions>false</trackRevisions>
    </reviewItem>
    <reviewItem>
      <errorID>a9e0a968-d31a-4d17-8a7d-77872ddaeb43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41FC3B97</paraID>
      <start>0</start>
      <end>2</end>
      <status>ignored</status>
      <modifiedWord/>
      <trackRevisions>false</trackRevisions>
    </reviewItem>
    <reviewItem>
      <errorID>3523df36-adca-4445-a8f6-17120c0d09c8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7491DA1B</paraID>
      <start>0</start>
      <end>2</end>
      <status>ignored</status>
      <modifiedWord/>
      <trackRevisions>false</trackRevisions>
    </reviewItem>
    <reviewItem>
      <errorID>30e514a1-797d-4189-87cf-75447bec15bb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54B301F</paraID>
      <start>0</start>
      <end>2</end>
      <status>ignored</status>
      <modifiedWord/>
      <trackRevisions>false</trackRevisions>
    </reviewItem>
    <reviewItem>
      <errorID>9070b29d-5c60-4ea0-b95f-50c6dec0fd91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2A2903F4</paraID>
      <start>0</start>
      <end>2</end>
      <status>ignored</status>
      <modifiedWord/>
      <trackRevisions>false</trackRevisions>
    </reviewItem>
    <reviewItem>
      <errorID>80dfc95a-fb9e-4894-9c33-dae39c426a75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10D23C1A</paraID>
      <start>0</start>
      <end>2</end>
      <status>ignored</status>
      <modifiedWord/>
      <trackRevisions>false</trackRevisions>
    </reviewItem>
    <reviewItem>
      <errorID>8629c8fd-0933-4b6d-9ba3-c20f2d605bb0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587CFFCF</paraID>
      <start>0</start>
      <end>2</end>
      <status>ignored</status>
      <modifiedWord/>
      <trackRevisions>false</trackRevisions>
    </reviewItem>
    <reviewItem>
      <errorID>63018f08-05c6-4a06-92a1-6100108f215b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465C76F2</paraID>
      <start>0</start>
      <end>2</end>
      <status>ignored</status>
      <modifiedWord/>
      <trackRevisions>false</trackRevisions>
    </reviewItem>
    <reviewItem>
      <errorID>26d17da4-74e8-49d6-8af1-efd9b41ef208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7E7FFEB0</paraID>
      <start>0</start>
      <end>2</end>
      <status>ignored</status>
      <modifiedWord/>
      <trackRevisions>false</trackRevisions>
    </reviewItem>
    <reviewItem>
      <errorID>1eca7424-0e75-45f6-91c9-577f4d9fa2ff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5D3859D</paraID>
      <start>0</start>
      <end>2</end>
      <status>ignored</status>
      <modifiedWord/>
      <trackRevisions>false</trackRevisions>
    </reviewItem>
    <reviewItem>
      <errorID>783c5898-fa8c-4acf-b4b1-ac48ae1dd23f</errorID>
      <errorWord>沙</errorWord>
      <group>L1_Word</group>
      <groupName>字词问题</groupName>
      <ability>L2_Typo</ability>
      <abilityName>字词错误</abilityName>
      <candidateList>
        <item>砂</item>
      </candidateList>
      <explain>存在发音相同字词的误用。</explain>
      <paraID> 5D3859D</paraID>
      <start>15</start>
      <end>16</end>
      <status>modified</status>
      <modifiedWord>砂</modifiedWord>
      <trackRevisions>false</trackRevisions>
    </reviewItem>
    <reviewItem>
      <errorID>187880b7-a6e0-4676-ad43-23306f2c4320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3588C052</paraID>
      <start>0</start>
      <end>2</end>
      <status>ignored</status>
      <modifiedWord/>
      <trackRevisions>false</trackRevisions>
    </reviewItem>
    <reviewItem>
      <errorID>50418d4c-d4f0-4f77-9886-2cfaa3b83733</errorID>
      <errorWord>~</errorWord>
      <group>L1_Format</group>
      <groupName>格式问题</groupName>
      <ability>L2_HalfPunc</ability>
      <abilityName>全半角检查</abilityName>
      <candidateList>
        <item>～</item>
      </candidateList>
      <explain>文本全半角错误。</explain>
      <paraID>2D9E5BA0</paraID>
      <start>36</start>
      <end>37</end>
      <status>modified</status>
      <modifiedWord>～</modifiedWord>
      <trackRevisions>false</trackRevisions>
    </reviewItem>
    <reviewItem>
      <errorID>7bf82e3f-1931-4981-ba28-f592be609d43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1732425A</paraID>
      <start>0</start>
      <end>2</end>
      <status>ignored</status>
      <modifiedWord/>
      <trackRevisions>false</trackRevisions>
    </reviewItem>
    <reviewItem>
      <errorID>1d30c761-39a6-416e-8936-755e43414671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358D9F85</paraID>
      <start>0</start>
      <end>2</end>
      <status>ignored</status>
      <modifiedWord/>
      <trackRevisions>false</trackRevisions>
    </reviewItem>
    <reviewItem>
      <errorID>39a3b707-280a-4c66-b53e-78de6eb69d4d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62FB2D96</paraID>
      <start>0</start>
      <end>2</end>
      <status>ignored</status>
      <modifiedWord/>
      <trackRevisions>false</trackRevisions>
    </reviewItem>
    <reviewItem>
      <errorID>cf9653db-3504-4bd9-985d-1a3fd1f1b364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4F195C62</paraID>
      <start>0</start>
      <end>2</end>
      <status>ignored</status>
      <modifiedWord/>
      <trackRevisions>false</trackRevisions>
    </reviewItem>
    <reviewItem>
      <errorID>08bcb3d4-14b1-43c5-900c-5ebffd539593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10A667C5</paraID>
      <start>0</start>
      <end>2</end>
      <status>ignored</status>
      <modifiedWord/>
      <trackRevisions>false</trackRevisions>
    </reviewItem>
    <reviewItem>
      <errorID>1e030737-8670-40fc-93ac-7383c80f49f3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498E68D0</paraID>
      <start>0</start>
      <end>2</end>
      <status>ignored</status>
      <modifiedWord/>
      <trackRevisions>false</trackRevisions>
    </reviewItem>
    <reviewItem>
      <errorID>8bcd1728-74ec-45f0-9ed7-2b8d22a6fb2c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18B01730</paraID>
      <start>0</start>
      <end>2</end>
      <status>ignored</status>
      <modifiedWord/>
      <trackRevisions>false</trackRevisions>
    </reviewItem>
    <reviewItem>
      <errorID>fec09548-1024-4344-ad82-0f31fe54be24</errorID>
      <errorWord>油</errorWord>
      <group>L1_Word</group>
      <groupName>字词问题</groupName>
      <ability>L2_Typo</ability>
      <abilityName>字词错误</abilityName>
      <candidateList>
        <item>油站</item>
      </candidateList>
      <explain/>
      <paraID>18B01730</paraID>
      <start>29</start>
      <end>30</end>
      <status>ignored</status>
      <modifiedWord/>
      <trackRevisions>false</trackRevisions>
    </reviewItem>
    <reviewItem>
      <errorID>3acc4181-fa08-4414-b4c8-13bc657e2c48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7E2BEC93</paraID>
      <start>0</start>
      <end>2</end>
      <status>ignored</status>
      <modifiedWord/>
      <trackRevisions>false</trackRevisions>
    </reviewItem>
    <reviewItem>
      <errorID>b275f9dc-a2f7-462f-8741-a250b4d09e29</errorID>
      <errorWord>并</errorWord>
      <group>L1_Word</group>
      <groupName>字词问题</groupName>
      <ability>L2_Typo</ability>
      <abilityName>字词错误</abilityName>
      <candidateList>
        <item>井</item>
      </candidateList>
      <explain/>
      <paraID>7E2BEC93</paraID>
      <start>74</start>
      <end>75</end>
      <status>modified</status>
      <modifiedWord>井</modifiedWord>
      <trackRevisions>false</trackRevisions>
    </reviewItem>
    <reviewItem>
      <errorID>a15749ed-3860-4b73-ae55-e7f95f5705ef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4DEC41A2</paraID>
      <start>0</start>
      <end>2</end>
      <status>ignored</status>
      <modifiedWord/>
      <trackRevisions>false</trackRevisions>
    </reviewItem>
    <reviewItem>
      <errorID>162e8fec-aa00-4b4f-9008-9688a80e67ce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497EF646</paraID>
      <start>0</start>
      <end>2</end>
      <status>ignored</status>
      <modifiedWord/>
      <trackRevisions>false</trackRevisions>
    </reviewItem>
    <reviewItem>
      <errorID>39b86d7d-57e2-4739-8415-714b9813188e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68C0D911</paraID>
      <start>0</start>
      <end>2</end>
      <status>ignored</status>
      <modifiedWord/>
      <trackRevisions>false</trackRevisions>
    </reviewItem>
    <reviewItem>
      <errorID>afc00e00-556c-493e-b528-8f5af20983de</errorID>
      <errorWord>雨水系统</errorWord>
      <group>L1_Knowledge</group>
      <groupName>知识性问题</groupName>
      <ability>L2_Term</ability>
      <abilityName>专业术语</abilityName>
      <candidateList>
        <item>泄水系统</item>
      </candidateList>
      <explain/>
      <paraID>3366E3A0</paraID>
      <start>35</start>
      <end>39</end>
      <status>ignored</status>
      <modifiedWord/>
      <trackRevisions>false</trackRevisions>
    </reviewItem>
    <reviewItem>
      <errorID>a1a68ae2-060a-46aa-b1b0-10a930a93fed</errorID>
      <errorWord>项目</errorWord>
      <group>L1_Word</group>
      <groupName>字词问题</groupName>
      <ability>L2_Typo</ability>
      <abilityName>字词错误</abilityName>
      <candidateList>
        <item>项</item>
      </candidateList>
      <explain/>
      <paraID> BF3B277</paraID>
      <start>23</start>
      <end>24</end>
      <status>modified</status>
      <modifiedWord>项</modifiedWord>
      <trackRevisions>false</trackRevisions>
    </reviewItem>
    <reviewItem>
      <errorID>da28c142-0327-442c-bef2-45c9a39634df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258CE2E9</paraID>
      <start>0</start>
      <end>2</end>
      <status>ignored</status>
      <modifiedWord/>
      <trackRevisions>false</trackRevisions>
    </reviewItem>
    <reviewItem>
      <errorID>89a7eb37-1bf2-410b-aba9-9a2fe89ff602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1E0E6510</paraID>
      <start>0</start>
      <end>2</end>
      <status>ignored</status>
      <modifiedWord/>
      <trackRevisions>false</trackRevisions>
    </reviewItem>
    <reviewItem>
      <errorID>8d8d5009-43e0-442e-af5d-27641f296ba2</errorID>
      <errorWord>临时用</errorWord>
      <group>L1_Word</group>
      <groupName>字词问题</groupName>
      <ability>L2_Typo</ability>
      <abilityName>字词错误</abilityName>
      <candidateList>
        <item>临时</item>
      </candidateList>
      <explain/>
      <paraID>2BBEC351</paraID>
      <start>97</start>
      <end>99</end>
      <status>modified</status>
      <modifiedWord>临时</modifiedWord>
      <trackRevisions>false</trackRevisions>
    </reviewItem>
    <reviewItem>
      <errorID>2388e044-c25f-48f1-a38f-ee7257e75bc7</errorID>
      <errorWord>防直</errorWord>
      <group>L1_Word</group>
      <groupName>字词问题</groupName>
      <ability>L2_Typo</ability>
      <abilityName>字词错误</abilityName>
      <candidateList>
        <item>防止</item>
      </candidateList>
      <explain>〈动〉预先设法制止（坏事发生）：～煤气中毒｜～交通事故。</explain>
      <paraID>42F19B60</paraID>
      <start>29</start>
      <end>31</end>
      <status>ignored</status>
      <modifiedWord/>
      <trackRevisions>false</trackRevisions>
    </reviewItem>
    <reviewItem>
      <errorID>830bcde9-4aac-4d3b-91a9-c1e5597d9e71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10C22A88</paraID>
      <start>0</start>
      <end>2</end>
      <status>ignored</status>
      <modifiedWord/>
      <trackRevisions>false</trackRevisions>
    </reviewItem>
    <reviewItem>
      <errorID>eb689020-4be7-454e-8ba4-d44644885866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6586E558</paraID>
      <start>0</start>
      <end>2</end>
      <status>ignored</status>
      <modifiedWord/>
      <trackRevisions>false</trackRevisions>
    </reviewItem>
    <reviewItem>
      <errorID>141dfd81-6b49-4faa-9765-46691a498a8d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29AFDBA2</paraID>
      <start>0</start>
      <end>2</end>
      <status>ignored</status>
      <modifiedWord/>
      <trackRevisions>false</trackRevisions>
    </reviewItem>
    <reviewItem>
      <errorID>c32d49dd-0f76-48f0-9a8e-d6e5d5a59830</errorID>
      <errorWord>西端</errorWord>
      <group>L1_Word</group>
      <groupName>字词问题</groupName>
      <ability>L2_Typo</ability>
      <abilityName>字词错误</abilityName>
      <candidateList>
        <item>底端</item>
      </candidateList>
      <explain>存在发音相近字词的误用。</explain>
      <paraID>146E82F2</paraID>
      <start>52</start>
      <end>54</end>
      <status>modified</status>
      <modifiedWord>底端</modifiedWord>
      <trackRevisions>false</trackRevisions>
    </reviewItem>
    <reviewItem>
      <errorID>077b0b97-d906-4036-9e8e-1747c614e006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13960BA6</paraID>
      <start>0</start>
      <end>2</end>
      <status>ignored</status>
      <modifiedWord/>
      <trackRevisions>false</trackRevisions>
    </reviewItem>
    <reviewItem>
      <errorID>c2e16b7c-30ef-43ad-b808-4531f1ed0532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10172E0F</paraID>
      <start>0</start>
      <end>2</end>
      <status>ignored</status>
      <modifiedWord/>
      <trackRevisions>false</trackRevisions>
    </reviewItem>
    <reviewItem>
      <errorID>58f22a35-af18-4c10-8add-50d6b6f9f808</errorID>
      <errorWord>应能</errorWord>
      <group>L1_Word</group>
      <groupName>字词问题</groupName>
      <ability>L2_Typo</ability>
      <abilityName>字词错误</abilityName>
      <candidateList>
        <item>应</item>
      </candidateList>
      <explain/>
      <paraID>48C85023</paraID>
      <start>25</start>
      <end>26</end>
      <status>modified</status>
      <modifiedWord>应</modifiedWord>
      <trackRevisions>false</trackRevisions>
    </reviewItem>
    <reviewItem>
      <errorID>12917117-1bb8-4923-ae64-2f6cfb5aea47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5D275222</paraID>
      <start>0</start>
      <end>2</end>
      <status>ignored</status>
      <modifiedWord/>
      <trackRevisions>false</trackRevisions>
    </reviewItem>
    <reviewItem>
      <errorID>b3825f2d-4b90-42a9-b345-b484fca8fa82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F351EC9</paraID>
      <start>0</start>
      <end>2</end>
      <status>ignored</status>
      <modifiedWord/>
      <trackRevisions>false</trackRevisions>
    </reviewItem>
    <reviewItem>
      <errorID>4ca68fde-32c5-40b7-80e6-bc5b874aa6ea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35E71648</paraID>
      <start>0</start>
      <end>2</end>
      <status>ignored</status>
      <modifiedWord/>
      <trackRevisions>false</trackRevisions>
    </reviewItem>
    <reviewItem>
      <errorID>905090a8-494e-48f2-9703-3cde9c4fcfe6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176660C</paraID>
      <start>0</start>
      <end>2</end>
      <status>ignored</status>
      <modifiedWord/>
      <trackRevisions>false</trackRevisions>
    </reviewItem>
    <reviewItem>
      <errorID>543e175a-604a-4d01-8a87-7c4920e3f59a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78C3CD5B</paraID>
      <start>0</start>
      <end>2</end>
      <status>ignored</status>
      <modifiedWord/>
      <trackRevisions>false</trackRevisions>
    </reviewItem>
    <reviewItem>
      <errorID>ff14eaa1-6e20-46b4-a405-3d0a0ec01f20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321A6FAB</paraID>
      <start>0</start>
      <end>2</end>
      <status>ignored</status>
      <modifiedWord/>
      <trackRevisions>false</trackRevisions>
    </reviewItem>
    <reviewItem>
      <errorID>e835cdda-ba53-4385-a609-8aa98753076f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39737971</paraID>
      <start>0</start>
      <end>2</end>
      <status>ignored</status>
      <modifiedWord/>
      <trackRevisions>false</trackRevisions>
    </reviewItem>
    <reviewItem>
      <errorID>acb04d9a-dd95-4fd1-a182-f422ef649ddc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725FE374</paraID>
      <start>0</start>
      <end>2</end>
      <status>ignored</status>
      <modifiedWord/>
      <trackRevisions>false</trackRevisions>
    </reviewItem>
    <reviewItem>
      <errorID>59991596-c90e-4ec8-8bed-fe18653df1fe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7424264B</paraID>
      <start>0</start>
      <end>2</end>
      <status>ignored</status>
      <modifiedWord/>
      <trackRevisions>false</trackRevisions>
    </reviewItem>
    <reviewItem>
      <errorID>1a46c19e-695a-43ee-a3b1-5f594abd72cf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7C035582</paraID>
      <start>0</start>
      <end>2</end>
      <status>ignored</status>
      <modifiedWord/>
      <trackRevisions>false</trackRevisions>
    </reviewItem>
    <reviewItem>
      <errorID>2090c3ec-d110-4373-8f2f-dab2b534d729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6A5BF736</paraID>
      <start>0</start>
      <end>2</end>
      <status>ignored</status>
      <modifiedWord/>
      <trackRevisions>false</trackRevisions>
    </reviewItem>
    <reviewItem>
      <errorID>bdbdc454-016f-40f5-9626-b6c7af4445b7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6FADBE87</paraID>
      <start>0</start>
      <end>2</end>
      <status>ignored</status>
      <modifiedWord/>
      <trackRevisions>false</trackRevisions>
    </reviewItem>
    <reviewItem>
      <errorID>2bd7d419-a3aa-4f6f-9a21-87a52ac4e8eb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57704E2E</paraID>
      <start>0</start>
      <end>2</end>
      <status>ignored</status>
      <modifiedWord/>
      <trackRevisions>false</trackRevisions>
    </reviewItem>
    <reviewItem>
      <errorID>16d3a290-c947-49d0-aadc-9fd3f274f844</errorID>
      <errorWord>辅助服务</errorWord>
      <group>L1_Knowledge</group>
      <groupName>知识性问题</groupName>
      <ability>L2_Term</ability>
      <abilityName>专业术语</abilityName>
      <candidateList>
        <item>自助服务</item>
      </candidateList>
      <explain/>
      <paraID>64409184</paraID>
      <start>15</start>
      <end>19</end>
      <status>ignored</status>
      <modifiedWord/>
      <trackRevisions>false</trackRevisions>
    </reviewItem>
    <reviewItem>
      <errorID>ae3c38a4-f552-44f4-adf8-ae198f5b332d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190D0DEE</paraID>
      <start>0</start>
      <end>2</end>
      <status>ignored</status>
      <modifiedWord/>
      <trackRevisions>false</trackRevisions>
    </reviewItem>
    <reviewItem>
      <errorID>549888d9-dc49-4ec4-b222-a1e801725cfa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2CDE0ED4</paraID>
      <start>0</start>
      <end>2</end>
      <status>ignored</status>
      <modifiedWord/>
      <trackRevisions>false</trackRevisions>
    </reviewItem>
    <reviewItem>
      <errorID>1c7a39fa-28da-4492-bb27-74277c427980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267B545D</paraID>
      <start>0</start>
      <end>2</end>
      <status>ignored</status>
      <modifiedWord/>
      <trackRevisions>false</trackRevisions>
    </reviewItem>
    <reviewItem>
      <errorID>e435c9c5-ad56-43a2-9f03-3bbdf56f2a80</errorID>
      <errorWord>置</errorWord>
      <group>L1_Word</group>
      <groupName>字词问题</groupName>
      <ability>L2_Typo</ability>
      <abilityName>字词错误</abilityName>
      <candidateList>
        <item>置在</item>
      </candidateList>
      <explain/>
      <paraID>19BAF7B3</paraID>
      <start>50</start>
      <end>52</end>
      <status>modified</status>
      <modifiedWord>置在</modifiedWord>
      <trackRevisions>false</trackRevisions>
    </reviewItem>
    <reviewItem>
      <errorID>5fb6c9a2-8b1a-4c9c-80e6-b9996c17f1c2</errorID>
      <errorWord>(</errorWord>
      <group>L1_Format</group>
      <groupName>格式问题</groupName>
      <ability>L2_HalfPunc</ability>
      <abilityName>全半角检查</abilityName>
      <candidateList>
        <item>（</item>
      </candidateList>
      <explain>文本全半角错误。</explain>
      <paraID>7CE275E3</paraID>
      <start>31</start>
      <end>32</end>
      <status>modified</status>
      <modifiedWord>（</modifiedWord>
      <trackRevisions>false</trackRevisions>
    </reviewItem>
    <reviewItem>
      <errorID>7a352ceb-ca0d-4b9f-8d1c-8f43ff3d5063</errorID>
      <errorWord>),</errorWord>
      <group>L1_Format</group>
      <groupName>格式问题</groupName>
      <ability>L2_HalfPunc</ability>
      <abilityName>全半角检查</abilityName>
      <candidateList>
        <item>），</item>
      </candidateList>
      <explain>文本全半角错误。</explain>
      <paraID>7CE275E3</paraID>
      <start>44</start>
      <end>46</end>
      <status>modified</status>
      <modifiedWord>），</modifiedWord>
      <trackRevisions>false</trackRevisions>
    </reviewItem>
    <reviewItem>
      <errorID>b6249b50-6d50-49ca-acee-1626f372b722</errorID>
      <errorWord>防水杂</errorWord>
      <group>L1_Word</group>
      <groupName>字词问题</groupName>
      <ability>L2_Typo</ability>
      <abilityName>字词错误</abilityName>
      <candidateList>
        <item>防水</item>
      </candidateList>
      <explain/>
      <paraID> 643892B</paraID>
      <start>50</start>
      <end>52</end>
      <status>modified</status>
      <modifiedWord>防水</modifiedWord>
      <trackRevisions>false</trackRevisions>
    </reviewItem>
    <reviewItem>
      <errorID>75196361-1fc7-4498-8b1b-be82389ac7f1</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160BBAD8</paraID>
      <start>0</start>
      <end>2</end>
      <status>modified</status>
      <modifiedWord>a）</modifiedWord>
      <trackRevisions>false</trackRevisions>
    </reviewItem>
    <reviewItem>
      <errorID>b7be4af1-44ec-4b52-8df5-4ea6b12e5892</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546AC536</paraID>
      <start>0</start>
      <end>2</end>
      <status>modified</status>
      <modifiedWord>b）</modifiedWord>
      <trackRevisions>false</trackRevisions>
    </reviewItem>
    <reviewItem>
      <errorID>17718b96-8c9e-4470-8bc4-db74b7374308</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4F202364</paraID>
      <start>0</start>
      <end>2</end>
      <status>modified</status>
      <modifiedWord>c）</modifiedWord>
      <trackRevisions>false</trackRevisions>
    </reviewItem>
    <reviewItem>
      <errorID>513986d0-3322-4425-9282-62bb053b8b79</errorID>
      <errorWord>人宜</errorWord>
      <group>L1_Word</group>
      <groupName>字词问题</groupName>
      <ability>L2_Typo</ability>
      <abilityName>字词错误</abilityName>
      <candidateList>
        <item>人员</item>
      </candidateList>
      <explain>〈名〉担任某种职务的人：机关工作～｜值班～｜～配备。</explain>
      <paraID>42BDB94C</paraID>
      <start>27</start>
      <end>29</end>
      <status>ignored</status>
      <modifiedWord/>
      <trackRevisions>false</trackRevisions>
    </reviewItem>
    <reviewItem>
      <errorID>8c3bb767-e376-49b1-8b5a-2cc3fd7c9709</errorID>
      <errorWord>进人</errorWord>
      <group>L1_Word</group>
      <groupName>字词问题</groupName>
      <ability>L2_Typo</ability>
      <abilityName>字词错误</abilityName>
      <candidateList>
        <item>进入</item>
      </candidateList>
      <explain>存在字形相近字词的误用。</explain>
      <paraID>6033EC4D</paraID>
      <start>105</start>
      <end>107</end>
      <status>modified</status>
      <modifiedWord>进入</modifiedWord>
      <trackRevisions>false</trackRevisions>
    </reviewItem>
    <reviewItem>
      <errorID>79d92a06-38af-4a97-8e6d-2677d012130c</errorID>
      <errorWord>清出</errorWord>
      <group>L1_Word</group>
      <groupName>字词问题</groupName>
      <ability>L2_Typo</ability>
      <abilityName>字词错误</abilityName>
      <candidateList>
        <item>清除</item>
      </candidateList>
      <explain>存在发音相同字词的误用。</explain>
      <paraID>46BE5288</paraID>
      <start>0</start>
      <end>2</end>
      <status>modified</status>
      <modifiedWord>清除</modifiedWord>
      <trackRevisions>false</trackRevisions>
    </reviewItem>
    <reviewItem>
      <errorID>b74a2bbb-311b-4c4f-b1c4-54908ed8abe1</errorID>
      <errorWord>依</errorWord>
      <group>L1_Word</group>
      <groupName>字词问题</groupName>
      <ability>L2_Typo</ability>
      <abilityName>字词错误</abilityName>
      <candidateList>
        <item>依照</item>
      </candidateList>
      <explain/>
      <paraID>1DCBE6E8</paraID>
      <start>13</start>
      <end>14</end>
      <status>ignored</status>
      <modifiedWord/>
      <trackRevisions>false</trackRevisions>
    </reviewItem>
    <reviewItem>
      <errorID>5b21d9b4-7dbd-4b55-b439-d34f8260216d</errorID>
      <errorWord>设</errorWord>
      <group>L1_Word</group>
      <groupName>字词问题</groupName>
      <ability>L2_Typo</ability>
      <abilityName>字词错误</abilityName>
      <candidateList>
        <item>设置</item>
      </candidateList>
      <explain>〈动〉❶设立：这座剧院是为儿童～的。❷安放；安装：～障碍。</explain>
      <paraID>6CD2BAE9</paraID>
      <start>4</start>
      <end>5</end>
      <status>ignored</status>
      <modifiedWord/>
      <trackRevisions>false</trackRevisions>
    </reviewItem>
    <reviewItem>
      <errorID>dad93609-081c-4724-82f0-8f86998ed84e</errorID>
      <errorWord>(</errorWord>
      <group>L1_Format</group>
      <groupName>格式问题</groupName>
      <ability>L2_HalfPunc</ability>
      <abilityName>全半角检查</abilityName>
      <candidateList>
        <item>（</item>
      </candidateList>
      <explain>文本全半角错误。</explain>
      <paraID> 9E0B045</paraID>
      <start>4</start>
      <end>5</end>
      <status>modified</status>
      <modifiedWord>（</modifiedWord>
      <trackRevisions>false</trackRevisions>
    </reviewItem>
    <reviewItem>
      <errorID>f7d1b261-219c-4a07-9811-74f03f75428a</errorID>
      <errorWord>)</errorWord>
      <group>L1_Format</group>
      <groupName>格式问题</groupName>
      <ability>L2_HalfPunc</ability>
      <abilityName>全半角检查</abilityName>
      <candidateList>
        <item>）</item>
      </candidateList>
      <explain>文本全半角错误。</explain>
      <paraID> 9E0B045</paraID>
      <start>11</start>
      <end>12</end>
      <status>modified</status>
      <modifiedWord>）</modifiedWord>
      <trackRevisions>false</trackRevisions>
    </reviewItem>
    <reviewItem>
      <errorID>7abe3983-b3ae-4c78-861d-17e8895316f3</errorID>
      <errorWord>(</errorWord>
      <group>L1_Format</group>
      <groupName>格式问题</groupName>
      <ability>L2_HalfPunc</ability>
      <abilityName>全半角检查</abilityName>
      <candidateList>
        <item>（</item>
      </candidateList>
      <explain>文本全半角错误。</explain>
      <paraID> 9E0B045</paraID>
      <start>29</start>
      <end>30</end>
      <status>modified</status>
      <modifiedWord>（</modifiedWord>
      <trackRevisions>false</trackRevisions>
    </reviewItem>
    <reviewItem>
      <errorID>e967ae68-18f2-442c-b5fc-608140be3f83</errorID>
      <errorWord>)</errorWord>
      <group>L1_Format</group>
      <groupName>格式问题</groupName>
      <ability>L2_HalfPunc</ability>
      <abilityName>全半角检查</abilityName>
      <candidateList>
        <item>）</item>
      </candidateList>
      <explain>文本全半角错误。</explain>
      <paraID> 9E0B045</paraID>
      <start>33</start>
      <end>34</end>
      <status>modified</status>
      <modifiedWord>）</modifiedWord>
      <trackRevisions>false</trackRevisions>
    </reviewItem>
    <reviewItem>
      <errorID>44def6e7-5159-41b9-bc64-93767b64dbe8</errorID>
      <errorWord>配电相</errorWord>
      <group>L1_Word</group>
      <groupName>字词问题</groupName>
      <ability>L2_Typo</ability>
      <abilityName>字词错误</abilityName>
      <candidateList>
        <item>配电箱</item>
      </candidateList>
      <explain>存在发音相同字词的误用。</explain>
      <paraID> FA535C9</paraID>
      <start>11</start>
      <end>14</end>
      <status>modified</status>
      <modifiedWord>配电箱</modifiedWord>
      <trackRevisions>false</trackRevisions>
    </reviewItem>
    <reviewItem>
      <errorID>961efa07-f19b-402e-a1a7-e033aaa24b15</errorID>
      <errorWord>符合有</errorWord>
      <group>L1_Word</group>
      <groupName>字词问题</groupName>
      <ability>L2_Typo</ability>
      <abilityName>字词错误</abilityName>
      <candidateList>
        <item>符合</item>
      </candidateList>
      <explain>〈动〉（数量、形状、情节等）相合：～事实｜这些产品不～质量标准。</explain>
      <paraID>74F26104</paraID>
      <start>15</start>
      <end>17</end>
      <status>modified</status>
      <modifiedWord>符合</modifiedWord>
      <trackRevisions>false</trackRevisions>
    </reviewItem>
    <reviewItem>
      <errorID>84be9690-8812-4400-a830-4364b7915274</errorID>
      <errorWord>）</errorWord>
      <group>L1_Word</group>
      <groupName>字词问题</groupName>
      <ability>L2_Typo</ability>
      <abilityName>字词错误</abilityName>
      <candidateList>
        <item>）和</item>
      </candidateList>
      <explain/>
      <paraID> 170EE1A</paraID>
      <start>48</start>
      <end>50</end>
      <status>modified</status>
      <modifiedWord>）和</modifiedWord>
      <trackRevisions>false</trackRevisions>
    </reviewItem>
    <reviewItem>
      <errorID>7c5f77b0-a94d-46d4-be8e-aa7dd3db3d4e</errorID>
      <errorWord>泄漏监测</errorWord>
      <group>L1_Knowledge</group>
      <groupName>知识性问题</groupName>
      <ability>L2_Term</ability>
      <abilityName>专业术语</abilityName>
      <candidateList>
        <item>泄漏检测</item>
      </candidateList>
      <explain/>
      <paraID>1A84DF42</paraID>
      <start>42</start>
      <end>46</end>
      <status>ignored</status>
      <modifiedWord/>
      <trackRevisions>false</trackRevisions>
    </reviewItem>
    <reviewItem>
      <errorID>330331e6-83bf-4e34-ad2a-7eb400410c95</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53C5E142</paraID>
      <start>9</start>
      <end>12</end>
      <status>modified</status>
      <modifiedWord>其他不</modifiedWord>
      <trackRevisions>false</trackRevisions>
    </reviewItem>
    <reviewItem>
      <errorID>de3d3965-115b-4bb4-95c2-d205f07be5da</errorID>
      <errorWord>汽油</errorWord>
      <group>L1_Word</group>
      <groupName>字词问题</groupName>
      <ability>L2_Typo</ability>
      <abilityName>字词错误</abilityName>
      <candidateList>
        <item>企业</item>
      </candidateList>
      <explain>〈名〉从事生产、运输、贸易等经济活动的部门，如工厂、矿山、铁路、公司等。</explain>
      <paraID>7E668DCC</paraID>
      <start>18</start>
      <end>20</end>
      <status>ignored</status>
      <modifiedWord/>
      <trackRevisions>false</trackRevisions>
    </reviewItem>
    <reviewItem>
      <errorID>c142961e-5316-43c0-abf0-6f5e1c25788a</errorID>
      <errorWord>(</errorWord>
      <group>L1_Format</group>
      <groupName>格式问题</groupName>
      <ability>L2_HalfPunc</ability>
      <abilityName>全半角检查</abilityName>
      <candidateList>
        <item>（</item>
      </candidateList>
      <explain>文本全半角错误。</explain>
      <paraID>67D73BCB</paraID>
      <start>25</start>
      <end>26</end>
      <status>modified</status>
      <modifiedWord>（</modifiedWord>
      <trackRevisions>false</trackRevisions>
    </reviewItem>
    <reviewItem>
      <errorID>b5348b20-f855-4909-98b7-37aceadb9afa</errorID>
      <errorWord>制定了</errorWord>
      <group>L1_Word</group>
      <groupName>字词问题</groupName>
      <ability>L2_Typo</ability>
      <abilityName>字词错误</abilityName>
      <candidateList>
        <item>制定</item>
      </candidateList>
      <explain>〈动〉定出（法律、规程、政策等）：～宪法｜～学会章程。</explain>
      <paraID>  1978D5</paraID>
      <start>20</start>
      <end>22</end>
      <status>modified</status>
      <modifiedWord>制定</modifiedWord>
      <trackRevisions>false</trackRevisions>
    </reviewItem>
    <reviewItem>
      <errorID>0f0f1306-6db7-4d5c-8f06-21b4d0613f59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6FE85BC4</paraID>
      <start>1</start>
      <end>6</end>
      <status>ignored</status>
      <modifiedWord/>
      <trackRevisions>false</trackRevisions>
    </reviewItem>
    <reviewItem>
      <errorID>850f6da5-48b2-4517-9d51-bf9cbb4aa905</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21E6CCA0</paraID>
      <start>1</start>
      <end>6</end>
      <status>ignored</status>
      <modifiedWord/>
      <trackRevisions>false</trackRevisions>
    </reviewItem>
    <reviewItem>
      <errorID>1d8909bc-8f86-44ad-bd42-f6c25aab0c69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392DD949</paraID>
      <start>1</start>
      <end>6</end>
      <status>ignored</status>
      <modifiedWord/>
      <trackRevisions>false</trackRevisions>
    </reviewItem>
    <reviewItem>
      <errorID>43096527-8910-44a1-ab08-d69d74b8d95a</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7D4D895C</paraID>
      <start>1</start>
      <end>6</end>
      <status>ignored</status>
      <modifiedWord/>
      <trackRevisions>false</trackRevisions>
    </reviewItem>
    <reviewItem>
      <errorID>3d02aa64-5629-49a3-a33c-c5cda6669cb3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A90985A</paraID>
      <start>1</start>
      <end>6</end>
      <status>ignored</status>
      <modifiedWord/>
      <trackRevisions>false</trackRevisions>
    </reviewItem>
    <reviewItem>
      <errorID>ab090b3b-46e9-4d5d-916c-d47794da02a9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2011CC63</paraID>
      <start>1</start>
      <end>6</end>
      <status>ignored</status>
      <modifiedWord/>
      <trackRevisions>false</trackRevisions>
    </reviewItem>
    <reviewItem>
      <errorID>084b3939-20fa-4322-8c2a-6e240759c6f6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5A149A73</paraID>
      <start>1</start>
      <end>6</end>
      <status>ignored</status>
      <modifiedWord/>
      <trackRevisions>false</trackRevisions>
    </reviewItem>
    <reviewItem>
      <errorID>38883408-cb0b-4432-a28c-4fcc7eb0cba2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1B284F55</paraID>
      <start>1</start>
      <end>6</end>
      <status>ignored</status>
      <modifiedWord/>
      <trackRevisions>false</trackRevisions>
    </reviewItem>
    <reviewItem>
      <errorID>c3b1e042-e737-40c4-9760-8966c272270f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139FA9B1</paraID>
      <start>1</start>
      <end>6</end>
      <status>ignored</status>
      <modifiedWord/>
      <trackRevisions>false</trackRevisions>
    </reviewItem>
    <reviewItem>
      <errorID>bc84a0dd-ec79-41a4-885f-d1eb737b7166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3D435917</paraID>
      <start>1</start>
      <end>6</end>
      <status>ignored</status>
      <modifiedWord/>
      <trackRevisions>false</trackRevisions>
    </reviewItem>
    <reviewItem>
      <errorID>70a11e67-e7e1-444d-9405-4c9546cc24c1</errorID>
      <errorWord>且</errorWord>
      <group>L1_Word</group>
      <groupName>字词问题</groupName>
      <ability>L2_Typo</ability>
      <abilityName>字词错误</abilityName>
      <candidateList>
        <item>且在</item>
      </candidateList>
      <explain/>
      <paraID>30279779</paraID>
      <start>43</start>
      <end>44</end>
      <status>ignored</status>
      <modifiedWord/>
      <trackRevisions>false</trackRevisions>
    </reviewItem>
    <reviewItem>
      <errorID>c07fe8ec-3c6a-4c2c-a4e5-b0fee7d7dd73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7A05986D</paraID>
      <start>1</start>
      <end>6</end>
      <status>ignored</status>
      <modifiedWord/>
      <trackRevisions>false</trackRevisions>
    </reviewItem>
    <reviewItem>
      <errorID>9cd77532-aa22-481d-b794-3dec920eb80d</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407D6C0A</paraID>
      <start>1</start>
      <end>6</end>
      <status>ignored</status>
      <modifiedWord/>
      <trackRevisions>false</trackRevisions>
    </reviewItem>
    <reviewItem>
      <errorID>20c243c0-e13b-4c87-adbd-94a994eae36b</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10F277C1</paraID>
      <start>1</start>
      <end>6</end>
      <status>ignored</status>
      <modifiedWord/>
      <trackRevisions>false</trackRevisions>
    </reviewItem>
    <reviewItem>
      <errorID>b7d42a59-ff96-4613-8157-51287e754157</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10926811</paraID>
      <start>1</start>
      <end>6</end>
      <status>ignored</status>
      <modifiedWord/>
      <trackRevisions>false</trackRevisions>
    </reviewItem>
    <reviewItem>
      <errorID>bc8a9898-af53-4018-ad01-c4b729917483</errorID>
      <errorWord>且</errorWord>
      <group>L1_Word</group>
      <groupName>字词问题</groupName>
      <ability>L2_Typo</ability>
      <abilityName>字词错误</abilityName>
      <candidateList>
        <item>且在</item>
      </candidateList>
      <explain/>
      <paraID>341B5F7C</paraID>
      <start>38</start>
      <end>39</end>
      <status>ignored</status>
      <modifiedWord/>
      <trackRevisions>false</trackRevisions>
    </reviewItem>
    <reviewItem>
      <errorID>01199e5e-b5fe-4f8b-90c5-16f2d6debdae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175AD0DB</paraID>
      <start>1</start>
      <end>6</end>
      <status>ignored</status>
      <modifiedWord/>
      <trackRevisions>false</trackRevisions>
    </reviewItem>
    <reviewItem>
      <errorID>d43c217a-c6e8-4335-be32-0915e2d9cae9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52858461</paraID>
      <start>1</start>
      <end>6</end>
      <status>ignored</status>
      <modifiedWord/>
      <trackRevisions>false</trackRevisions>
    </reviewItem>
    <reviewItem>
      <errorID>58e8d638-77ea-46f7-96e2-97168a501632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4082D83E</paraID>
      <start>1</start>
      <end>6</end>
      <status>ignored</status>
      <modifiedWord/>
      <trackRevisions>false</trackRevisions>
    </reviewItem>
    <reviewItem>
      <errorID>c4036b1d-7151-4ec6-8746-45be9b81beab</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7F4A2A3E</paraID>
      <start>1</start>
      <end>6</end>
      <status>ignored</status>
      <modifiedWord/>
      <trackRevisions>false</trackRevisions>
    </reviewItem>
    <reviewItem>
      <errorID>b527758f-d98a-42cf-acce-1c6d10d5a302</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33F78DEB</paraID>
      <start>1</start>
      <end>15</end>
      <status>ignored</status>
      <modifiedWord/>
      <trackRevisions>false</trackRevisions>
    </reviewItem>
    <reviewItem>
      <errorID>be94c9ef-20d0-4d62-bd80-a488e9a52c3c</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32831CB9</paraID>
      <start>1</start>
      <end>6</end>
      <status>ignored</status>
      <modifiedWord/>
      <trackRevisions>false</trackRevisions>
    </reviewItem>
    <reviewItem>
      <errorID>c8fc9bd4-c463-47dc-8dd9-c52b1780fb16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78F618B6</paraID>
      <start>1</start>
      <end>6</end>
      <status>ignored</status>
      <modifiedWord/>
      <trackRevisions>false</trackRevisions>
    </reviewItem>
    <reviewItem>
      <errorID>e49009bf-491f-4a1f-bdf5-802f87f7d1f3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4090EAAC</paraID>
      <start>1</start>
      <end>6</end>
      <status>ignored</status>
      <modifiedWord/>
      <trackRevisions>false</trackRevisions>
    </reviewItem>
    <reviewItem>
      <errorID>2d9077d2-dcee-487c-8390-03dc2c2c754e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448AA041</paraID>
      <start>1</start>
      <end>6</end>
      <status>ignored</status>
      <modifiedWord/>
      <trackRevisions>false</trackRevisions>
    </reviewItem>
    <reviewItem>
      <errorID>f5405a4e-de70-46a6-b1fd-3f29eac04fe8</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69ECA43C</paraID>
      <start>1</start>
      <end>6</end>
      <status>ignored</status>
      <modifiedWord/>
      <trackRevisions>false</trackRevisions>
    </reviewItem>
    <reviewItem>
      <errorID>9c610acc-7d70-4dc6-a8ac-2c3991bf9169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3C68728E</paraID>
      <start>1</start>
      <end>6</end>
      <status>ignored</status>
      <modifiedWord/>
      <trackRevisions>false</trackRevisions>
    </reviewItem>
    <reviewItem>
      <errorID>435424f7-70d3-4c5a-becf-dec72cd8c970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381BA166</paraID>
      <start>1</start>
      <end>6</end>
      <status>ignored</status>
      <modifiedWord/>
      <trackRevisions>false</trackRevisions>
    </reviewItem>
    <reviewItem>
      <errorID>bf49b22b-96ee-4e72-a915-a4688715aac5</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6E38BC9D</paraID>
      <start>1</start>
      <end>6</end>
      <status>ignored</status>
      <modifiedWord/>
      <trackRevisions>false</trackRevisions>
    </reviewItem>
    <reviewItem>
      <errorID>049dc104-2f07-4b3c-a157-cb0b31af6e10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15FE9AD5</paraID>
      <start>1</start>
      <end>6</end>
      <status>ignored</status>
      <modifiedWord/>
      <trackRevisions>false</trackRevisions>
    </reviewItem>
    <reviewItem>
      <errorID>0f45ec26-3de6-4577-a5ef-bd85426c88f3</errorID>
      <errorWord>且</errorWord>
      <group>L1_Word</group>
      <groupName>字词问题</groupName>
      <ability>L2_Typo</ability>
      <abilityName>字词错误</abilityName>
      <candidateList>
        <item>且在</item>
      </candidateList>
      <explain/>
      <paraID>146898FF</paraID>
      <start>31</start>
      <end>32</end>
      <status>ignored</status>
      <modifiedWord/>
      <trackRevisions>false</trackRevisions>
    </reviewItem>
    <reviewItem>
      <errorID>4e1650f7-711c-41b5-a1dc-240225d264f6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3A544F5</paraID>
      <start>1</start>
      <end>6</end>
      <status>ignored</status>
      <modifiedWord/>
      <trackRevisions>false</trackRevisions>
    </reviewItem>
    <reviewItem>
      <errorID>4bc902ee-00ee-4640-91e2-db959ee32202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593ABA28</paraID>
      <start>1</start>
      <end>6</end>
      <status>ignored</status>
      <modifiedWord/>
      <trackRevisions>false</trackRevisions>
    </reviewItem>
    <reviewItem>
      <errorID>504558e2-e2be-4096-af34-9cd1fe90fb00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44898187</paraID>
      <start>1</start>
      <end>6</end>
      <status>ignored</status>
      <modifiedWord/>
      <trackRevisions>false</trackRevisions>
    </reviewItem>
    <reviewItem>
      <errorID>f403795c-a80f-4060-a30b-4016188d30bf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66CEF886</paraID>
      <start>1</start>
      <end>6</end>
      <status>ignored</status>
      <modifiedWord/>
      <trackRevisions>false</trackRevisions>
    </reviewItem>
    <reviewItem>
      <errorID>3a205179-e9bd-4a0c-ae97-02cc982330cd</errorID>
      <errorWord>现场勘察</errorWord>
      <group>L1_Word</group>
      <groupName>字词问题</groupName>
      <ability>L2_Typo</ability>
      <abilityName>字词错误</abilityName>
      <candidateList>
        <item>现场勘查</item>
      </candidateList>
      <explain/>
      <paraID>1CBF3D4C</paraID>
      <start>0</start>
      <end>4</end>
      <status>modified</status>
      <modifiedWord>现场勘查</modifiedWord>
      <trackRevisions>false</trackRevisions>
    </reviewItem>
    <reviewItem>
      <errorID>3a94541d-401a-417f-9983-7e4247dfc62a</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664CD0FD</paraID>
      <start>1</start>
      <end>6</end>
      <status>ignored</status>
      <modifiedWord/>
      <trackRevisions>false</trackRevisions>
    </reviewItem>
    <reviewItem>
      <errorID>613aa620-c7e2-4c5f-b198-1fcd2164000e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60EA1688</paraID>
      <start>1</start>
      <end>6</end>
      <status>ignored</status>
      <modifiedWord/>
      <trackRevisions>false</trackRevisions>
    </reviewItem>
    <reviewItem>
      <errorID>7550e4a5-202f-4ad7-a6be-445f22700ab3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650E19E5</paraID>
      <start>1</start>
      <end>6</end>
      <status>ignored</status>
      <modifiedWord/>
      <trackRevisions>false</trackRevisions>
    </reviewItem>
    <reviewItem>
      <errorID>7165aaa5-3dd7-4172-ba22-d086f4b45a2f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4625455C</paraID>
      <start>1</start>
      <end>6</end>
      <status>ignored</status>
      <modifiedWord/>
      <trackRevisions>false</trackRevisions>
    </reviewItem>
    <reviewItem>
      <errorID>5b7aef24-08a1-484a-9604-bc7648002f7f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257C0990</paraID>
      <start>1</start>
      <end>6</end>
      <status>ignored</status>
      <modifiedWord/>
      <trackRevisions>false</trackRevisions>
    </reviewItem>
    <reviewItem>
      <errorID>87aea24a-0e3e-418a-ab2b-3efdf0bc8fd9</errorID>
      <errorWord>、</errorWord>
      <group>L1_Word</group>
      <groupName>字词问题</groupName>
      <ability>L2_Typo</ability>
      <abilityName>字词错误</abilityName>
      <candidateList>
        <item>、第</item>
      </candidateList>
      <explain/>
      <paraID>1B8D2464</paraID>
      <start>34</start>
      <end>36</end>
      <status>modified</status>
      <modifiedWord>、第</modifiedWord>
      <trackRevisions>false</trackRevisions>
    </reviewItem>
    <reviewItem>
      <errorID>ed99c4d1-1ff6-4b81-af4c-33bf6ecd60de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E173D0E</paraID>
      <start>1</start>
      <end>6</end>
      <status>ignored</status>
      <modifiedWord/>
      <trackRevisions>false</trackRevisions>
    </reviewItem>
    <reviewItem>
      <errorID>99766fbd-e2b5-41df-8e87-abba4b4737f9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2C5DFF0E</paraID>
      <start>1</start>
      <end>6</end>
      <status>ignored</status>
      <modifiedWord/>
      <trackRevisions>false</trackRevisions>
    </reviewItem>
    <reviewItem>
      <errorID>4e0faa26-6109-431f-a527-cca805a17bec</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13D27140</paraID>
      <start>1</start>
      <end>6</end>
      <status>ignored</status>
      <modifiedWord/>
      <trackRevisions>false</trackRevisions>
    </reviewItem>
    <reviewItem>
      <errorID>c966b1bf-19a9-44ac-9ea4-8e52b8b44f50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4969B432</paraID>
      <start>1</start>
      <end>6</end>
      <status>ignored</status>
      <modifiedWord/>
      <trackRevisions>false</trackRevisions>
    </reviewItem>
    <reviewItem>
      <errorID>097756c3-df84-4d58-9bf8-d11285207034</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9DB6BEF</paraID>
      <start>1</start>
      <end>6</end>
      <status>ignored</status>
      <modifiedWord/>
      <trackRevisions>false</trackRevisions>
    </reviewItem>
    <reviewItem>
      <errorID>1f520c77-6b5a-4a47-ba23-fff7f6044e58</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62160525</paraID>
      <start>1</start>
      <end>6</end>
      <status>ignored</status>
      <modifiedWord/>
      <trackRevisions>false</trackRevisions>
    </reviewItem>
    <reviewItem>
      <errorID>e186adbf-1210-4cfe-8d6f-405fcf30a722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419687EF</paraID>
      <start>1</start>
      <end>6</end>
      <status>ignored</status>
      <modifiedWord/>
      <trackRevisions>false</trackRevisions>
    </reviewItem>
    <reviewItem>
      <errorID>c03e9ef2-9adb-4993-8b17-03395128e539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650C4A21</paraID>
      <start>1</start>
      <end>6</end>
      <status>ignored</status>
      <modifiedWord/>
      <trackRevisions>false</trackRevisions>
    </reviewItem>
    <reviewItem>
      <errorID>aff5028b-f4b6-4339-ac9d-63a6b117f667</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52F69CFD</paraID>
      <start>1</start>
      <end>6</end>
      <status>ignored</status>
      <modifiedWord/>
      <trackRevisions>false</trackRevisions>
    </reviewItem>
    <reviewItem>
      <errorID>fbe384d6-f950-46b3-8e47-756b62fcd1f3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7CEE6C03</paraID>
      <start>1</start>
      <end>6</end>
      <status>ignored</status>
      <modifiedWord/>
      <trackRevisions>false</trackRevisions>
    </reviewItem>
    <reviewItem>
      <errorID>9da13e9f-b4ce-4afc-9d68-207652a02053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15703A43</paraID>
      <start>1</start>
      <end>6</end>
      <status>ignored</status>
      <modifiedWord/>
      <trackRevisions>false</trackRevisions>
    </reviewItem>
    <reviewItem>
      <errorID>7d2295c2-3539-4fb8-abbd-5aa2f727a25a</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72C59028</paraID>
      <start>1</start>
      <end>6</end>
      <status>ignored</status>
      <modifiedWord/>
      <trackRevisions>false</trackRevisions>
    </reviewItem>
    <reviewItem>
      <errorID>7804ed03-c178-4e5e-8681-1c95cf5f605c</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70FE70BE</paraID>
      <start>1</start>
      <end>6</end>
      <status>ignored</status>
      <modifiedWord/>
      <trackRevisions>false</trackRevisions>
    </reviewItem>
    <reviewItem>
      <errorID>f0a4eef6-b695-493d-9c6c-33e8c7136602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42989ED9</paraID>
      <start>1</start>
      <end>6</end>
      <status>ignored</status>
      <modifiedWord/>
      <trackRevisions>false</trackRevisions>
    </reviewItem>
    <reviewItem>
      <errorID>0d2ec980-6620-4abb-bc22-ea82aa7dea77</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25406E4C</paraID>
      <start>3</start>
      <end>17</end>
      <status>ignored</status>
      <modifiedWord/>
      <trackRevisions>false</trackRevisions>
    </reviewItem>
    <reviewItem>
      <errorID>31c4ccfc-6f7e-415a-89e8-ee4391579e20</errorID>
      <errorWord>法律、法规</errorWord>
      <group>L1_Word</group>
      <groupName>字词问题</groupName>
      <ability>L2_Typo</ability>
      <abilityName>字词错误</abilityName>
      <candidateList>
        <item>法律法规</item>
      </candidateList>
      <explain/>
      <paraID>24947EAF</paraID>
      <start>3</start>
      <end>8</end>
      <status>ignored</status>
      <modifiedWord/>
      <trackRevisions>false</trackRevisions>
    </reviewItem>
    <reviewItem>
      <errorID>763bd4e9-08b8-4fdd-ad1c-111941d46e5d</errorID>
      <errorWord>程</errorWord>
      <group>L1_Word</group>
      <groupName>字词问题</groupName>
      <ability>L2_Typo</ability>
      <abilityName>字词错误</abilityName>
      <candidateList>
        <item>程中</item>
      </candidateList>
      <explain/>
      <paraID>61D55316</paraID>
      <start>9</start>
      <end>10</end>
      <status>ignored</status>
      <modifiedWord/>
      <trackRevisions>false</trackRevisions>
    </reviewItem>
    <reviewItem>
      <errorID>292f8309-cf54-45ee-b549-4f1f8af55b20</errorID>
      <errorWord>规</errorWord>
      <group>L1_Word</group>
      <groupName>字词问题</groupName>
      <ability>L2_Typo</ability>
      <abilityName>字词错误</abilityName>
      <candidateList>
        <item>规定</item>
      </candidateList>
      <explain>❶〈动〉对某一事物做出关于方式、方法或数量、质量的决定：～产品的质量标准｜不得超过～的日期。❷〈名〉所规定的内容：关于下岗职工的安排问题，上级已经有了新的～。</explain>
      <paraID> A1084F1</paraID>
      <start>27</start>
      <end>28</end>
      <status>ignored</status>
      <modifiedWord/>
      <trackRevisions>false</trackRevisions>
    </reviewItem>
    <reviewItem>
      <errorID>3def0cb1-037a-49c3-b160-e461579041ac</errorID>
      <errorWord>钢制</errorWord>
      <group>L1_Word</group>
      <groupName>字词问题</groupName>
      <ability>L2_Typo</ability>
      <abilityName>字词错误</abilityName>
      <candidateList>
        <item>钢质</item>
      </candidateList>
      <explain/>
      <paraID>7C53DFD6</paraID>
      <start>25</start>
      <end>27</end>
      <status>ignored</status>
      <modifiedWord/>
      <trackRevisions>false</trackRevisions>
    </reviewItem>
    <reviewItem>
      <errorID>be5fecd8-4529-4ebb-bdcd-1c33c6b9903b</errorID>
      <errorWord>是</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3ADB10D3</paraID>
      <start>89</start>
      <end>90</end>
      <status>modified</status>
      <modifiedWord>时</modifiedWord>
      <trackRevisions>false</trackRevisions>
    </reviewItem>
    <reviewItem>
      <errorID>8075e8f4-7f7e-4120-a2b5-45def06887f3</errorID>
      <errorWord>做静电接地</errorWord>
      <group>L1_Knowledge</group>
      <groupName>知识性问题</groupName>
      <ability>L2_Term</ability>
      <abilityName>专业术语</abilityName>
      <candidateList>
        <item>防静电接地</item>
      </candidateList>
      <explain/>
      <paraID>71609086</paraID>
      <start>85</start>
      <end>90</end>
      <status>modified</status>
      <modifiedWord>防静电接地</modifiedWord>
      <trackRevisions>false</trackRevisions>
    </reviewItem>
    <reviewItem>
      <errorID>6b4e470c-c300-49e8-b4a4-767168707c74</errorID>
      <errorWord>相联</errorWord>
      <group>L1_Word</group>
      <groupName>字词问题</groupName>
      <ability>L2_Typo</ability>
      <abilityName>字词错误</abilityName>
      <candidateList>
        <item>相连</item>
      </candidateList>
      <explain>存在发音相同字词的误用。</explain>
      <paraID>71609086</paraID>
      <start>96</start>
      <end>98</end>
      <status>modified</status>
      <modifiedWord>相连</modifiedWord>
      <trackRevisions>false</trackRevisions>
    </reviewItem>
    <reviewItem>
      <errorID>585c14cc-b795-4d5c-b814-9bdc7cc95843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543A2E96</paraID>
      <start>3</start>
      <end>4</end>
      <status>ignored</status>
      <modifiedWord/>
      <trackRevisions>false</trackRevisions>
    </reviewItem>
    <reviewItem>
      <errorID>9bcee3ad-129b-4dc4-9db1-735a3eb837de</errorID>
      <errorWord>(</errorWord>
      <group>L1_Format</group>
      <groupName>格式问题</groupName>
      <ability>L2_HalfPunc</ability>
      <abilityName>全半角检查</abilityName>
      <candidateList>
        <item>（</item>
      </candidateList>
      <explain>文本全半角错误。</explain>
      <paraID>6388B93F</paraID>
      <start>17</start>
      <end>18</end>
      <status>modified</status>
      <modifiedWord>（</modifiedWord>
      <trackRevisions>false</trackRevisions>
    </reviewItem>
    <reviewItem>
      <errorID>bb31770d-769d-40b7-91a2-8e5a28a0fa08</errorID>
      <errorWord>)</errorWord>
      <group>L1_Format</group>
      <groupName>格式问题</groupName>
      <ability>L2_HalfPunc</ability>
      <abilityName>全半角检查</abilityName>
      <candidateList>
        <item>）</item>
      </candidateList>
      <explain>文本全半角错误。</explain>
      <paraID>6388B93F</paraID>
      <start>19</start>
      <end>20</end>
      <status>modified</status>
      <modifiedWord>）</modifiedWord>
      <trackRevisions>false</trackRevisions>
    </reviewItem>
    <reviewItem>
      <errorID>2f4a3339-646b-455b-b823-e595ed13430c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2DC0C20B</paraID>
      <start>26</start>
      <end>27</end>
      <status>ignored</status>
      <modifiedWord/>
      <trackRevisions>false</trackRevisions>
    </reviewItem>
    <reviewItem>
      <errorID>a33399d7-756f-466e-8643-751b3f9dc357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2DC0C20B</paraID>
      <start>55</start>
      <end>56</end>
      <status>ignored</status>
      <modifiedWord/>
      <trackRevisions>false</trackRevisions>
    </reviewItem>
    <reviewItem>
      <errorID>d3135be8-97a0-4f9c-92e1-1f436f31665b</errorID>
      <errorWord>油气加</errorWord>
      <group>L1_Word</group>
      <groupName>字词问题</groupName>
      <ability>L2_Typo</ability>
      <abilityName>字词错误</abilityName>
      <candidateList>
        <item>油气</item>
      </candidateList>
      <explain/>
      <paraID>5306FD3C</paraID>
      <start>15</start>
      <end>17</end>
      <status>modified</status>
      <modifiedWord>油气</modifiedWord>
      <trackRevisions>false</trackRevisions>
    </reviewItem>
    <reviewItem>
      <errorID>2f583bea-eac3-49f0-b968-e1226acd4309</errorID>
      <errorWord>，</errorWord>
      <group>L1_Word</group>
      <groupName>字词问题</groupName>
      <ability>L2_Typo</ability>
      <abilityName>字词错误</abilityName>
      <candidateList>
        <item>，在</item>
      </candidateList>
      <explain/>
      <paraID> 65FA38E</paraID>
      <start>36</start>
      <end>38</end>
      <status>modified</status>
      <modifiedWord>，在</modifiedWord>
      <trackRevisions>false</trackRevisions>
    </reviewItem>
    <reviewItem>
      <errorID>9a40b76c-abe0-4b96-b198-0a76148662cf</errorID>
      <errorWord>周知</errorWord>
      <group>L1_Word</group>
      <groupName>字词问题</groupName>
      <ability>L2_Typo</ability>
      <abilityName>字词错误</abilityName>
      <candidateList>
        <item>告知</item>
      </candidateList>
      <explain>〈动〉告诉使知道：把通信地址～在京的同学。</explain>
      <paraID> 97DB142</paraID>
      <start>46</start>
      <end>48</end>
      <status>ignored</status>
      <modifiedWord/>
      <trackRevisions>false</trackRevisions>
    </reviewItem>
    <reviewItem>
      <errorID>609ae72b-b07c-484e-921d-9fa35055dc24</errorID>
      <errorWord>表示出</errorWord>
      <group>L1_Word</group>
      <groupName>字词问题</groupName>
      <ability>L2_Typo</ability>
      <abilityName>字词错误</abilityName>
      <candidateList>
        <item>表示</item>
      </candidateList>
      <explain/>
      <paraID>50BB5696</paraID>
      <start>52</start>
      <end>55</end>
      <status>ignored</status>
      <modifiedWord/>
      <trackRevisions>false</trackRevisions>
    </reviewItem>
    <reviewItem>
      <errorID>0ad40063-b866-4649-bb9a-0f85c38fc91c</errorID>
      <errorWord>另一根</errorWord>
      <group>L1_Knowledge</group>
      <groupName>知识性问题</groupName>
      <ability>L2_Knowledge</ability>
      <abilityName>其他知识</abilityName>
      <candidateList>
        <item>另一侧</item>
      </candidateList>
      <explain/>
      <paraID>22F22606</paraID>
      <start>86</start>
      <end>89</end>
      <status>ignored</status>
      <modifiedWord/>
      <trackRevisions>false</trackRevisions>
    </reviewItem>
    <reviewItem>
      <errorID>0de75b3f-6e2d-499b-8880-cc31065f59bf</errorID>
      <errorWord>，</errorWord>
      <group>L1_Word</group>
      <groupName>字词问题</groupName>
      <ability>L2_Typo</ability>
      <abilityName>字词错误</abilityName>
      <candidateList>
        <item>，有</item>
      </candidateList>
      <explain/>
      <paraID>3B61FA58</paraID>
      <start>20</start>
      <end>21</end>
      <status>ignored</status>
      <modifiedWord/>
      <trackRevisions>false</trackRevisions>
    </reviewItem>
    <reviewItem>
      <errorID>4ded7940-b08d-4d09-bd37-babb48384055</errorID>
      <errorWord>设置设</errorWord>
      <group>L1_Word</group>
      <groupName>字词问题</groupName>
      <ability>L2_Typo</ability>
      <abilityName>字词错误</abilityName>
      <candidateList>
        <item>设置</item>
      </candidateList>
      <explain>〈动〉❶设立：这座剧院是为儿童～的。❷安放；安装：～障碍。</explain>
      <paraID> 4FDA4EE</paraID>
      <start>136</start>
      <end>138</end>
      <status>modified</status>
      <modifiedWord>设置</modifiedWord>
      <trackRevisions>false</trackRevisions>
    </reviewItem>
    <reviewItem>
      <errorID>314c2c81-0f90-4a26-81cd-9875d4bc7b2c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7427DFD6</paraID>
      <start>0</start>
      <end>2</end>
      <status>ignored</status>
      <modifiedWord/>
      <trackRevisions>false</trackRevisions>
    </reviewItem>
    <reviewItem>
      <errorID>a3703eac-1e04-4ab6-b7ce-127a1520a0b8</errorID>
      <errorWord>监测</errorWord>
      <group>L1_Word</group>
      <groupName>字词问题</groupName>
      <ability>L2_Typo</ability>
      <abilityName>字词错误</abilityName>
      <candidateList>
        <item>检测</item>
      </candidateList>
      <explain/>
      <paraID>12041633</paraID>
      <start>15</start>
      <end>17</end>
      <status>ignored</status>
      <modifiedWord/>
      <trackRevisions>false</trackRevisions>
    </reviewItem>
    <reviewItem>
      <errorID>67e701c5-09b7-4c9a-8ed0-289743bf3d7f</errorID>
      <errorWord>抱带</errorWord>
      <group>L1_Word</group>
      <groupName>字词问题</groupName>
      <ability>L2_Typo</ability>
      <abilityName>字词错误</abilityName>
      <candidateList>
        <item>包带</item>
      </candidateList>
      <explain/>
      <paraID>7CE5414D</paraID>
      <start>55</start>
      <end>57</end>
      <status>ignored</status>
      <modifiedWord/>
      <trackRevisions>false</trackRevisions>
    </reviewItem>
    <reviewItem>
      <errorID>3003bade-1125-4f96-9e10-1a250e7303ff</errorID>
      <errorWord>过渡连接</errorWord>
      <group>L1_Knowledge</group>
      <groupName>知识性问题</groupName>
      <ability>L2_Term</ability>
      <abilityName>专业术语</abilityName>
      <candidateList>
        <item>过盈连接</item>
      </candidateList>
      <explain/>
      <paraID>2B01FC56</paraID>
      <start>27</start>
      <end>31</end>
      <status>ignored</status>
      <modifiedWord/>
      <trackRevisions>false</trackRevisions>
    </reviewItem>
    <reviewItem>
      <errorID>eb14d7e7-8512-45b2-9a76-349f2b8a5def</errorID>
      <errorWord>检测仪</errorWord>
      <group>L1_Word</group>
      <groupName>字词问题</groupName>
      <ability>L2_Typo</ability>
      <abilityName>字词错误</abilityName>
      <candidateList>
        <item>监测仪</item>
      </candidateList>
      <explain/>
      <paraID>1FB93396</paraID>
      <start>20</start>
      <end>23</end>
      <status>ignored</status>
      <modifiedWord/>
      <trackRevisions>false</trackRevisions>
    </reviewItem>
    <reviewItem>
      <errorID>11e571d3-b6b9-4d64-83aa-55b0e3ee0fae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5280BAC1</paraID>
      <start>0</start>
      <end>2</end>
      <status>ignored</status>
      <modifiedWord/>
      <trackRevisions>false</trackRevisions>
    </reviewItem>
    <reviewItem>
      <errorID>08afda9f-b698-4125-ad81-6878646181aa</errorID>
      <errorWord>做静电接地</errorWord>
      <group>L1_Knowledge</group>
      <groupName>知识性问题</groupName>
      <ability>L2_Term</ability>
      <abilityName>专业术语</abilityName>
      <candidateList>
        <item>防静电接地</item>
      </candidateList>
      <explain/>
      <paraID>2EFF5F00</paraID>
      <start>20</start>
      <end>25</end>
      <status>modified</status>
      <modifiedWord>防静电接地</modifiedWord>
      <trackRevisions>false</trackRevisions>
    </reviewItem>
    <reviewItem>
      <errorID>cab40862-bb48-42ea-9afb-338fafe6130b</errorID>
      <errorWord>相联</errorWord>
      <group>L1_Word</group>
      <groupName>字词问题</groupName>
      <ability>L2_Typo</ability>
      <abilityName>字词错误</abilityName>
      <candidateList>
        <item>相连</item>
      </candidateList>
      <explain>存在发音相同字词的误用。</explain>
      <paraID>2EFF5F00</paraID>
      <start>31</start>
      <end>33</end>
      <status>modified</status>
      <modifiedWord>相连</modifiedWord>
      <trackRevisions>false</trackRevisions>
    </reviewItem>
    <reviewItem>
      <errorID>ae40f57c-4823-4fdf-ad1a-256871834680</errorID>
      <errorWord>置</errorWord>
      <group>L1_Word</group>
      <groupName>字词问题</groupName>
      <ability>L2_Typo</ability>
      <abilityName>字词错误</abilityName>
      <candidateList>
        <item>置在</item>
      </candidateList>
      <explain/>
      <paraID>186CC0D0</paraID>
      <start>6</start>
      <end>8</end>
      <status>modified</status>
      <modifiedWord>置在</modifiedWord>
      <trackRevisions>false</trackRevisions>
    </reviewItem>
    <reviewItem>
      <errorID>608ab7bd-41fc-44b2-acfe-4eb7467b46c4</errorID>
      <errorWord>,</errorWord>
      <group>L1_Format</group>
      <groupName>格式问题</groupName>
      <ability>L2_HalfPunc</ability>
      <abilityName>全半角检查</abilityName>
      <candidateList>
        <item>，</item>
      </candidateList>
      <explain>文本全半角错误。</explain>
      <paraID>591A54FD</paraID>
      <start>21</start>
      <end>22</end>
      <status>modified</status>
      <modifiedWord>，</modifiedWord>
      <trackRevisions>false</trackRevisions>
    </reviewItem>
    <reviewItem>
      <errorID>2f118064-3119-47f0-b8e6-bcc3a39ec0d1</errorID>
      <errorWord>电器设备</errorWord>
      <group>L1_Word</group>
      <groupName>字词问题</groupName>
      <ability>L2_Typo</ability>
      <abilityName>字词错误</abilityName>
      <candidateList>
        <item>电气设备</item>
      </candidateList>
      <explain/>
      <paraID>3BBB8A6D</paraID>
      <start>7</start>
      <end>11</end>
      <status>ignored</status>
      <modifiedWord/>
      <trackRevisions>false</trackRevisions>
    </reviewItem>
    <reviewItem>
      <errorID>427db255-d32c-44cf-9307-15bf0a8c3d4f</errorID>
      <errorWord>“</errorWord>
      <group>L1_Punc</group>
      <groupName>标点问题</groupName>
      <ability>L2_Punc</ability>
      <abilityName>标点符号检查</abilityName>
      <candidateList/>
      <explain/>
      <paraID>3BBB8A6D</paraID>
      <start>22</start>
      <end>23</end>
      <status>ignored</status>
      <modifiedWord/>
      <trackRevisions>false</trackRevisions>
    </reviewItem>
    <reviewItem>
      <errorID>4364cad8-bbf9-4c40-9ddd-421ec96f3532</errorID>
      <errorWord>"</errorWord>
      <group>L1_Format</group>
      <groupName>格式问题</groupName>
      <ability>L2_HalfPunc</ability>
      <abilityName>全半角检查</abilityName>
      <candidateList>
        <item>”</item>
      </candidateList>
      <explain>文本全半角错误。</explain>
      <paraID>3BBB8A6D</paraID>
      <start>32</start>
      <end>33</end>
      <status>modified</status>
      <modifiedWord>”</modifiedWord>
      <trackRevisions>false</trackRevisions>
    </reviewItem>
    <reviewItem>
      <errorID>2e1c387e-bf48-45dd-a8a5-62ec6cc2bd98</errorID>
      <errorWord>,</errorWord>
      <group>L1_Format</group>
      <groupName>格式问题</groupName>
      <ability>L2_HalfPunc</ability>
      <abilityName>全半角检查</abilityName>
      <candidateList>
        <item>，</item>
      </candidateList>
      <explain>文本全半角错误。</explain>
      <paraID>7A640A43</paraID>
      <start>15</start>
      <end>16</end>
      <status>modified</status>
      <modifiedWord>，</modifiedWord>
      <trackRevisions>false</trackRevisions>
    </reviewItem>
    <reviewItem>
      <errorID>99819d7c-f92f-4513-8c41-32bfae428812</errorID>
      <errorWord>充沙</errorWord>
      <group>L1_Word</group>
      <groupName>字词问题</groupName>
      <ability>L2_Typo</ability>
      <abilityName>字词错误</abilityName>
      <candidateList>
        <item>冲砂</item>
      </candidateList>
      <explain/>
      <paraID>5300A351</paraID>
      <start>0</start>
      <end>2</end>
      <status>modified</status>
      <modifiedWord>冲砂</modifiedWord>
      <trackRevisions>false</trackRevisions>
    </reviewItem>
    <reviewItem>
      <errorID>cd62ffab-c233-4033-865f-04c7c91b96b3</errorID>
      <errorWord>检测仪</errorWord>
      <group>L1_Word</group>
      <groupName>字词问题</groupName>
      <ability>L2_Typo</ability>
      <abilityName>字词错误</abilityName>
      <candidateList>
        <item>监测仪</item>
      </candidateList>
      <explain/>
      <paraID>62188813</paraID>
      <start>52</start>
      <end>55</end>
      <status>ignored</status>
      <modifiedWord/>
      <trackRevisions>false</trackRevisions>
    </reviewItem>
    <reviewItem>
      <errorID>046a80d9-1a41-4890-a182-0d3baa813ae2</errorID>
      <errorWord>检测仪</errorWord>
      <group>L1_Word</group>
      <groupName>字词问题</groupName>
      <ability>L2_Typo</ability>
      <abilityName>字词错误</abilityName>
      <candidateList>
        <item>监测仪</item>
      </candidateList>
      <explain/>
      <paraID>7DB83436</paraID>
      <start>12</start>
      <end>15</end>
      <status>ignored</status>
      <modifiedWord/>
      <trackRevisions>false</trackRevisions>
    </reviewItem>
    <reviewItem>
      <errorID>2d275a57-2ebf-4bb9-866d-c9bcf264f210</errorID>
      <errorWord>液位监测仪</errorWord>
      <group>L1_Word</group>
      <groupName>字词问题</groupName>
      <ability>L2_Typo</ability>
      <abilityName>字词错误</abilityName>
      <candidateList>
        <item>液位检测仪</item>
      </candidateList>
      <explain/>
      <paraID>7DB83436</paraID>
      <start>125</start>
      <end>130</end>
      <status>ignored</status>
      <modifiedWord/>
      <trackRevisions>false</trackRevisions>
    </reviewItem>
    <reviewItem>
      <errorID>ceb6eea3-5f2e-489b-b96e-72b825741eb9</errorID>
      <errorWord>检测仪</errorWord>
      <group>L1_Word</group>
      <groupName>字词问题</groupName>
      <ability>L2_Typo</ability>
      <abilityName>字词错误</abilityName>
      <candidateList>
        <item>监测仪</item>
      </candidateList>
      <explain/>
      <paraID>7DB83436</paraID>
      <start>135</start>
      <end>138</end>
      <status>ignored</status>
      <modifiedWord/>
      <trackRevisions>false</trackRevisions>
    </reviewItem>
    <reviewItem>
      <errorID>8c799ded-bffa-427d-94e1-9d8480a7bbc1</errorID>
      <errorWord>受</errorWord>
      <group>L1_Word</group>
      <groupName>字词问题</groupName>
      <ability>L2_Typo</ability>
      <abilityName>字词错误</abilityName>
      <candidateList>
        <item>受到</item>
      </candidateList>
      <explain/>
      <paraID>2B347AFD</paraID>
      <start>23</start>
      <end>24</end>
      <status>ignored</status>
      <modifiedWord/>
      <trackRevisions>false</trackRevisions>
    </reviewItem>
    <reviewItem>
      <errorID>9bf729d7-3e41-4a19-a16b-8b59f5236c2b</errorID>
      <errorWord>仪</errorWord>
      <group>L1_Word</group>
      <groupName>字词问题</groupName>
      <ability>L2_Typo</ability>
      <abilityName>字词错误</abilityName>
      <candidateList>
        <item>仪将</item>
      </candidateList>
      <explain/>
      <paraID> 9979943</paraID>
      <start>17</start>
      <end>19</end>
      <status>modified</status>
      <modifiedWord>仪将</modifiedWord>
      <trackRevisions>false</trackRevisions>
    </reviewItem>
    <reviewItem>
      <errorID>258c6640-735a-49f0-b6c6-a15e6d4f1081</errorID>
      <errorWord>所在地</errorWord>
      <group>L1_Word</group>
      <groupName>字词问题</groupName>
      <ability>L2_Typo</ability>
      <abilityName>字词错误</abilityName>
      <candidateList>
        <item>所在</item>
      </candidateList>
      <explain/>
      <paraID>2D7F899E</paraID>
      <start>6</start>
      <end>8</end>
      <status>modified</status>
      <modifiedWord>所在</modifiedWord>
      <trackRevisions>false</trackRevisions>
    </reviewItem>
    <reviewItem>
      <errorID>357e749b-0007-4204-bbdb-8468d2d7d140</errorID>
      <errorWord>噪音</errorWord>
      <group>L1_Word</group>
      <groupName>字词问题</groupName>
      <ability>L2_Alias</ability>
      <abilityName>也作/曾用词</abilityName>
      <candidateList>
        <item>噪声</item>
      </candidateList>
      <explain>词汇[噪音]为不规范表述或旧称，其规范书面表述为[噪声]。</explain>
      <paraID> 7A7A114</paraID>
      <start>6</start>
      <end>8</end>
      <status>ignored</status>
      <modifiedWord/>
      <trackRevisions>false</trackRevisions>
    </reviewItem>
    <reviewItem>
      <errorID>4e327e1a-7e73-4ad1-b67b-aea621f5f35c</errorID>
      <errorWord>噪音</errorWord>
      <group>L1_Word</group>
      <groupName>字词问题</groupName>
      <ability>L2_Alias</ability>
      <abilityName>也作/曾用词</abilityName>
      <candidateList>
        <item>噪声</item>
      </candidateList>
      <explain>词汇[噪音]为不规范表述或旧称，其规范书面表述为[噪声]。</explain>
      <paraID>2C29978D</paraID>
      <start>3</start>
      <end>5</end>
      <status>ignored</status>
      <modifiedWord/>
      <trackRevisions>false</trackRevisions>
    </reviewItem>
    <reviewItem>
      <errorID>1bd32d2a-be54-4819-9d8f-f3fcde69029a</errorID>
      <errorWord>噪音</errorWord>
      <group>L1_Word</group>
      <groupName>字词问题</groupName>
      <ability>L2_Alias</ability>
      <abilityName>也作/曾用词</abilityName>
      <candidateList>
        <item>噪声</item>
      </candidateList>
      <explain>词汇[噪音]为不规范表述或旧称，其规范书面表述为[噪声]。</explain>
      <paraID>5BE580E4</paraID>
      <start>5</start>
      <end>7</end>
      <status>ignored</status>
      <modifiedWord/>
      <trackRevisions>false</trackRevisions>
    </reviewItem>
    <reviewItem>
      <errorID>6b476b24-da8e-460c-8e82-fffaa70a56e7</errorID>
      <errorWord>悬持</errorWord>
      <group>L1_Word</group>
      <groupName>字词问题</groupName>
      <ability>L2_Typo</ability>
      <abilityName>字词错误</abilityName>
      <candidateList>
        <item>悬挂</item>
      </candidateList>
      <explain>存在字形相近字词的误用。</explain>
      <paraID>19726B70</paraID>
      <start>98</start>
      <end>100</end>
      <status>modified</status>
      <modifiedWord>悬挂</modifiedWord>
      <trackRevisions>false</trackRevisions>
    </reviewItem>
    <reviewItem>
      <errorID>cb7c2afa-60ef-4e96-ba37-0416e1a684ee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5ED368E5</paraID>
      <start>20</start>
      <end>22</end>
      <status>modified</status>
      <modifiedWord>”“</modifiedWord>
      <trackRevisions>false</trackRevisions>
    </reviewItem>
    <reviewItem>
      <errorID>3fe6ca02-e94a-41ed-9aa5-3ea48997e990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5ED368E5</paraID>
      <start>28</start>
      <end>30</end>
      <status>modified</status>
      <modifiedWord>”“</modifiedWord>
      <trackRevisions>false</trackRevisions>
    </reviewItem>
    <reviewItem>
      <errorID>ce202e4e-0bd6-4449-9e1e-214e78ee6766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4F7107B</paraID>
      <start>29</start>
      <end>31</end>
      <status>modified</status>
      <modifiedWord>”“</modifiedWord>
      <trackRevisions>false</trackRevisions>
    </reviewItem>
    <reviewItem>
      <errorID>1e073754-9695-4a56-9362-fb16bfef6b79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4F7107B</paraID>
      <start>37</start>
      <end>39</end>
      <status>modified</status>
      <modifiedWord>”“</modifiedWord>
      <trackRevisions>false</trackRevisions>
    </reviewItem>
    <reviewItem>
      <errorID>49c9d0f1-f880-48b7-a01c-d6d1b4b0ff1d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86F12C</paraID>
      <start>13</start>
      <end>15</end>
      <status>modified</status>
      <modifiedWord>”“</modifiedWord>
      <trackRevisions>false</trackRevisions>
    </reviewItem>
    <reviewItem>
      <errorID>5ca76639-4e40-494c-953d-692f748a4a8c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86F12C</paraID>
      <start>19</start>
      <end>21</end>
      <status>modified</status>
      <modifiedWord>”“</modifiedWord>
      <trackRevisions>false</trackRevisions>
    </reviewItem>
    <reviewItem>
      <errorID>deca58bb-615f-4afc-b3d2-44de1f4b544b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77514A75</paraID>
      <start>28</start>
      <end>30</end>
      <status>modified</status>
      <modifiedWord>”“</modifiedWord>
      <trackRevisions>false</trackRevisions>
    </reviewItem>
    <reviewItem>
      <errorID>8b8c6b9f-0f62-415b-b7d9-67fa0aff6407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50303341</paraID>
      <start>14</start>
      <end>16</end>
      <status>modified</status>
      <modifiedWord>”“</modifiedWord>
      <trackRevisions>false</trackRevisions>
    </reviewItem>
    <reviewItem>
      <errorID>6348f037-8f4e-45a9-821a-887c0223a0a8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50303341</paraID>
      <start>20</start>
      <end>22</end>
      <status>modified</status>
      <modifiedWord>”“</modifiedWord>
      <trackRevisions>false</trackRevisions>
    </reviewItem>
    <reviewItem>
      <errorID>80b892f7-b03f-47d0-950a-bf1c8916555e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50303341</paraID>
      <start>26</start>
      <end>28</end>
      <status>modified</status>
      <modifiedWord>”“</modifiedWord>
      <trackRevisions>false</trackRevisions>
    </reviewItem>
    <reviewItem>
      <errorID>00bf31ad-9572-49f1-ad6e-ad325ccdf86d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265C2E17</paraID>
      <start>11</start>
      <end>13</end>
      <status>modified</status>
      <modifiedWord>”“</modifiedWord>
      <trackRevisions>false</trackRevisions>
    </reviewItem>
    <reviewItem>
      <errorID>70600374-b4b8-4e96-b6cb-fe5a01776095</errorID>
      <errorWord>&lt;</errorWord>
      <group>L1_Format</group>
      <groupName>格式问题</groupName>
      <ability>L2_HalfPunc</ability>
      <abilityName>全半角检查</abilityName>
      <candidateList>
        <item>〈</item>
      </candidateList>
      <explain>文本全半角错误。</explain>
      <paraID> 742293B</paraID>
      <start>18</start>
      <end>19</end>
      <status>modified</status>
      <modifiedWord>〈</modifiedWord>
      <trackRevisions>false</trackRevisions>
    </reviewItem>
    <reviewItem>
      <errorID>c359af53-a2cd-4c2d-930e-0819f2bb6a4e</errorID>
      <errorWord>&gt;的通知》</errorWord>
      <group>L1_Punc</group>
      <groupName>标点问题</groupName>
      <ability>L2_Punc</ability>
      <abilityName>标点符号检查</abilityName>
      <candidateList>
        <item>〉的通知》</item>
      </candidateList>
      <explain/>
      <paraID> 742293B</paraID>
      <start>27</start>
      <end>32</end>
      <status>modified</status>
      <modifiedWord>〉的通知》</modifiedWord>
      <trackRevisions>false</trackRevisions>
    </reviewItem>
    <reviewItem>
      <errorID>3ad1dc0c-f8f4-4a16-b699-e5b84f2c652c</errorID>
      <errorWord>,</errorWord>
      <group>L1_Format</group>
      <groupName>格式问题</groupName>
      <ability>L2_HalfPunc</ability>
      <abilityName>全半角检查</abilityName>
      <candidateList>
        <item>，</item>
      </candidateList>
      <explain>文本全半角错误。</explain>
      <paraID>3F39B420</paraID>
      <start>14</start>
      <end>15</end>
      <status>modified</status>
      <modifiedWord>，</modifiedWord>
      <trackRevisions>false</trackRevisions>
    </reviewItem>
    <reviewItem>
      <errorID>69acd4f0-b072-4109-823a-bf54fd562b83</errorID>
      <errorWord>建立有</errorWord>
      <group>L1_Word</group>
      <groupName>字词问题</groupName>
      <ability>L2_Typo</ability>
      <abilityName>字词错误</abilityName>
      <candidateList>
        <item>建立</item>
      </candidateList>
      <explain>〈动〉❶开始成立：～政权｜～新的工业基地。❷开始产生；开始形成：～友谊｜～邦交。</explain>
      <paraID>13F13DDB</paraID>
      <start>0</start>
      <end>2</end>
      <status>modified</status>
      <modifiedWord>建立</modifiedWord>
      <trackRevisions>false</trackRevisions>
    </reviewItem>
    <reviewItem>
      <errorID>ea1adeb1-699f-4ef6-b576-1227c503fa2a</errorID>
      <errorWord>)</errorWord>
      <group>L1_Format</group>
      <groupName>格式问题</groupName>
      <ability>L2_HalfPunc</ability>
      <abilityName>全半角检查</abilityName>
      <candidateList>
        <item>）</item>
      </candidateList>
      <explain>文本全半角错误。</explain>
      <paraID> A611CAC</paraID>
      <start>2</start>
      <end>3</end>
      <status>modified</status>
      <modifiedWord>）</modifiedWord>
      <trackRevisions>false</trackRevisions>
    </reviewItem>
    <reviewItem>
      <errorID>4531764c-4b54-42fe-99e3-239582a2fe69</errorID>
      <errorWord>)</errorWord>
      <group>L1_Format</group>
      <groupName>格式问题</groupName>
      <ability>L2_HalfPunc</ability>
      <abilityName>全半角检查</abilityName>
      <candidateList>
        <item>）</item>
      </candidateList>
      <explain>文本全半角错误。</explain>
      <paraID>6CC51A80</paraID>
      <start>2</start>
      <end>3</end>
      <status>modified</status>
      <modifiedWord>）</modifiedWord>
      <trackRevisions>false</trackRevisions>
    </reviewItem>
    <reviewItem>
      <errorID>9360234e-0ac4-49ac-95ce-9f8ee76e2a2c</errorID>
      <errorWord>)</errorWord>
      <group>L1_Format</group>
      <groupName>格式问题</groupName>
      <ability>L2_HalfPunc</ability>
      <abilityName>全半角检查</abilityName>
      <candidateList>
        <item>）</item>
      </candidateList>
      <explain>文本全半角错误。</explain>
      <paraID>14772A01</paraID>
      <start>2</start>
      <end>3</end>
      <status>modified</status>
      <modifiedWord>）</modifiedWord>
      <trackRevisions>false</trackRevisions>
    </reviewItem>
    <reviewItem>
      <errorID>2c7f5fe3-ac9b-425f-9fa4-eb31be5e3eec</errorID>
      <errorWord>建</errorWord>
      <group>L1_Word</group>
      <groupName>字词问题</groupName>
      <ability>L2_Typo</ability>
      <abilityName>字词错误</abilityName>
      <candidateList>
        <item>建筑</item>
      </candidateList>
      <explain/>
      <paraID>6DFEE053</paraID>
      <start>22</start>
      <end>23</end>
      <status>ignored</status>
      <modifiedWord/>
      <trackRevisions>false</trackRevisions>
    </reviewItem>
    <reviewItem>
      <errorID>63b82963-3b2f-4e93-959d-e37b4851cc3f</errorID>
      <errorWord>穿越车</errorWord>
      <group>L1_Word</group>
      <groupName>字词问题</groupName>
      <ability>L2_Typo</ability>
      <abilityName>字词错误</abilityName>
      <candidateList>
        <item>穿越</item>
      </candidateList>
      <explain/>
      <paraID>2CA7904B</paraID>
      <start>18</start>
      <end>20</end>
      <status>modified</status>
      <modifiedWord>穿越</modifiedWord>
      <trackRevisions>false</trackRevisions>
    </reviewItem>
    <reviewItem>
      <errorID>be4c3867-2c7a-4a59-99fb-30edaf7e152e</errorID>
      <errorWord>,</errorWord>
      <group>L1_Format</group>
      <groupName>格式问题</groupName>
      <ability>L2_HalfPunc</ability>
      <abilityName>全半角检查</abilityName>
      <candidateList>
        <item>，</item>
      </candidateList>
      <explain>文本全半角错误。</explain>
      <paraID>77C1438B</paraID>
      <start>19</start>
      <end>20</end>
      <status>modified</status>
      <modifiedWord>，</modifiedWord>
      <trackRevisions>false</trackRevisions>
    </reviewItem>
    <reviewItem>
      <errorID>0e99edc3-08de-4171-b29f-0d1a03aa7b25</errorID>
      <errorWord>-</errorWord>
      <group>L1_Format</group>
      <groupName>格式问题</groupName>
      <ability>L2_HalfPunc</ability>
      <abilityName>全半角检查</abilityName>
      <candidateList>
        <item>－</item>
      </candidateList>
      <explain>文本全半角错误。</explain>
      <paraID>77C1438B</paraID>
      <start>88</start>
      <end>89</end>
      <status>modified</status>
      <modifiedWord>－</modifiedWord>
      <trackRevisions>false</trackRevisions>
    </reviewItem>
    <reviewItem>
      <errorID>995555b1-8219-4199-ab82-b5865394b692</errorID>
      <errorWord>,</errorWord>
      <group>L1_Format</group>
      <groupName>格式问题</groupName>
      <ability>L2_HalfPunc</ability>
      <abilityName>全半角检查</abilityName>
      <candidateList>
        <item>，</item>
      </candidateList>
      <explain>文本全半角错误。</explain>
      <paraID>77C1438B</paraID>
      <start>106</start>
      <end>107</end>
      <status>modified</status>
      <modifiedWord>，</modifiedWord>
      <trackRevisions>false</trackRevisions>
    </reviewItem>
    <reviewItem>
      <errorID>79e0a210-cf2f-41e7-b025-d7dcc91e5198</errorID>
      <errorWord>人口</errorWord>
      <group>L1_Word</group>
      <groupName>字词问题</groupName>
      <ability>L2_Typo</ability>
      <abilityName>字词错误</abilityName>
      <candidateList>
        <item>入口</item>
      </candidateList>
      <explain/>
      <paraID>77C1438B</paraID>
      <start>128</start>
      <end>130</end>
      <status>modified</status>
      <modifiedWord>入口</modifiedWord>
      <trackRevisions>false</trackRevisions>
    </reviewItem>
    <reviewItem>
      <errorID>f1b5aae7-053c-4e9b-adb3-94e1332d7d61</errorID>
      <errorWord>辅助服务</errorWord>
      <group>L1_Knowledge</group>
      <groupName>知识性问题</groupName>
      <ability>L2_Term</ability>
      <abilityName>专业术语</abilityName>
      <candidateList>
        <item>自助服务</item>
      </candidateList>
      <explain/>
      <paraID>48571071</paraID>
      <start>16</start>
      <end>20</end>
      <status>ignored</status>
      <modifiedWord/>
      <trackRevisions>false</trackRevisions>
    </reviewItem>
    <reviewItem>
      <errorID>530b51f5-85b1-4f9f-8f24-27413773878f</errorID>
      <errorWord>“</errorWord>
      <group>L1_Punc</group>
      <groupName>标点问题</groupName>
      <ability>L2_Punc</ability>
      <abilityName>标点符号检查</abilityName>
      <candidateList/>
      <explain/>
      <paraID>5A0126A6</paraID>
      <start>20</start>
      <end>21</end>
      <status>ignored</status>
      <modifiedWord/>
      <trackRevisions>false</trackRevisions>
    </reviewItem>
    <reviewItem>
      <errorID>47e0fa1b-3df6-439b-a5f1-42ecf8d6453a</errorID>
      <errorWord>"</errorWord>
      <group>L1_Format</group>
      <groupName>格式问题</groupName>
      <ability>L2_HalfPunc</ability>
      <abilityName>全半角检查</abilityName>
      <candidateList>
        <item>”</item>
      </candidateList>
      <explain>文本全半角错误。</explain>
      <paraID>5A0126A6</paraID>
      <start>27</start>
      <end>28</end>
      <status>modified</status>
      <modifiedWord>”</modifiedWord>
      <trackRevisions>false</trackRevisions>
    </reviewItem>
    <reviewItem>
      <errorID>72f0f73a-0828-48fe-ab63-7ea5f3b37107</errorID>
      <errorWord>建筑面积等</errorWord>
      <group>L1_Word</group>
      <groupName>字词问题</groupName>
      <ability>L2_Typo</ability>
      <abilityName>字词错误</abilityName>
      <candidateList>
        <item>建筑面积</item>
      </candidateList>
      <explain/>
      <paraID>3B1895BF</paraID>
      <start>30</start>
      <end>35</end>
      <status>ignored</status>
      <modifiedWord/>
      <trackRevisions>false</trackRevisions>
    </reviewItem>
    <reviewItem>
      <errorID>9660abf3-cead-4ffc-89ab-cf8c73591caa</errorID>
      <errorWord>。。</errorWord>
      <group>L1_Punc</group>
      <groupName>标点问题</groupName>
      <ability>L2_Punc</ability>
      <abilityName>标点符号检查</abilityName>
      <candidateList>
        <item>。</item>
      </candidateList>
      <explain/>
      <paraID>3B1895BF</paraID>
      <start>66</start>
      <end>67</end>
      <status>modified</status>
      <modifiedWord>。</modifiedWord>
      <trackRevisions>false</trackRevisions>
    </reviewItem>
    <reviewItem>
      <errorID>4f4a0435-8c85-471d-a684-a4aa5a7b5a9a</errorID>
      <errorWord>~</errorWord>
      <group>L1_Format</group>
      <groupName>格式问题</groupName>
      <ability>L2_HalfPunc</ability>
      <abilityName>全半角检查</abilityName>
      <candidateList>
        <item>～</item>
      </candidateList>
      <explain>文本全半角错误。</explain>
      <paraID>4B3A09ED</paraID>
      <start>79</start>
      <end>80</end>
      <status>modified</status>
      <modifiedWord>～</modifiedWord>
      <trackRevisions>false</trackRevisions>
    </reviewItem>
    <reviewItem>
      <errorID>617725b7-3687-46ab-a95d-4bc57810192e</errorID>
      <errorWord>)</errorWord>
      <group>L1_Format</group>
      <groupName>格式问题</groupName>
      <ability>L2_HalfPunc</ability>
      <abilityName>全半角检查</abilityName>
      <candidateList>
        <item>）</item>
      </candidateList>
      <explain>文本全半角错误。</explain>
      <paraID> 68A4E52</paraID>
      <start>2</start>
      <end>3</end>
      <status>modified</status>
      <modifiedWord>）</modifiedWord>
      <trackRevisions>false</trackRevisions>
    </reviewItem>
    <reviewItem>
      <errorID>17b9a0c2-4974-469f-8a12-b961458c3636</errorID>
      <errorWord>)</errorWord>
      <group>L1_Format</group>
      <groupName>格式问题</groupName>
      <ability>L2_HalfPunc</ability>
      <abilityName>全半角检查</abilityName>
      <candidateList>
        <item>）</item>
      </candidateList>
      <explain>文本全半角错误。</explain>
      <paraID>36193778</paraID>
      <start>2</start>
      <end>3</end>
      <status>modified</status>
      <modifiedWord>）</modifiedWord>
      <trackRevisions>false</trackRevisions>
    </reviewItem>
    <reviewItem>
      <errorID>034aad37-b890-4bce-af64-0cef52d6a89d</errorID>
      <errorWord>,</errorWord>
      <group>L1_Format</group>
      <groupName>格式问题</groupName>
      <ability>L2_HalfPunc</ability>
      <abilityName>全半角检查</abilityName>
      <candidateList>
        <item>，</item>
      </candidateList>
      <explain>文本全半角错误。</explain>
      <paraID>32471C34</paraID>
      <start>66</start>
      <end>67</end>
      <status>modified</status>
      <modifiedWord>，</modifiedWord>
      <trackRevisions>false</trackRevisions>
    </reviewItem>
    <reviewItem>
      <errorID>07f0173d-6fde-4832-99a1-04b7dcba3803</errorID>
      <errorWord>)</errorWord>
      <group>L1_Format</group>
      <groupName>格式问题</groupName>
      <ability>L2_HalfPunc</ability>
      <abilityName>全半角检查</abilityName>
      <candidateList>
        <item>）</item>
      </candidateList>
      <explain>文本全半角错误。</explain>
      <paraID>750A1375</paraID>
      <start>2</start>
      <end>3</end>
      <status>modified</status>
      <modifiedWord>）</modifiedWord>
      <trackRevisions>false</trackRevisions>
    </reviewItem>
    <reviewItem>
      <errorID>4a233745-f767-4340-ae03-02048a63d8b2</errorID>
      <errorWord>,</errorWord>
      <group>L1_Format</group>
      <groupName>格式问题</groupName>
      <ability>L2_HalfPunc</ability>
      <abilityName>全半角检查</abilityName>
      <candidateList>
        <item>，</item>
      </candidateList>
      <explain>文本全半角错误。</explain>
      <paraID>750A1375</paraID>
      <start>11</start>
      <end>12</end>
      <status>modified</status>
      <modifiedWord>，</modifiedWord>
      <trackRevisions>false</trackRevisions>
    </reviewItem>
    <reviewItem>
      <errorID>cfef63f1-4b10-43c0-a39c-362262007e80</errorID>
      <errorWord>,</errorWord>
      <group>L1_Format</group>
      <groupName>格式问题</groupName>
      <ability>L2_HalfPunc</ability>
      <abilityName>全半角检查</abilityName>
      <candidateList>
        <item>，</item>
      </candidateList>
      <explain>文本全半角错误。</explain>
      <paraID>750A1375</paraID>
      <start>24</start>
      <end>25</end>
      <status>modified</status>
      <modifiedWord>，</modifiedWord>
      <trackRevisions>false</trackRevisions>
    </reviewItem>
    <reviewItem>
      <errorID>9e9ec5c2-5456-4743-a875-837c49b4b26f</errorID>
      <errorWord>橇装式</errorWord>
      <group>L1_Word</group>
      <groupName>字词问题</groupName>
      <ability>L2_Typo</ability>
      <abilityName>字词错误</abilityName>
      <candidateList>
        <item>撬装式</item>
      </candidateList>
      <explain/>
      <paraID>45EFA68C</paraID>
      <start>4</start>
      <end>7</end>
      <status>modified</status>
      <modifiedWord>撬装式</modifiedWord>
      <trackRevisions>false</trackRevisions>
    </reviewItem>
    <reviewItem>
      <errorID>7fe11d68-60e0-4f8e-bfc8-4107f769443a</errorID>
      <errorWord>.</errorWord>
      <group>L1_Format</group>
      <groupName>格式问题</groupName>
      <ability>L2_HalfPunc</ability>
      <abilityName>全半角检查</abilityName>
      <candidateList>
        <item>。</item>
      </candidateList>
      <explain>文本全半角错误。</explain>
      <paraID>678BB796</paraID>
      <start>14</start>
      <end>15</end>
      <status>modified</status>
      <modifiedWord>。</modifiedWord>
      <trackRevisions>false</trackRevisions>
    </reviewItem>
    <reviewItem>
      <errorID>8911b7eb-c3ff-4e0e-83fd-3274efba0e4d</errorID>
      <errorWord>;</errorWord>
      <group>L1_Format</group>
      <groupName>格式问题</groupName>
      <ability>L2_HalfPunc</ability>
      <abilityName>全半角检查</abilityName>
      <candidateList>
        <item>；</item>
      </candidateList>
      <explain>文本全半角错误。</explain>
      <paraID>678BB796</paraID>
      <start>27</start>
      <end>28</end>
      <status>modified</status>
      <modifiedWord>；</modifiedWord>
      <trackRevisions>false</trackRevisions>
    </reviewItem>
    <reviewItem>
      <errorID>a67a8e0c-fe7b-4e2a-b53b-4fddd24c0c07</errorID>
      <errorWord>侵入</errorWord>
      <group>L1_Word</group>
      <groupName>字词问题</groupName>
      <ability>L2_Typo</ability>
      <abilityName>字词错误</abilityName>
      <candidateList>
        <item>浸入</item>
      </candidateList>
      <explain/>
      <paraID>678BB796</paraID>
      <start>62</start>
      <end>64</end>
      <status>ignored</status>
      <modifiedWord/>
      <trackRevisions>false</trackRevisions>
    </reviewItem>
    <reviewItem>
      <errorID>07aedfbb-67ea-49af-9d9a-5b0d01b668ce</errorID>
      <errorWord>,</errorWord>
      <group>L1_Format</group>
      <groupName>格式问题</groupName>
      <ability>L2_HalfPunc</ability>
      <abilityName>全半角检查</abilityName>
      <candidateList>
        <item>，</item>
      </candidateList>
      <explain>文本全半角错误。</explain>
      <paraID>1AF9291A</paraID>
      <start>13</start>
      <end>14</end>
      <status>modified</status>
      <modifiedWord>，</modifiedWord>
      <trackRevisions>false</trackRevisions>
    </reviewItem>
    <reviewItem>
      <errorID>2882af83-0bbc-4156-abf1-fbe2d074d241</errorID>
      <errorWord>觉察</errorWord>
      <group>L1_Word</group>
      <groupName>字词问题</groupName>
      <ability>L2_Typo</ability>
      <abilityName>字词错误</abilityName>
      <candidateList>
        <item>观察</item>
      </candidateList>
      <explain>〈动〉仔细察看（事物或现象）：～地形｜～动静｜～问题。</explain>
      <paraID>59A7D5BF</paraID>
      <start>106</start>
      <end>108</end>
      <status>ignored</status>
      <modifiedWord/>
      <trackRevisions>false</trackRevisions>
    </reviewItem>
    <reviewItem>
      <errorID>6192b9eb-692f-498a-8fb7-aa8f245b8eaa</errorID>
      <errorWord>,</errorWord>
      <group>L1_Format</group>
      <groupName>格式问题</groupName>
      <ability>L2_HalfPunc</ability>
      <abilityName>全半角检查</abilityName>
      <candidateList>
        <item>，</item>
      </candidateList>
      <explain>文本全半角错误。</explain>
      <paraID>3789C5EC</paraID>
      <start>15</start>
      <end>16</end>
      <status>modified</status>
      <modifiedWord>，</modifiedWord>
      <trackRevisions>false</trackRevisions>
    </reviewItem>
    <reviewItem>
      <errorID>34717d21-54a4-43bf-a734-9eec2d0daac7</errorID>
      <errorWord>橇装式</errorWord>
      <group>L1_Word</group>
      <groupName>字词问题</groupName>
      <ability>L2_Typo</ability>
      <abilityName>字词错误</abilityName>
      <candidateList>
        <item>撬装式</item>
      </candidateList>
      <explain/>
      <paraID>78391808</paraID>
      <start>4</start>
      <end>7</end>
      <status>modified</status>
      <modifiedWord>撬装式</modifiedWord>
      <trackRevisions>false</trackRevisions>
    </reviewItem>
    <reviewItem>
      <errorID>8d12d6e1-fa14-4000-af6a-a0596494b346</errorID>
      <errorWord>,</errorWord>
      <group>L1_Format</group>
      <groupName>格式问题</groupName>
      <ability>L2_HalfPunc</ability>
      <abilityName>全半角检查</abilityName>
      <candidateList>
        <item>，</item>
      </candidateList>
      <explain>文本全半角错误。</explain>
      <paraID>39D1F0E3</paraID>
      <start>35</start>
      <end>36</end>
      <status>modified</status>
      <modifiedWord>，</modifiedWord>
      <trackRevisions>false</trackRevisions>
    </reviewItem>
    <reviewItem>
      <errorID>7c6ce7e2-f9fa-49c3-ae82-321a60c4e194</errorID>
      <errorWord>,</errorWord>
      <group>L1_Format</group>
      <groupName>格式问题</groupName>
      <ability>L2_HalfPunc</ability>
      <abilityName>全半角检查</abilityName>
      <candidateList>
        <item>，</item>
      </candidateList>
      <explain>文本全半角错误。</explain>
      <paraID>56C67E51</paraID>
      <start>21</start>
      <end>22</end>
      <status>modified</status>
      <modifiedWord>，</modifiedWord>
      <trackRevisions>false</trackRevisions>
    </reviewItem>
    <reviewItem>
      <errorID>943127be-1a18-4fcd-b741-741c94b95c27</errorID>
      <errorWord>热力管道</errorWord>
      <group>L1_Knowledge</group>
      <groupName>知识性问题</groupName>
      <ability>L2_Term</ability>
      <abilityName>专业术语</abilityName>
      <candidateList>
        <item>压力管道</item>
      </candidateList>
      <explain/>
      <paraID>72513D7D</paraID>
      <start>43</start>
      <end>47</end>
      <status>ignored</status>
      <modifiedWord/>
      <trackRevisions>false</trackRevisions>
    </reviewItem>
    <reviewItem>
      <errorID>13c192ae-9770-4ffe-8976-54bad1771e86</errorID>
      <errorWord>防直</errorWord>
      <group>L1_Word</group>
      <groupName>字词问题</groupName>
      <ability>L2_Typo</ability>
      <abilityName>字词错误</abilityName>
      <candidateList>
        <item>防止</item>
      </candidateList>
      <explain>〈动〉预先设法制止（坏事发生）：～煤气中毒｜～交通事故。</explain>
      <paraID>3FFBCA96</paraID>
      <start>21</start>
      <end>23</end>
      <status>ignored</status>
      <modifiedWord/>
      <trackRevisions>false</trackRevisions>
    </reviewItem>
    <reviewItem>
      <errorID>5e68230e-7796-4e91-8c61-32661aacd4f0</errorID>
      <errorWord>应能</errorWord>
      <group>L1_Word</group>
      <groupName>字词问题</groupName>
      <ability>L2_Typo</ability>
      <abilityName>字词错误</abilityName>
      <candidateList>
        <item>应</item>
      </candidateList>
      <explain/>
      <paraID> D2D2D25</paraID>
      <start>23</start>
      <end>24</end>
      <status>modified</status>
      <modifiedWord>应</modifiedWord>
      <trackRevisions>false</trackRevisions>
    </reviewItem>
    <reviewItem>
      <errorID>db241a16-4e62-4917-a062-44c7369d8bbe</errorID>
      <errorWord>,</errorWord>
      <group>L1_Format</group>
      <groupName>格式问题</groupName>
      <ability>L2_HalfPunc</ability>
      <abilityName>全半角检查</abilityName>
      <candidateList>
        <item>，</item>
      </candidateList>
      <explain>文本全半角错误。</explain>
      <paraID>29BF7FDA</paraID>
      <start>45</start>
      <end>46</end>
      <status>modified</status>
      <modifiedWord>，</modifiedWord>
      <trackRevisions>false</trackRevisions>
    </reviewItem>
    <reviewItem>
      <errorID>91308622-86e8-445c-901d-64f3cdf60efb</errorID>
      <errorWord>,</errorWord>
      <group>L1_Format</group>
      <groupName>格式问题</groupName>
      <ability>L2_HalfPunc</ability>
      <abilityName>全半角检查</abilityName>
      <candidateList>
        <item>，</item>
      </candidateList>
      <explain>文本全半角错误。</explain>
      <paraID>35B41C48</paraID>
      <start>41</start>
      <end>42</end>
      <status>modified</status>
      <modifiedWord>，</modifiedWord>
      <trackRevisions>false</trackRevisions>
    </reviewItem>
    <reviewItem>
      <errorID>1d656093-04cd-4f26-8fe8-883cd439ba16</errorID>
      <errorWord>)</errorWord>
      <group>L1_Format</group>
      <groupName>格式问题</groupName>
      <ability>L2_HalfPunc</ability>
      <abilityName>全半角检查</abilityName>
      <candidateList>
        <item>）</item>
      </candidateList>
      <explain>文本全半角错误。</explain>
      <paraID>75F0A53F</paraID>
      <start>2</start>
      <end>3</end>
      <status>modified</status>
      <modifiedWord>）</modifiedWord>
      <trackRevisions>false</trackRevisions>
    </reviewItem>
    <reviewItem>
      <errorID>d6afc268-441b-4bcc-a1da-c2e8034802bb</errorID>
      <errorWord>设</errorWord>
      <group>L1_Word</group>
      <groupName>字词问题</groupName>
      <ability>L2_Typo</ability>
      <abilityName>字词错误</abilityName>
      <candidateList>
        <item>设施</item>
      </candidateList>
      <explain/>
      <paraID>2C947588</paraID>
      <start>17</start>
      <end>19</end>
      <status>modified</status>
      <modifiedWord>设施</modifiedWord>
      <trackRevisions>false</trackRevisions>
    </reviewItem>
    <reviewItem>
      <errorID>fd62559f-a3bc-4b53-8c31-b832616f9ce5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4D9C9888</paraID>
      <start>17</start>
      <end>19</end>
      <status>modified</status>
      <modifiedWord>”“</modifiedWord>
      <trackRevisions>false</trackRevisions>
    </reviewItem>
    <reviewItem>
      <errorID>097e46e8-15cc-4fd9-8615-282edeed0f58</errorID>
      <errorWord>"</errorWord>
      <group>L1_Format</group>
      <groupName>格式问题</groupName>
      <ability>L2_HalfPunc</ability>
      <abilityName>全半角检查</abilityName>
      <candidateList>
        <item>”</item>
      </candidateList>
      <explain>文本全半角错误。</explain>
      <paraID>4D9C9888</paraID>
      <start>24</start>
      <end>25</end>
      <status>modified</status>
      <modifiedWord>”</modifiedWord>
      <trackRevisions>false</trackRevisions>
    </reviewItem>
    <reviewItem>
      <errorID>6dbd7970-a728-4c77-810c-aaf5befabb68</errorID>
      <errorWord>辅助服务</errorWord>
      <group>L1_Knowledge</group>
      <groupName>知识性问题</groupName>
      <ability>L2_Term</ability>
      <abilityName>专业术语</abilityName>
      <candidateList>
        <item>自助服务</item>
      </candidateList>
      <explain/>
      <paraID>33AB6C42</paraID>
      <start>10</start>
      <end>14</end>
      <status>ignored</status>
      <modifiedWord/>
      <trackRevisions>false</trackRevisions>
    </reviewItem>
    <reviewItem>
      <errorID>dd96bed1-de9e-4744-af79-bc26398b69cf</errorID>
      <errorWord>朔源</errorWord>
      <group>L1_Word</group>
      <groupName>字词问题</groupName>
      <ability>L2_Typo</ability>
      <abilityName>字词错误</abilityName>
      <candidateList>
        <item>溯源</item>
      </candidateList>
      <explain/>
      <paraID> D4CA1F4</paraID>
      <start>50</start>
      <end>52</end>
      <status>modified</status>
      <modifiedWord>溯源</modifiedWord>
      <trackRevisions>false</trackRevisions>
    </reviewItem>
    <reviewItem>
      <errorID>17d25383-59aa-4980-8145-afcc71f51167</errorID>
      <errorWord>，</errorWord>
      <group>L1_Word</group>
      <groupName>字词问题</groupName>
      <ability>L2_Typo</ability>
      <abilityName>字词错误</abilityName>
      <candidateList>
        <item>，在</item>
      </candidateList>
      <explain/>
      <paraID>25B7E971</paraID>
      <start>46</start>
      <end>48</end>
      <status>modified</status>
      <modifiedWord>，在</modifiedWord>
      <trackRevisions>false</trackRevisions>
    </reviewItem>
    <reviewItem>
      <errorID>8c9d7660-8b97-4f70-8b7e-0c0eb5ebf131</errorID>
      <errorWord>检测仪</errorWord>
      <group>L1_Word</group>
      <groupName>字词问题</groupName>
      <ability>L2_Typo</ability>
      <abilityName>字词错误</abilityName>
      <candidateList>
        <item>监测仪</item>
      </candidateList>
      <explain/>
      <paraID>2716D445</paraID>
      <start>21</start>
      <end>24</end>
      <status>ignored</status>
      <modifiedWord/>
      <trackRevisions>false</trackRevisions>
    </reviewItem>
    <reviewItem>
      <errorID>c2dbb908-5701-42bb-87d1-4ecf716d5e79</errorID>
      <errorWord>如</errorWord>
      <group>L1_Word</group>
      <groupName>字词问题</groupName>
      <ability>L2_Typo</ability>
      <abilityName>字词错误</abilityName>
      <candidateList>
        <item>如下</item>
      </candidateList>
      <explain>〈动〉如同下面所叙述或列举的：列举～｜现将应注意的事情说明～。</explain>
      <paraID>7BC535FB</paraID>
      <start>36</start>
      <end>38</end>
      <status>modified</status>
      <modifiedWord>如下</modifiedWord>
      <trackRevisions>false</trackRevisions>
    </reviewItem>
    <reviewItem>
      <errorID>4e9420ae-4396-4453-b157-79e15608c416</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209FF52C</paraID>
      <start>2</start>
      <end>16</end>
      <status>ignored</status>
      <modifiedWord/>
      <trackRevisions>false</trackRevisions>
    </reviewItem>
    <reviewItem>
      <errorID>861dcefb-e3be-40d5-a867-9fa9a4d25714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209FF52C</paraID>
      <start>16</start>
      <end>18</end>
      <status>modified</status>
      <modifiedWord>》《</modifiedWord>
      <trackRevisions>false</trackRevisions>
    </reviewItem>
    <reviewItem>
      <errorID>498dd7a0-69e2-4ac2-8ce9-46c385290c73</errorID>
      <errorWord>熟</errorWord>
      <group>L1_Word</group>
      <groupName>字词问题</groupName>
      <ability>L2_Typo</ability>
      <abilityName>字词错误</abilityName>
      <candidateList>
        <item>熟悉</item>
      </candidateList>
      <explain>〈动〉知道得清楚：～情况｜我～他｜他们彼此很～。</explain>
      <paraID>58DB2BAC</paraID>
      <start>19</start>
      <end>21</end>
      <status>modified</status>
      <modifiedWord>熟悉</modifiedWord>
      <trackRevisions>false</trackRevisions>
    </reviewItem>
    <reviewItem>
      <errorID>e1af709f-dd9f-4744-8326-a85307af6c54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EBCBEBD</paraID>
      <start>0</start>
      <end>2</end>
      <status>ignored</status>
      <modifiedWord/>
      <trackRevisions>false</trackRevisions>
    </reviewItem>
    <reviewItem>
      <errorID>d4301507-03ae-478f-9a95-11aff10b944a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123A1542</paraID>
      <start>0</start>
      <end>2</end>
      <status>ignored</status>
      <modifiedWord/>
      <trackRevisions>false</trackRevisions>
    </reviewItem>
    <reviewItem>
      <errorID>61df22c1-c0ed-4877-96b0-e03b7555f46c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788267D6</paraID>
      <start>0</start>
      <end>2</end>
      <status>ignored</status>
      <modifiedWord/>
      <trackRevisions>false</trackRevisions>
    </reviewItem>
    <reviewItem>
      <errorID>cbe0f6c7-536a-413c-902f-f7f908d1dcce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1908FD45</paraID>
      <start>0</start>
      <end>2</end>
      <status>ignored</status>
      <modifiedWord/>
      <trackRevisions>false</trackRevisions>
    </reviewItem>
    <reviewItem>
      <errorID>1bf77bbb-fc98-4e59-b3a0-4da3a75712f5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6D2BE53</paraID>
      <start>0</start>
      <end>2</end>
      <status>ignored</status>
      <modifiedWord/>
      <trackRevisions>false</trackRevisions>
    </reviewItem>
    <reviewItem>
      <errorID>875099ef-b9f9-4053-a5fa-3821354c3137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6BF8833F</paraID>
      <start>0</start>
      <end>2</end>
      <status>ignored</status>
      <modifiedWord/>
      <trackRevisions>false</trackRevisions>
    </reviewItem>
    <reviewItem>
      <errorID>ca57d185-8a92-430c-8203-3c29c06d3e24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3E33DD5B</paraID>
      <start>0</start>
      <end>2</end>
      <status>ignored</status>
      <modifiedWord/>
      <trackRevisions>false</trackRevisions>
    </reviewItem>
    <reviewItem>
      <errorID>af399841-de37-4c74-b45a-2bb3e82f01aa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17BFAB1D</paraID>
      <start>0</start>
      <end>2</end>
      <status>ignored</status>
      <modifiedWord/>
      <trackRevisions>false</trackRevisions>
    </reviewItem>
    <reviewItem>
      <errorID>7f855a14-89c9-4bc8-b670-74e619dd8e15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643C0EE1</paraID>
      <start>0</start>
      <end>2</end>
      <status>ignored</status>
      <modifiedWord/>
      <trackRevisions>false</trackRevisions>
    </reviewItem>
    <reviewItem>
      <errorID>68b58e77-c81d-40c1-b7d4-07b722e3b8cf</errorID>
      <errorWord>现场勘察</errorWord>
      <group>L1_Word</group>
      <groupName>字词问题</groupName>
      <ability>L2_Typo</ability>
      <abilityName>字词错误</abilityName>
      <candidateList>
        <item>现场勘查</item>
      </candidateList>
      <explain/>
      <paraID>7888B54D</paraID>
      <start>0</start>
      <end>4</end>
      <status>modified</status>
      <modifiedWord>现场勘查</modifiedWord>
      <trackRevisions>false</trackRevisions>
    </reviewItem>
    <reviewItem>
      <errorID>c89edf97-d0e7-4610-9e36-c8c8e7d180f5</errorID>
      <errorWord>:</errorWord>
      <group>L1_Format</group>
      <groupName>格式问题</groupName>
      <ability>L2_HalfPunc</ability>
      <abilityName>全半角检查</abilityName>
      <candidateList>
        <item>：</item>
      </candidateList>
      <explain>文本全半角错误。</explain>
      <paraID>33E557F5</paraID>
      <start>5</start>
      <end>6</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61b3cf-e39c-4736-aee4-09dc5c8dc40c}">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2625</Words>
  <Characters>3157</Characters>
  <Lines>655</Lines>
  <Paragraphs>184</Paragraphs>
  <TotalTime>2</TotalTime>
  <ScaleCrop>false</ScaleCrop>
  <LinksUpToDate>false</LinksUpToDate>
  <CharactersWithSpaces>3350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2021-09-27T02:07:00Z</dcterms:created>
  <dc:creator>Administrator</dc:creator>
  <cp:lastModifiedBy>蒋雨琴</cp:lastModifiedBy>
  <cp:lastPrinted>2026-05-28T02:29:00Z</cp:lastPrinted>
  <dcterms:modified xsi:type="dcterms:W3CDTF">2026-06-01T01:42:18Z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CEA4D9379E4B490D94162B700442DA35_13</vt:lpwstr>
  </property>
  <property fmtid="{D5CDD505-2E9C-101B-9397-08002B2CF9AE}" pid="4" name="KSOTemplateDocerSaveRecord">
    <vt:lpwstr>eyJoZGlkIjoiY2UwNTVkYjdhMjkwMjZhNjhmMzMzNjMzMzk2ZjFhMWIiLCJ1c2VySWQiOiIyNzY5OTQ2MDUifQ==</vt:lpwstr>
  </property>
</Properties>
</file>